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D76E" w14:textId="77777777" w:rsidR="00BF6D58" w:rsidRPr="00BD737C" w:rsidRDefault="00BF6D58" w:rsidP="00BF6D58">
      <w:pPr>
        <w:spacing w:line="360" w:lineRule="auto"/>
        <w:jc w:val="center"/>
        <w:rPr>
          <w:rFonts w:ascii="宋体" w:hAnsi="宋体" w:cs="宋体"/>
          <w:b/>
          <w:bCs/>
          <w:kern w:val="0"/>
          <w:szCs w:val="28"/>
        </w:rPr>
      </w:pPr>
      <w:r w:rsidRPr="00BD737C">
        <w:rPr>
          <w:rFonts w:ascii="宋体" w:hAnsi="宋体" w:cs="宋体" w:hint="eastAsia"/>
          <w:b/>
          <w:bCs/>
          <w:kern w:val="0"/>
          <w:szCs w:val="28"/>
        </w:rPr>
        <w:t>委托第三方实验室检验明细</w:t>
      </w:r>
    </w:p>
    <w:p w14:paraId="398F6E2E" w14:textId="77777777" w:rsidR="00BF6D58" w:rsidRPr="00BD737C" w:rsidRDefault="00BF6D58" w:rsidP="00BF6D58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80"/>
        <w:gridCol w:w="1151"/>
        <w:gridCol w:w="1151"/>
        <w:gridCol w:w="2616"/>
      </w:tblGrid>
      <w:tr w:rsidR="00BF6D58" w:rsidRPr="00BD737C" w14:paraId="792656DB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E829EAC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040DFCA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服务项目名称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7A2A08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4F46F26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5058C91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仪器和设备要求</w:t>
            </w:r>
          </w:p>
        </w:tc>
      </w:tr>
      <w:tr w:rsidR="00BF6D58" w:rsidRPr="00BD737C" w14:paraId="326DA975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EDF0CEA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5DFF428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甲功三项</w:t>
            </w:r>
            <w:proofErr w:type="gramEnd"/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4A70C0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784649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1600人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6D13FA13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51392D22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40ABF67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1B5D9A5A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甲胎蛋白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0F7308E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560EAAD3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8000人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0BBC4895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72F0D948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985434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2871B62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癌胚抗原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D66EAF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04FC61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8000人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6F6E3B96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7D24A3D2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CCC9FA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7115DDA6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游离前列腺特异抗原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EE51F8A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6F7E33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4000人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4ED5DA4D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4EAF5285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1ADA60E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7DC816D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总前列腺特异抗原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0201E75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B3D207B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2313EE7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11BA14FB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6FDA09E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3B07A13E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性激素六项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EC1AB2E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56D0CD84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23691793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7DB4D94F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AC3ABF7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2FA8E0D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多肿瘤标志物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CC6AE8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D2399F5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09D64F8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5090F043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E01968D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3DF9539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甲功五项</w:t>
            </w:r>
            <w:proofErr w:type="gramEnd"/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108ED26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E7E991A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09C4738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57164B54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5E1B9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2C558D95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甲功八项</w:t>
            </w:r>
            <w:proofErr w:type="gramEnd"/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9254E2A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5734949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173493C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3BFB7A69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D54B00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04F1E692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糖类抗原CA125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F272357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B839234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718CA74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14830529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993D999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58" w:type="pct"/>
            <w:shd w:val="clear" w:color="auto" w:fill="auto"/>
            <w:noWrap/>
            <w:vAlign w:val="center"/>
            <w:hideMark/>
          </w:tcPr>
          <w:p w14:paraId="780F990C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糖类抗原CA153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96F52BB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EC57CAB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494C7075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要求发光法、设备进口</w:t>
            </w:r>
          </w:p>
        </w:tc>
      </w:tr>
      <w:tr w:rsidR="00BF6D58" w:rsidRPr="00BD737C" w14:paraId="1D1080EE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vAlign w:val="center"/>
            <w:hideMark/>
          </w:tcPr>
          <w:p w14:paraId="0169A26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58" w:type="pct"/>
            <w:shd w:val="clear" w:color="auto" w:fill="auto"/>
            <w:vAlign w:val="center"/>
            <w:hideMark/>
          </w:tcPr>
          <w:p w14:paraId="4C881F36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宫颈液基细胞学检查（TCT）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1D2233A3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423AB10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1000人</w:t>
            </w:r>
          </w:p>
        </w:tc>
        <w:tc>
          <w:tcPr>
            <w:tcW w:w="1484" w:type="pct"/>
            <w:shd w:val="clear" w:color="auto" w:fill="auto"/>
            <w:vAlign w:val="center"/>
            <w:hideMark/>
          </w:tcPr>
          <w:p w14:paraId="27665D2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要求巴士染色方法</w:t>
            </w:r>
          </w:p>
        </w:tc>
      </w:tr>
      <w:tr w:rsidR="00BF6D58" w:rsidRPr="00BD737C" w14:paraId="61D1F7A4" w14:textId="77777777" w:rsidTr="000620C4">
        <w:trPr>
          <w:trHeight w:val="624"/>
          <w:jc w:val="center"/>
        </w:trPr>
        <w:tc>
          <w:tcPr>
            <w:tcW w:w="386" w:type="pct"/>
            <w:shd w:val="clear" w:color="auto" w:fill="auto"/>
            <w:vAlign w:val="center"/>
            <w:hideMark/>
          </w:tcPr>
          <w:p w14:paraId="1D2EE32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58" w:type="pct"/>
            <w:shd w:val="clear" w:color="auto" w:fill="auto"/>
            <w:vAlign w:val="center"/>
            <w:hideMark/>
          </w:tcPr>
          <w:p w14:paraId="2ACE48CF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分乳头瘤病毒检查（HPV）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6CBF2A8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人/次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928FF7C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500人</w:t>
            </w:r>
          </w:p>
        </w:tc>
        <w:tc>
          <w:tcPr>
            <w:tcW w:w="1484" w:type="pct"/>
            <w:shd w:val="clear" w:color="auto" w:fill="auto"/>
            <w:vAlign w:val="center"/>
            <w:hideMark/>
          </w:tcPr>
          <w:p w14:paraId="54DDF377" w14:textId="77777777" w:rsidR="00BF6D58" w:rsidRPr="00BD737C" w:rsidRDefault="00BF6D58" w:rsidP="000620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D737C">
              <w:rPr>
                <w:rFonts w:ascii="宋体" w:hAnsi="宋体" w:cs="宋体" w:hint="eastAsia"/>
                <w:kern w:val="0"/>
                <w:sz w:val="24"/>
                <w:szCs w:val="24"/>
              </w:rPr>
              <w:t>要求第二代分子杂交捕获技术，设备进口</w:t>
            </w:r>
          </w:p>
        </w:tc>
      </w:tr>
    </w:tbl>
    <w:p w14:paraId="4CEDA238" w14:textId="77777777" w:rsidR="00745038" w:rsidRPr="00BF6D58" w:rsidRDefault="00745038">
      <w:bookmarkStart w:id="0" w:name="_GoBack"/>
      <w:bookmarkEnd w:id="0"/>
    </w:p>
    <w:sectPr w:rsidR="00745038" w:rsidRPr="00BF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C885" w14:textId="77777777" w:rsidR="00101950" w:rsidRDefault="00101950" w:rsidP="00BF6D58">
      <w:r>
        <w:separator/>
      </w:r>
    </w:p>
  </w:endnote>
  <w:endnote w:type="continuationSeparator" w:id="0">
    <w:p w14:paraId="79C2E1AE" w14:textId="77777777" w:rsidR="00101950" w:rsidRDefault="00101950" w:rsidP="00B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FA23" w14:textId="77777777" w:rsidR="00101950" w:rsidRDefault="00101950" w:rsidP="00BF6D58">
      <w:r>
        <w:separator/>
      </w:r>
    </w:p>
  </w:footnote>
  <w:footnote w:type="continuationSeparator" w:id="0">
    <w:p w14:paraId="325841A7" w14:textId="77777777" w:rsidR="00101950" w:rsidRDefault="00101950" w:rsidP="00BF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38"/>
    <w:rsid w:val="00101950"/>
    <w:rsid w:val="00745038"/>
    <w:rsid w:val="00B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21349-4AF9-4F30-A3BE-F9B8648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58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蕊</dc:creator>
  <cp:keywords/>
  <dc:description/>
  <cp:lastModifiedBy>唐 蕊</cp:lastModifiedBy>
  <cp:revision>2</cp:revision>
  <dcterms:created xsi:type="dcterms:W3CDTF">2020-03-25T08:27:00Z</dcterms:created>
  <dcterms:modified xsi:type="dcterms:W3CDTF">2020-03-25T08:27:00Z</dcterms:modified>
</cp:coreProperties>
</file>