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b/>
          <w:bCs/>
          <w:sz w:val="24"/>
          <w:szCs w:val="22"/>
        </w:rPr>
      </w:pPr>
      <w:r>
        <w:rPr>
          <w:rFonts w:hint="eastAsia"/>
          <w:b/>
          <w:bCs/>
          <w:sz w:val="24"/>
          <w:szCs w:val="22"/>
        </w:rPr>
        <w:t>一、项目概况</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sz w:val="24"/>
          <w:szCs w:val="22"/>
        </w:rPr>
      </w:pPr>
      <w:r>
        <w:rPr>
          <w:rFonts w:hint="eastAsia"/>
          <w:sz w:val="24"/>
          <w:szCs w:val="22"/>
        </w:rPr>
        <w:t>科学园综合服务楼A栋建设项目位于哈尔滨市香坊区和兴路9</w:t>
      </w:r>
      <w:r>
        <w:rPr>
          <w:sz w:val="24"/>
          <w:szCs w:val="22"/>
        </w:rPr>
        <w:t>5</w:t>
      </w:r>
      <w:r>
        <w:rPr>
          <w:rFonts w:hint="eastAsia"/>
          <w:sz w:val="24"/>
          <w:szCs w:val="22"/>
        </w:rPr>
        <w:t>号，总建筑面积7</w:t>
      </w:r>
      <w:r>
        <w:rPr>
          <w:sz w:val="24"/>
          <w:szCs w:val="22"/>
        </w:rPr>
        <w:t>7711</w:t>
      </w:r>
      <w:r>
        <w:rPr>
          <w:rFonts w:hint="eastAsia"/>
          <w:sz w:val="24"/>
          <w:szCs w:val="22"/>
        </w:rPr>
        <w:t>㎡，地上3</w:t>
      </w:r>
      <w:r>
        <w:rPr>
          <w:sz w:val="24"/>
          <w:szCs w:val="22"/>
        </w:rPr>
        <w:t>2</w:t>
      </w:r>
      <w:r>
        <w:rPr>
          <w:rFonts w:hint="eastAsia"/>
          <w:sz w:val="24"/>
          <w:szCs w:val="22"/>
        </w:rPr>
        <w:t>层，地下1层，主要功能为博士生宿舍，目前项目正在施工建设中，其中2</w:t>
      </w:r>
      <w:r>
        <w:rPr>
          <w:sz w:val="24"/>
          <w:szCs w:val="22"/>
        </w:rPr>
        <w:t>1</w:t>
      </w:r>
      <w:r>
        <w:rPr>
          <w:rFonts w:hint="eastAsia"/>
          <w:sz w:val="24"/>
          <w:szCs w:val="22"/>
        </w:rPr>
        <w:t>层以下计划于2</w:t>
      </w:r>
      <w:r>
        <w:rPr>
          <w:sz w:val="24"/>
          <w:szCs w:val="22"/>
        </w:rPr>
        <w:t>023</w:t>
      </w:r>
      <w:r>
        <w:rPr>
          <w:rFonts w:hint="eastAsia"/>
          <w:sz w:val="24"/>
          <w:szCs w:val="22"/>
        </w:rPr>
        <w:t>年1</w:t>
      </w:r>
      <w:r>
        <w:rPr>
          <w:sz w:val="24"/>
          <w:szCs w:val="22"/>
        </w:rPr>
        <w:t>1</w:t>
      </w:r>
      <w:r>
        <w:rPr>
          <w:rFonts w:hint="eastAsia"/>
          <w:sz w:val="24"/>
          <w:szCs w:val="22"/>
        </w:rPr>
        <w:t>月达到暖封闭施工条件。本次采购的电锅炉设备主要为暖封闭施工前创造必要条件，计划临时运行时间2</w:t>
      </w:r>
      <w:r>
        <w:rPr>
          <w:sz w:val="24"/>
          <w:szCs w:val="22"/>
        </w:rPr>
        <w:t>023</w:t>
      </w:r>
      <w:r>
        <w:rPr>
          <w:rFonts w:hint="eastAsia"/>
          <w:sz w:val="24"/>
          <w:szCs w:val="22"/>
        </w:rPr>
        <w:t>年1</w:t>
      </w:r>
      <w:r>
        <w:rPr>
          <w:sz w:val="24"/>
          <w:szCs w:val="22"/>
        </w:rPr>
        <w:t>1</w:t>
      </w:r>
      <w:r>
        <w:rPr>
          <w:rFonts w:hint="eastAsia"/>
          <w:sz w:val="24"/>
          <w:szCs w:val="22"/>
        </w:rPr>
        <w:t>月至2</w:t>
      </w:r>
      <w:r>
        <w:rPr>
          <w:sz w:val="24"/>
          <w:szCs w:val="22"/>
        </w:rPr>
        <w:t>024</w:t>
      </w:r>
      <w:r>
        <w:rPr>
          <w:rFonts w:hint="eastAsia"/>
          <w:sz w:val="24"/>
          <w:szCs w:val="22"/>
        </w:rPr>
        <w:t>年4月，临时供热面积约5</w:t>
      </w:r>
      <w:r>
        <w:rPr>
          <w:sz w:val="24"/>
          <w:szCs w:val="22"/>
        </w:rPr>
        <w:t>0000</w:t>
      </w:r>
      <w:r>
        <w:rPr>
          <w:rFonts w:hint="eastAsia"/>
          <w:sz w:val="24"/>
          <w:szCs w:val="22"/>
        </w:rPr>
        <w:t>㎡，供热设备安装在地下1层换热站内（换热站设备正在施工安装中），供电电源引自地下室变电所，要求临时供热设备运行后室内温度不得低于1</w:t>
      </w:r>
      <w:r>
        <w:rPr>
          <w:sz w:val="24"/>
          <w:szCs w:val="22"/>
        </w:rPr>
        <w:t>0</w:t>
      </w:r>
      <w:r>
        <w:rPr>
          <w:rFonts w:hint="eastAsia"/>
          <w:sz w:val="24"/>
          <w:szCs w:val="22"/>
        </w:rPr>
        <w:t>℃以满足室内施工作业要求。</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b/>
          <w:bCs/>
          <w:sz w:val="24"/>
          <w:szCs w:val="22"/>
        </w:rPr>
      </w:pPr>
      <w:r>
        <w:rPr>
          <w:rFonts w:hint="eastAsia"/>
          <w:b/>
          <w:bCs/>
          <w:sz w:val="24"/>
          <w:szCs w:val="22"/>
        </w:rPr>
        <w:t>二、技术标准要求</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sz w:val="24"/>
          <w:szCs w:val="22"/>
        </w:rPr>
      </w:pPr>
      <w:r>
        <w:rPr>
          <w:rFonts w:hint="eastAsia"/>
          <w:sz w:val="24"/>
          <w:szCs w:val="22"/>
        </w:rPr>
        <w:t>1</w:t>
      </w:r>
      <w:r>
        <w:rPr>
          <w:sz w:val="24"/>
          <w:szCs w:val="22"/>
        </w:rPr>
        <w:t>.</w:t>
      </w:r>
      <w:r>
        <w:rPr>
          <w:rFonts w:hint="eastAsia"/>
          <w:sz w:val="24"/>
          <w:szCs w:val="22"/>
        </w:rPr>
        <w:t>设计执行的国家有关设计规范和标准：</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480" w:firstLineChars="200"/>
        <w:textAlignment w:val="auto"/>
        <w:rPr>
          <w:sz w:val="24"/>
          <w:szCs w:val="28"/>
        </w:rPr>
      </w:pPr>
      <w:r>
        <w:rPr>
          <w:sz w:val="24"/>
          <w:szCs w:val="28"/>
          <w:lang w:val="en-US"/>
        </w:rPr>
        <w:t xml:space="preserve">《公共建筑节能设计标准》 </w:t>
      </w:r>
      <w:r>
        <w:rPr>
          <w:rFonts w:hint="eastAsia"/>
          <w:sz w:val="24"/>
          <w:szCs w:val="28"/>
          <w:lang w:val="en-US"/>
        </w:rPr>
        <w:t>（</w:t>
      </w:r>
      <w:r>
        <w:rPr>
          <w:sz w:val="24"/>
          <w:szCs w:val="28"/>
          <w:lang w:val="en-US"/>
        </w:rPr>
        <w:t>GB50189-2005)、 (DBJ14-036-2006）</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480" w:firstLineChars="200"/>
        <w:textAlignment w:val="auto"/>
        <w:rPr>
          <w:sz w:val="24"/>
          <w:szCs w:val="28"/>
        </w:rPr>
      </w:pPr>
      <w:r>
        <w:rPr>
          <w:sz w:val="24"/>
          <w:szCs w:val="28"/>
          <w:lang w:val="en-US"/>
        </w:rPr>
        <w:t>《居住建筑节能设计标准》 (DBJ14-037-2006)</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480" w:firstLineChars="200"/>
        <w:textAlignment w:val="auto"/>
        <w:rPr>
          <w:sz w:val="24"/>
          <w:szCs w:val="28"/>
        </w:rPr>
      </w:pPr>
      <w:r>
        <w:rPr>
          <w:sz w:val="24"/>
          <w:szCs w:val="28"/>
          <w:lang w:val="en-US"/>
        </w:rPr>
        <w:t>《民用建筑热工设计规范》 （GB50176-93）</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480" w:firstLineChars="200"/>
        <w:textAlignment w:val="auto"/>
        <w:rPr>
          <w:sz w:val="24"/>
          <w:szCs w:val="28"/>
        </w:rPr>
      </w:pPr>
      <w:r>
        <w:rPr>
          <w:sz w:val="24"/>
          <w:szCs w:val="28"/>
          <w:lang w:val="en-US"/>
        </w:rPr>
        <w:t>《采暖通风与空气调节设计规范》 (GB50019-2003）</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480" w:firstLineChars="200"/>
        <w:textAlignment w:val="auto"/>
        <w:rPr>
          <w:sz w:val="24"/>
          <w:szCs w:val="28"/>
        </w:rPr>
      </w:pPr>
      <w:r>
        <w:rPr>
          <w:sz w:val="24"/>
          <w:szCs w:val="28"/>
          <w:lang w:val="en-US"/>
        </w:rPr>
        <w:t>《通风与空调工程施工质量验收规范》 （GB50243-2002）</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480" w:firstLineChars="200"/>
        <w:textAlignment w:val="auto"/>
        <w:rPr>
          <w:sz w:val="24"/>
          <w:szCs w:val="28"/>
        </w:rPr>
      </w:pPr>
      <w:r>
        <w:rPr>
          <w:sz w:val="24"/>
          <w:szCs w:val="28"/>
          <w:lang w:val="en-US"/>
        </w:rPr>
        <w:t>《全国民用建筑工程设计技术措施暖通空调-动力》 （2009 年版）</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480" w:firstLineChars="200"/>
        <w:textAlignment w:val="auto"/>
        <w:rPr>
          <w:sz w:val="24"/>
          <w:szCs w:val="28"/>
        </w:rPr>
      </w:pPr>
      <w:r>
        <w:rPr>
          <w:sz w:val="24"/>
          <w:szCs w:val="28"/>
          <w:lang w:val="en-US"/>
        </w:rPr>
        <w:t>《民用建筑暖通空调设计技术措施》</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480" w:firstLineChars="200"/>
        <w:textAlignment w:val="auto"/>
        <w:rPr>
          <w:sz w:val="24"/>
          <w:szCs w:val="28"/>
        </w:rPr>
      </w:pPr>
      <w:r>
        <w:rPr>
          <w:sz w:val="24"/>
          <w:szCs w:val="28"/>
          <w:lang w:val="en-US"/>
        </w:rPr>
        <w:t>《实用供热空调设计手册》</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480" w:firstLineChars="200"/>
        <w:textAlignment w:val="auto"/>
        <w:rPr>
          <w:sz w:val="24"/>
          <w:szCs w:val="28"/>
        </w:rPr>
      </w:pPr>
      <w:r>
        <w:rPr>
          <w:rFonts w:hint="eastAsia"/>
          <w:sz w:val="24"/>
          <w:szCs w:val="28"/>
          <w:lang w:val="en-US"/>
        </w:rPr>
        <w:t>其他</w:t>
      </w:r>
      <w:r>
        <w:rPr>
          <w:sz w:val="24"/>
          <w:szCs w:val="28"/>
          <w:lang w:val="en-US"/>
        </w:rPr>
        <w:t>国家有关设计施工规范</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sz w:val="24"/>
          <w:szCs w:val="22"/>
        </w:rPr>
      </w:pPr>
      <w:r>
        <w:rPr>
          <w:rFonts w:hint="eastAsia"/>
          <w:sz w:val="24"/>
          <w:szCs w:val="22"/>
          <w:lang w:val="en-US"/>
        </w:rPr>
        <w:t>以上所引用的标准和规范皆以最新颁布的为准，包含且不限于上述内容。</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sz w:val="24"/>
          <w:szCs w:val="22"/>
        </w:rPr>
      </w:pPr>
      <w:r>
        <w:rPr>
          <w:rFonts w:hint="eastAsia"/>
          <w:sz w:val="24"/>
          <w:szCs w:val="22"/>
        </w:rPr>
        <w:t>2</w:t>
      </w:r>
      <w:r>
        <w:rPr>
          <w:sz w:val="24"/>
          <w:szCs w:val="22"/>
        </w:rPr>
        <w:t>.</w:t>
      </w:r>
      <w:r>
        <w:rPr>
          <w:rFonts w:hint="eastAsia"/>
          <w:sz w:val="24"/>
          <w:szCs w:val="22"/>
        </w:rPr>
        <w:t>设备选型计算参考</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sz w:val="24"/>
          <w:szCs w:val="22"/>
        </w:rPr>
      </w:pPr>
      <w:r>
        <w:rPr>
          <w:rFonts w:hint="eastAsia"/>
          <w:sz w:val="24"/>
          <w:szCs w:val="22"/>
        </w:rPr>
        <w:t>（1）</w:t>
      </w:r>
      <w:r>
        <w:rPr>
          <w:sz w:val="24"/>
          <w:szCs w:val="22"/>
        </w:rPr>
        <w:t>热负荷</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sz w:val="24"/>
          <w:szCs w:val="22"/>
        </w:rPr>
      </w:pPr>
      <w:r>
        <w:rPr>
          <w:rFonts w:hint="eastAsia"/>
          <w:sz w:val="24"/>
          <w:szCs w:val="22"/>
        </w:rPr>
        <w:t>根据《采暖通风系统设计与施工说明》并结合现场实际供热情况</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sz w:val="24"/>
          <w:szCs w:val="22"/>
        </w:rPr>
      </w:pPr>
      <w:r>
        <w:rPr>
          <w:rFonts w:hint="eastAsia"/>
          <w:sz w:val="24"/>
          <w:szCs w:val="22"/>
        </w:rPr>
        <w:t>给出热负荷取值如下：</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sz w:val="24"/>
          <w:szCs w:val="22"/>
        </w:rPr>
      </w:pPr>
      <w:r>
        <w:rPr>
          <w:rFonts w:hint="eastAsia"/>
          <w:sz w:val="24"/>
          <w:szCs w:val="22"/>
        </w:rPr>
        <w:t>热负荷：</w:t>
      </w:r>
      <w:r>
        <w:rPr>
          <w:sz w:val="24"/>
          <w:szCs w:val="22"/>
        </w:rPr>
        <w:t>Q = 40W/㎡；</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sz w:val="24"/>
          <w:szCs w:val="22"/>
        </w:rPr>
      </w:pPr>
      <w:r>
        <w:rPr>
          <w:rFonts w:hint="eastAsia"/>
          <w:sz w:val="24"/>
          <w:szCs w:val="22"/>
        </w:rPr>
        <w:t>（2）</w:t>
      </w:r>
      <w:r>
        <w:rPr>
          <w:sz w:val="24"/>
          <w:szCs w:val="22"/>
        </w:rPr>
        <w:t>供热设备选型</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sz w:val="24"/>
          <w:szCs w:val="22"/>
        </w:rPr>
      </w:pPr>
      <w:r>
        <w:rPr>
          <w:rFonts w:hint="eastAsia"/>
          <w:sz w:val="24"/>
          <w:szCs w:val="22"/>
        </w:rPr>
        <w:t>设备加热功率，采用如下公式：</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sz w:val="24"/>
          <w:szCs w:val="22"/>
          <w:lang w:val="en-US"/>
        </w:rPr>
      </w:pPr>
      <w:r>
        <w:rPr>
          <w:sz w:val="24"/>
          <w:szCs w:val="22"/>
          <w:lang w:val="en-US"/>
        </w:rPr>
        <w:t>P = Q × S</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sz w:val="24"/>
          <w:szCs w:val="22"/>
          <w:lang w:val="en-US"/>
        </w:rPr>
      </w:pPr>
      <w:r>
        <w:rPr>
          <w:rFonts w:hint="eastAsia"/>
          <w:sz w:val="24"/>
          <w:szCs w:val="22"/>
          <w:lang w:val="en-US"/>
        </w:rPr>
        <w:t>÷</w:t>
      </w:r>
      <w:r>
        <w:rPr>
          <w:sz w:val="24"/>
          <w:szCs w:val="22"/>
          <w:lang w:val="en-US"/>
        </w:rPr>
        <w:t xml:space="preserve"> </w:t>
      </w:r>
      <w:r>
        <w:rPr>
          <w:sz w:val="24"/>
          <w:szCs w:val="22"/>
        </w:rPr>
        <w:t>η</w:t>
      </w:r>
      <w:r>
        <w:rPr>
          <w:sz w:val="24"/>
          <w:szCs w:val="22"/>
          <w:lang w:val="en-US"/>
        </w:rPr>
        <w:t xml:space="preserve">1 × </w:t>
      </w:r>
      <w:r>
        <w:rPr>
          <w:sz w:val="24"/>
          <w:szCs w:val="22"/>
        </w:rPr>
        <w:t>η</w:t>
      </w:r>
      <w:r>
        <w:rPr>
          <w:sz w:val="24"/>
          <w:szCs w:val="22"/>
          <w:lang w:val="en-US"/>
        </w:rPr>
        <w:t>2</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sz w:val="24"/>
          <w:szCs w:val="22"/>
          <w:lang w:val="en-US"/>
        </w:rPr>
      </w:pPr>
      <w:r>
        <w:rPr>
          <w:rFonts w:hint="eastAsia"/>
          <w:sz w:val="24"/>
          <w:szCs w:val="22"/>
        </w:rPr>
        <w:t>公式中</w:t>
      </w:r>
      <w:r>
        <w:rPr>
          <w:rFonts w:hint="eastAsia"/>
          <w:sz w:val="24"/>
          <w:szCs w:val="22"/>
          <w:lang w:val="en-US"/>
        </w:rPr>
        <w:t>：</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sz w:val="24"/>
          <w:szCs w:val="22"/>
        </w:rPr>
      </w:pPr>
      <w:r>
        <w:rPr>
          <w:sz w:val="24"/>
          <w:szCs w:val="22"/>
        </w:rPr>
        <w:t>Q—热负荷（W/m2）</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sz w:val="24"/>
          <w:szCs w:val="22"/>
        </w:rPr>
      </w:pPr>
      <w:r>
        <w:rPr>
          <w:sz w:val="24"/>
          <w:szCs w:val="22"/>
        </w:rPr>
        <w:t>S —取暖面积（m2）</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sz w:val="24"/>
          <w:szCs w:val="22"/>
        </w:rPr>
      </w:pPr>
      <w:r>
        <w:rPr>
          <w:rFonts w:hint="eastAsia"/>
          <w:sz w:val="24"/>
          <w:szCs w:val="22"/>
        </w:rPr>
        <w:t>η</w:t>
      </w:r>
      <w:r>
        <w:rPr>
          <w:sz w:val="24"/>
          <w:szCs w:val="22"/>
        </w:rPr>
        <w:t>1—设备热效率（按 0.85 取值）</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sz w:val="24"/>
          <w:szCs w:val="22"/>
        </w:rPr>
      </w:pPr>
      <w:r>
        <w:rPr>
          <w:rFonts w:hint="eastAsia"/>
          <w:sz w:val="24"/>
          <w:szCs w:val="22"/>
        </w:rPr>
        <w:t>η</w:t>
      </w:r>
      <w:r>
        <w:rPr>
          <w:sz w:val="24"/>
          <w:szCs w:val="22"/>
        </w:rPr>
        <w:t>2—管网热损（按 1.05 取值）</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sz w:val="24"/>
          <w:szCs w:val="22"/>
        </w:rPr>
      </w:pPr>
      <w:r>
        <w:rPr>
          <w:rFonts w:hint="eastAsia"/>
          <w:sz w:val="24"/>
          <w:szCs w:val="22"/>
        </w:rPr>
        <w:t>设备加热功率：</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sz w:val="24"/>
          <w:szCs w:val="22"/>
        </w:rPr>
      </w:pPr>
      <w:r>
        <w:rPr>
          <w:sz w:val="24"/>
          <w:szCs w:val="22"/>
        </w:rPr>
        <w:t>P =50000 ㎡×40W/㎡÷0.85×1.05 = 2470KW；</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sz w:val="24"/>
          <w:szCs w:val="22"/>
        </w:rPr>
      </w:pPr>
      <w:r>
        <w:rPr>
          <w:rFonts w:hint="eastAsia"/>
          <w:sz w:val="24"/>
          <w:szCs w:val="22"/>
        </w:rPr>
        <w:t>根据计算结果和现场实际供热情况，选型如下：</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sz w:val="24"/>
          <w:szCs w:val="22"/>
        </w:rPr>
      </w:pPr>
      <w:r>
        <w:rPr>
          <w:rFonts w:hint="eastAsia"/>
          <w:sz w:val="24"/>
          <w:szCs w:val="22"/>
        </w:rPr>
        <w:t>设备：</w:t>
      </w:r>
      <w:r>
        <w:rPr>
          <w:sz w:val="24"/>
          <w:szCs w:val="22"/>
        </w:rPr>
        <w:t>CLR0.7-85/60（P=700KW）*4 台</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sz w:val="24"/>
          <w:szCs w:val="22"/>
        </w:rPr>
      </w:pPr>
      <w:r>
        <w:rPr>
          <w:rFonts w:hint="eastAsia"/>
          <w:sz w:val="24"/>
          <w:szCs w:val="22"/>
        </w:rPr>
        <w:t>3</w:t>
      </w:r>
      <w:r>
        <w:rPr>
          <w:sz w:val="24"/>
          <w:szCs w:val="22"/>
        </w:rPr>
        <w:t>.</w:t>
      </w:r>
      <w:r>
        <w:rPr>
          <w:rFonts w:hint="eastAsia"/>
          <w:sz w:val="24"/>
          <w:szCs w:val="22"/>
        </w:rPr>
        <w:t>采购设备内容及相关要求</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137"/>
        <w:gridCol w:w="757"/>
        <w:gridCol w:w="796"/>
        <w:gridCol w:w="4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82" w:type="pct"/>
            <w:noWrap/>
            <w:vAlign w:val="center"/>
          </w:tcPr>
          <w:p>
            <w:pPr>
              <w:widowControl/>
              <w:autoSpaceDE/>
              <w:autoSpaceDN/>
              <w:jc w:val="center"/>
              <w:rPr>
                <w:color w:val="000000"/>
                <w:lang w:val="en-US" w:bidi="ar-SA"/>
              </w:rPr>
            </w:pPr>
            <w:r>
              <w:rPr>
                <w:rFonts w:hint="eastAsia"/>
                <w:color w:val="000000"/>
                <w:lang w:val="en-US" w:bidi="ar-SA"/>
              </w:rPr>
              <w:t>序号</w:t>
            </w:r>
          </w:p>
        </w:tc>
        <w:tc>
          <w:tcPr>
            <w:tcW w:w="1253" w:type="pct"/>
            <w:noWrap/>
            <w:vAlign w:val="center"/>
          </w:tcPr>
          <w:p>
            <w:pPr>
              <w:widowControl/>
              <w:autoSpaceDE/>
              <w:autoSpaceDN/>
              <w:jc w:val="center"/>
              <w:rPr>
                <w:color w:val="000000"/>
                <w:lang w:val="en-US" w:bidi="ar-SA"/>
              </w:rPr>
            </w:pPr>
            <w:r>
              <w:rPr>
                <w:rFonts w:hint="eastAsia"/>
                <w:color w:val="000000"/>
                <w:lang w:val="en-US" w:bidi="ar-SA"/>
              </w:rPr>
              <w:t>设备名称</w:t>
            </w:r>
          </w:p>
        </w:tc>
        <w:tc>
          <w:tcPr>
            <w:tcW w:w="443" w:type="pct"/>
            <w:noWrap w:val="0"/>
            <w:vAlign w:val="center"/>
          </w:tcPr>
          <w:p>
            <w:pPr>
              <w:widowControl/>
              <w:autoSpaceDE/>
              <w:autoSpaceDN/>
              <w:jc w:val="center"/>
              <w:rPr>
                <w:color w:val="000000"/>
                <w:lang w:val="en-US" w:bidi="ar-SA"/>
              </w:rPr>
            </w:pPr>
            <w:r>
              <w:rPr>
                <w:rFonts w:hint="eastAsia"/>
                <w:color w:val="000000"/>
                <w:lang w:val="en-US" w:bidi="ar-SA"/>
              </w:rPr>
              <w:t>单位</w:t>
            </w:r>
          </w:p>
        </w:tc>
        <w:tc>
          <w:tcPr>
            <w:tcW w:w="467" w:type="pct"/>
            <w:noWrap/>
            <w:vAlign w:val="center"/>
          </w:tcPr>
          <w:p>
            <w:pPr>
              <w:widowControl/>
              <w:autoSpaceDE/>
              <w:autoSpaceDN/>
              <w:jc w:val="center"/>
              <w:rPr>
                <w:color w:val="000000"/>
                <w:lang w:val="en-US" w:bidi="ar-SA"/>
              </w:rPr>
            </w:pPr>
            <w:r>
              <w:rPr>
                <w:rFonts w:hint="eastAsia"/>
                <w:color w:val="000000"/>
                <w:lang w:val="en-US" w:bidi="ar-SA"/>
              </w:rPr>
              <w:t>数量</w:t>
            </w:r>
          </w:p>
        </w:tc>
        <w:tc>
          <w:tcPr>
            <w:tcW w:w="2452" w:type="pct"/>
            <w:noWrap/>
            <w:vAlign w:val="center"/>
          </w:tcPr>
          <w:p>
            <w:pPr>
              <w:widowControl/>
              <w:autoSpaceDE/>
              <w:autoSpaceDN/>
              <w:jc w:val="center"/>
              <w:rPr>
                <w:color w:val="000000"/>
                <w:lang w:val="en-US" w:bidi="ar-SA"/>
              </w:rPr>
            </w:pPr>
            <w:r>
              <w:rPr>
                <w:rFonts w:hint="eastAsia"/>
                <w:color w:val="000000"/>
                <w:lang w:val="en-US"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82" w:type="pct"/>
            <w:noWrap/>
            <w:vAlign w:val="center"/>
          </w:tcPr>
          <w:p>
            <w:pPr>
              <w:widowControl/>
              <w:autoSpaceDE/>
              <w:autoSpaceDN/>
              <w:jc w:val="center"/>
              <w:rPr>
                <w:color w:val="000000"/>
                <w:lang w:val="en-US" w:bidi="ar-SA"/>
              </w:rPr>
            </w:pPr>
            <w:r>
              <w:rPr>
                <w:rFonts w:hint="eastAsia"/>
                <w:color w:val="000000"/>
                <w:lang w:val="en-US" w:bidi="ar-SA"/>
              </w:rPr>
              <w:t>1</w:t>
            </w:r>
          </w:p>
        </w:tc>
        <w:tc>
          <w:tcPr>
            <w:tcW w:w="1253" w:type="pct"/>
            <w:noWrap/>
            <w:vAlign w:val="center"/>
          </w:tcPr>
          <w:p>
            <w:pPr>
              <w:widowControl/>
              <w:autoSpaceDE/>
              <w:autoSpaceDN/>
              <w:jc w:val="center"/>
              <w:rPr>
                <w:color w:val="000000"/>
                <w:lang w:val="en-US" w:bidi="ar-SA"/>
              </w:rPr>
            </w:pPr>
            <w:r>
              <w:rPr>
                <w:rFonts w:hint="eastAsia"/>
                <w:color w:val="000000"/>
                <w:lang w:val="en-US" w:bidi="ar-SA"/>
              </w:rPr>
              <w:t>电热水锅炉</w:t>
            </w:r>
          </w:p>
        </w:tc>
        <w:tc>
          <w:tcPr>
            <w:tcW w:w="443" w:type="pct"/>
            <w:noWrap w:val="0"/>
            <w:vAlign w:val="top"/>
          </w:tcPr>
          <w:p>
            <w:pPr>
              <w:widowControl/>
              <w:autoSpaceDE/>
              <w:autoSpaceDN/>
              <w:jc w:val="center"/>
              <w:rPr>
                <w:color w:val="000000"/>
                <w:lang w:val="en-US" w:bidi="ar-SA"/>
              </w:rPr>
            </w:pPr>
            <w:r>
              <w:rPr>
                <w:rFonts w:hint="eastAsia"/>
                <w:color w:val="000000"/>
                <w:lang w:val="en-US" w:bidi="ar-SA"/>
              </w:rPr>
              <w:t>台</w:t>
            </w:r>
          </w:p>
        </w:tc>
        <w:tc>
          <w:tcPr>
            <w:tcW w:w="467" w:type="pct"/>
            <w:noWrap/>
            <w:vAlign w:val="center"/>
          </w:tcPr>
          <w:p>
            <w:pPr>
              <w:widowControl/>
              <w:autoSpaceDE/>
              <w:autoSpaceDN/>
              <w:jc w:val="center"/>
              <w:rPr>
                <w:color w:val="000000"/>
                <w:lang w:val="en-US" w:bidi="ar-SA"/>
              </w:rPr>
            </w:pPr>
            <w:r>
              <w:rPr>
                <w:rFonts w:hint="eastAsia"/>
                <w:color w:val="000000"/>
                <w:lang w:val="en-US" w:bidi="ar-SA"/>
              </w:rPr>
              <w:t>4</w:t>
            </w:r>
          </w:p>
        </w:tc>
        <w:tc>
          <w:tcPr>
            <w:tcW w:w="2452" w:type="pct"/>
            <w:noWrap/>
            <w:vAlign w:val="center"/>
          </w:tcPr>
          <w:p>
            <w:pPr>
              <w:widowControl/>
              <w:autoSpaceDE/>
              <w:autoSpaceDN/>
              <w:jc w:val="center"/>
              <w:rPr>
                <w:color w:val="000000"/>
                <w:lang w:val="en-US" w:bidi="ar-SA"/>
              </w:rPr>
            </w:pPr>
            <w:r>
              <w:rPr>
                <w:rFonts w:hint="eastAsia"/>
                <w:color w:val="000000"/>
                <w:lang w:val="en-US" w:bidi="ar-SA"/>
              </w:rPr>
              <w:t>P</w:t>
            </w:r>
            <w:r>
              <w:rPr>
                <w:color w:val="000000"/>
                <w:lang w:val="en-US" w:bidi="ar-SA"/>
              </w:rPr>
              <w:t>=700KW/</w:t>
            </w:r>
            <w:r>
              <w:rPr>
                <w:rFonts w:hint="eastAsia"/>
                <w:color w:val="000000"/>
                <w:lang w:val="en-US" w:bidi="ar-S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82" w:type="pct"/>
            <w:noWrap/>
            <w:vAlign w:val="center"/>
          </w:tcPr>
          <w:p>
            <w:pPr>
              <w:widowControl/>
              <w:autoSpaceDE/>
              <w:autoSpaceDN/>
              <w:jc w:val="center"/>
              <w:rPr>
                <w:color w:val="000000"/>
                <w:lang w:val="en-US" w:bidi="ar-SA"/>
              </w:rPr>
            </w:pPr>
            <w:r>
              <w:rPr>
                <w:rFonts w:hint="eastAsia"/>
                <w:color w:val="000000"/>
                <w:lang w:val="en-US" w:bidi="ar-SA"/>
              </w:rPr>
              <w:t>2</w:t>
            </w:r>
          </w:p>
        </w:tc>
        <w:tc>
          <w:tcPr>
            <w:tcW w:w="1253" w:type="pct"/>
            <w:noWrap/>
            <w:vAlign w:val="center"/>
          </w:tcPr>
          <w:p>
            <w:pPr>
              <w:widowControl/>
              <w:autoSpaceDE/>
              <w:autoSpaceDN/>
              <w:jc w:val="center"/>
              <w:rPr>
                <w:color w:val="000000"/>
                <w:lang w:val="en-US" w:bidi="ar-SA"/>
              </w:rPr>
            </w:pPr>
            <w:r>
              <w:rPr>
                <w:rFonts w:hint="eastAsia"/>
                <w:color w:val="000000"/>
                <w:lang w:val="en-US" w:bidi="ar-SA"/>
              </w:rPr>
              <w:t>一次网采暖循环泵</w:t>
            </w:r>
          </w:p>
        </w:tc>
        <w:tc>
          <w:tcPr>
            <w:tcW w:w="443" w:type="pct"/>
            <w:noWrap w:val="0"/>
            <w:vAlign w:val="top"/>
          </w:tcPr>
          <w:p>
            <w:pPr>
              <w:widowControl/>
              <w:autoSpaceDE/>
              <w:autoSpaceDN/>
              <w:jc w:val="center"/>
              <w:rPr>
                <w:color w:val="000000"/>
                <w:lang w:val="en-US" w:bidi="ar-SA"/>
              </w:rPr>
            </w:pPr>
            <w:r>
              <w:rPr>
                <w:rFonts w:hint="eastAsia"/>
                <w:color w:val="000000"/>
                <w:lang w:val="en-US" w:bidi="ar-SA"/>
              </w:rPr>
              <w:t>台</w:t>
            </w:r>
          </w:p>
        </w:tc>
        <w:tc>
          <w:tcPr>
            <w:tcW w:w="467" w:type="pct"/>
            <w:noWrap/>
            <w:vAlign w:val="center"/>
          </w:tcPr>
          <w:p>
            <w:pPr>
              <w:widowControl/>
              <w:autoSpaceDE/>
              <w:autoSpaceDN/>
              <w:jc w:val="center"/>
              <w:rPr>
                <w:color w:val="000000"/>
                <w:lang w:val="en-US" w:bidi="ar-SA"/>
              </w:rPr>
            </w:pPr>
            <w:r>
              <w:rPr>
                <w:rFonts w:hint="eastAsia"/>
                <w:color w:val="000000"/>
                <w:lang w:val="en-US" w:bidi="ar-SA"/>
              </w:rPr>
              <w:t>3</w:t>
            </w:r>
          </w:p>
        </w:tc>
        <w:tc>
          <w:tcPr>
            <w:tcW w:w="2452" w:type="pct"/>
            <w:noWrap/>
            <w:vAlign w:val="center"/>
          </w:tcPr>
          <w:p>
            <w:pPr>
              <w:widowControl/>
              <w:autoSpaceDE/>
              <w:autoSpaceDN/>
              <w:jc w:val="center"/>
              <w:rPr>
                <w:color w:val="000000"/>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82" w:type="pct"/>
            <w:noWrap/>
            <w:vAlign w:val="center"/>
          </w:tcPr>
          <w:p>
            <w:pPr>
              <w:widowControl/>
              <w:autoSpaceDE/>
              <w:autoSpaceDN/>
              <w:jc w:val="center"/>
              <w:rPr>
                <w:color w:val="000000"/>
                <w:lang w:val="en-US" w:bidi="ar-SA"/>
              </w:rPr>
            </w:pPr>
            <w:r>
              <w:rPr>
                <w:rFonts w:hint="eastAsia"/>
                <w:color w:val="000000"/>
                <w:lang w:val="en-US" w:bidi="ar-SA"/>
              </w:rPr>
              <w:t>3</w:t>
            </w:r>
          </w:p>
        </w:tc>
        <w:tc>
          <w:tcPr>
            <w:tcW w:w="1253" w:type="pct"/>
            <w:noWrap/>
            <w:vAlign w:val="center"/>
          </w:tcPr>
          <w:p>
            <w:pPr>
              <w:widowControl/>
              <w:autoSpaceDE/>
              <w:autoSpaceDN/>
              <w:jc w:val="center"/>
              <w:rPr>
                <w:color w:val="000000"/>
                <w:lang w:val="en-US" w:bidi="ar-SA"/>
              </w:rPr>
            </w:pPr>
            <w:r>
              <w:rPr>
                <w:rFonts w:hint="eastAsia"/>
                <w:color w:val="000000"/>
                <w:lang w:val="en-US" w:bidi="ar-SA"/>
              </w:rPr>
              <w:t>控制系统</w:t>
            </w:r>
          </w:p>
        </w:tc>
        <w:tc>
          <w:tcPr>
            <w:tcW w:w="443" w:type="pct"/>
            <w:noWrap w:val="0"/>
            <w:vAlign w:val="center"/>
          </w:tcPr>
          <w:p>
            <w:pPr>
              <w:widowControl/>
              <w:autoSpaceDE/>
              <w:autoSpaceDN/>
              <w:jc w:val="center"/>
              <w:rPr>
                <w:color w:val="000000"/>
                <w:lang w:val="en-US" w:bidi="ar-SA"/>
              </w:rPr>
            </w:pPr>
            <w:r>
              <w:rPr>
                <w:rFonts w:hint="eastAsia"/>
                <w:color w:val="000000"/>
                <w:lang w:val="en-US" w:bidi="ar-SA"/>
              </w:rPr>
              <w:t>套</w:t>
            </w:r>
          </w:p>
        </w:tc>
        <w:tc>
          <w:tcPr>
            <w:tcW w:w="467" w:type="pct"/>
            <w:noWrap/>
            <w:vAlign w:val="center"/>
          </w:tcPr>
          <w:p>
            <w:pPr>
              <w:widowControl/>
              <w:autoSpaceDE/>
              <w:autoSpaceDN/>
              <w:jc w:val="center"/>
              <w:rPr>
                <w:color w:val="000000"/>
                <w:lang w:val="en-US" w:bidi="ar-SA"/>
              </w:rPr>
            </w:pPr>
            <w:r>
              <w:rPr>
                <w:rFonts w:hint="eastAsia"/>
                <w:color w:val="000000"/>
                <w:lang w:val="en-US" w:bidi="ar-SA"/>
              </w:rPr>
              <w:t>1</w:t>
            </w:r>
          </w:p>
        </w:tc>
        <w:tc>
          <w:tcPr>
            <w:tcW w:w="2452" w:type="pct"/>
            <w:noWrap/>
            <w:vAlign w:val="center"/>
          </w:tcPr>
          <w:p>
            <w:pPr>
              <w:widowControl/>
              <w:autoSpaceDE/>
              <w:autoSpaceDN/>
              <w:jc w:val="center"/>
              <w:rPr>
                <w:color w:val="000000"/>
                <w:lang w:val="en-US" w:bidi="ar-SA"/>
              </w:rPr>
            </w:pPr>
            <w:r>
              <w:rPr>
                <w:rFonts w:hint="eastAsia"/>
                <w:color w:val="000000"/>
                <w:lang w:val="en-US" w:bidi="ar-SA"/>
              </w:rPr>
              <w:t>水泵控制柜、锅炉控制系统、远程及就地仪表、电源柜、变频控制柜等控制设备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382" w:type="pct"/>
            <w:noWrap/>
            <w:vAlign w:val="center"/>
          </w:tcPr>
          <w:p>
            <w:pPr>
              <w:widowControl/>
              <w:autoSpaceDE/>
              <w:autoSpaceDN/>
              <w:jc w:val="center"/>
              <w:rPr>
                <w:color w:val="000000"/>
                <w:lang w:val="en-US" w:bidi="ar-SA"/>
              </w:rPr>
            </w:pPr>
            <w:r>
              <w:rPr>
                <w:rFonts w:hint="eastAsia"/>
                <w:color w:val="000000"/>
                <w:lang w:val="en-US" w:bidi="ar-SA"/>
              </w:rPr>
              <w:t>4</w:t>
            </w:r>
          </w:p>
        </w:tc>
        <w:tc>
          <w:tcPr>
            <w:tcW w:w="1253" w:type="pct"/>
            <w:noWrap/>
            <w:vAlign w:val="center"/>
          </w:tcPr>
          <w:p>
            <w:pPr>
              <w:widowControl/>
              <w:autoSpaceDE/>
              <w:autoSpaceDN/>
              <w:jc w:val="center"/>
              <w:rPr>
                <w:color w:val="000000"/>
                <w:lang w:val="en-US" w:bidi="ar-SA"/>
              </w:rPr>
            </w:pPr>
            <w:r>
              <w:rPr>
                <w:rFonts w:hint="eastAsia"/>
                <w:color w:val="000000"/>
                <w:lang w:val="en-US" w:bidi="ar-SA"/>
              </w:rPr>
              <w:t>定压系统</w:t>
            </w:r>
          </w:p>
        </w:tc>
        <w:tc>
          <w:tcPr>
            <w:tcW w:w="443" w:type="pct"/>
            <w:noWrap w:val="0"/>
            <w:vAlign w:val="top"/>
          </w:tcPr>
          <w:p>
            <w:pPr>
              <w:widowControl/>
              <w:autoSpaceDE/>
              <w:autoSpaceDN/>
              <w:jc w:val="center"/>
              <w:rPr>
                <w:color w:val="000000"/>
                <w:lang w:val="en-US" w:bidi="ar-SA"/>
              </w:rPr>
            </w:pPr>
            <w:r>
              <w:rPr>
                <w:rFonts w:hint="eastAsia"/>
                <w:color w:val="000000"/>
                <w:lang w:val="en-US" w:bidi="ar-SA"/>
              </w:rPr>
              <w:t>套</w:t>
            </w:r>
          </w:p>
        </w:tc>
        <w:tc>
          <w:tcPr>
            <w:tcW w:w="467" w:type="pct"/>
            <w:noWrap/>
            <w:vAlign w:val="center"/>
          </w:tcPr>
          <w:p>
            <w:pPr>
              <w:widowControl/>
              <w:autoSpaceDE/>
              <w:autoSpaceDN/>
              <w:jc w:val="center"/>
              <w:rPr>
                <w:color w:val="000000"/>
                <w:lang w:val="en-US" w:bidi="ar-SA"/>
              </w:rPr>
            </w:pPr>
            <w:r>
              <w:rPr>
                <w:rFonts w:hint="eastAsia"/>
                <w:color w:val="000000"/>
                <w:lang w:val="en-US" w:bidi="ar-SA"/>
              </w:rPr>
              <w:t>1</w:t>
            </w:r>
          </w:p>
        </w:tc>
        <w:tc>
          <w:tcPr>
            <w:tcW w:w="2452" w:type="pct"/>
            <w:noWrap/>
            <w:vAlign w:val="center"/>
          </w:tcPr>
          <w:p>
            <w:pPr>
              <w:widowControl/>
              <w:autoSpaceDE/>
              <w:autoSpaceDN/>
              <w:jc w:val="center"/>
              <w:rPr>
                <w:color w:val="000000"/>
                <w:lang w:val="en-US" w:bidi="ar-SA"/>
              </w:rPr>
            </w:pPr>
            <w:r>
              <w:rPr>
                <w:rFonts w:hint="eastAsia"/>
                <w:color w:val="000000"/>
                <w:lang w:val="en-US" w:bidi="ar-SA"/>
              </w:rPr>
              <w:t>膨胀水箱、软化水泵等定压设备</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2"/>
        </w:rPr>
      </w:pPr>
      <w:r>
        <w:rPr>
          <w:rFonts w:hint="eastAsia"/>
          <w:sz w:val="24"/>
          <w:szCs w:val="22"/>
        </w:rPr>
        <w:t>电热水锅炉应采用机电一体化设计，电气元件选用国内优质品牌，具有</w:t>
      </w:r>
      <w:r>
        <w:rPr>
          <w:sz w:val="24"/>
          <w:szCs w:val="22"/>
          <w:lang w:val="en-US"/>
        </w:rPr>
        <w:t>CCC</w:t>
      </w:r>
      <w:r>
        <w:rPr>
          <w:rFonts w:hint="eastAsia"/>
          <w:sz w:val="24"/>
          <w:szCs w:val="22"/>
        </w:rPr>
        <w:t>认证。设备采用全自动微电脑控制，运行过程实现全自动化，操作轻松简单，温度时间一目了然。设备应具有全自动缺水保护、报警显示装置，有效防止干烧，并具备过热、过流、过载、缺水、故障显示等多重安全保护装置，做到产品安全运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bCs/>
          <w:sz w:val="24"/>
          <w:szCs w:val="22"/>
        </w:rPr>
      </w:pPr>
      <w:r>
        <w:rPr>
          <w:rFonts w:hint="eastAsia"/>
          <w:b/>
          <w:bCs/>
          <w:sz w:val="24"/>
          <w:szCs w:val="22"/>
        </w:rPr>
        <w:t>三、特别要求：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41" w:firstLineChars="100"/>
        <w:jc w:val="left"/>
        <w:textAlignment w:val="auto"/>
        <w:rPr>
          <w:rFonts w:hint="eastAsia"/>
          <w:b/>
          <w:bCs/>
          <w:sz w:val="24"/>
          <w:szCs w:val="22"/>
        </w:rPr>
      </w:pPr>
      <w:r>
        <w:rPr>
          <w:rFonts w:hint="eastAsia"/>
          <w:b/>
          <w:bCs/>
          <w:sz w:val="24"/>
          <w:szCs w:val="22"/>
        </w:rPr>
        <w:t>根据本项目实际情况，本次采购特别要求如下：</w:t>
      </w:r>
      <w:r>
        <w:rPr>
          <w:b/>
          <w:bCs/>
          <w:sz w:val="24"/>
          <w:szCs w:val="22"/>
        </w:rPr>
        <w:br w:type="textWrapping"/>
      </w:r>
      <w:r>
        <w:rPr>
          <w:rFonts w:hint="eastAsia"/>
          <w:b/>
          <w:bCs/>
          <w:sz w:val="24"/>
          <w:szCs w:val="22"/>
          <w:highlight w:val="none"/>
        </w:rPr>
        <w:t>1.由于项目进度急迫，投标供应商必须自</w:t>
      </w:r>
      <w:r>
        <w:rPr>
          <w:rFonts w:hint="eastAsia"/>
          <w:b/>
          <w:bCs/>
          <w:sz w:val="24"/>
          <w:szCs w:val="22"/>
          <w:highlight w:val="none"/>
          <w:lang w:val="en-US" w:eastAsia="zh-CN"/>
        </w:rPr>
        <w:t>成交</w:t>
      </w:r>
      <w:r>
        <w:rPr>
          <w:rFonts w:hint="eastAsia"/>
          <w:b/>
          <w:bCs/>
          <w:sz w:val="24"/>
          <w:szCs w:val="22"/>
          <w:highlight w:val="none"/>
        </w:rPr>
        <w:t>通知书发布之日起20天内完成所有供货安装工作，不得以合同签订及预付款收支等甲乙双方流程审批时间原因制约工期，如耽误1日，采购人将按“中标总金额*5%”从履约保证金或合同价款中扣罚；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bCs/>
          <w:sz w:val="24"/>
          <w:szCs w:val="22"/>
        </w:rPr>
      </w:pPr>
      <w:r>
        <w:rPr>
          <w:rFonts w:hint="eastAsia"/>
          <w:b/>
          <w:bCs/>
          <w:sz w:val="24"/>
          <w:szCs w:val="22"/>
        </w:rPr>
        <w:t>2</w:t>
      </w:r>
      <w:r>
        <w:rPr>
          <w:b/>
          <w:bCs/>
          <w:sz w:val="24"/>
          <w:szCs w:val="22"/>
        </w:rPr>
        <w:t>.</w:t>
      </w:r>
      <w:r>
        <w:rPr>
          <w:rFonts w:hint="eastAsia"/>
          <w:b/>
          <w:bCs/>
          <w:sz w:val="24"/>
          <w:szCs w:val="22"/>
        </w:rPr>
        <w:t>由于受地下室设备搬运入口空间限制，供应商所供设备高度不得大于2m，设备进场前，供应商必须根据现场情况及设备尺寸充分做好设备搬运的人工、机械及措施准备工作，相关费用均包含在供应商投标报价中，且因设备尺寸问题导致必须进行土建配套施工的，所有产生的施工相关费用全部由中标供应商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bCs/>
          <w:sz w:val="24"/>
          <w:szCs w:val="22"/>
        </w:rPr>
      </w:pPr>
      <w:r>
        <w:rPr>
          <w:rFonts w:hint="eastAsia"/>
          <w:b/>
          <w:bCs/>
          <w:sz w:val="24"/>
          <w:szCs w:val="22"/>
        </w:rPr>
        <w:t>3</w:t>
      </w:r>
      <w:r>
        <w:rPr>
          <w:b/>
          <w:bCs/>
          <w:sz w:val="24"/>
          <w:szCs w:val="22"/>
        </w:rPr>
        <w:t>.</w:t>
      </w:r>
      <w:r>
        <w:rPr>
          <w:rFonts w:hint="eastAsia"/>
          <w:b/>
          <w:bCs/>
          <w:sz w:val="24"/>
          <w:szCs w:val="22"/>
        </w:rPr>
        <w:t>设备正式运行后，必须保证室内温度≥1</w:t>
      </w:r>
      <w:r>
        <w:rPr>
          <w:b/>
          <w:bCs/>
          <w:sz w:val="24"/>
          <w:szCs w:val="22"/>
        </w:rPr>
        <w:t>0</w:t>
      </w:r>
      <w:r>
        <w:rPr>
          <w:rFonts w:hint="eastAsia"/>
          <w:b/>
          <w:bCs/>
          <w:sz w:val="24"/>
          <w:szCs w:val="22"/>
        </w:rPr>
        <w:t>℃，因供热指标不达标导致影响施工作业的，招标人有权采取扣罚全部履约保证金、拒绝支付合同价款或解除合同等方式对中标供应商予以处罚；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bCs/>
          <w:sz w:val="24"/>
          <w:szCs w:val="22"/>
        </w:rPr>
      </w:pPr>
      <w:r>
        <w:rPr>
          <w:rFonts w:hint="eastAsia"/>
          <w:b/>
          <w:bCs/>
          <w:sz w:val="24"/>
          <w:szCs w:val="22"/>
        </w:rPr>
        <w:t>4</w:t>
      </w:r>
      <w:r>
        <w:rPr>
          <w:b/>
          <w:bCs/>
          <w:sz w:val="24"/>
          <w:szCs w:val="22"/>
        </w:rPr>
        <w:t>.</w:t>
      </w:r>
      <w:r>
        <w:rPr>
          <w:rFonts w:hint="eastAsia"/>
          <w:b/>
          <w:bCs/>
          <w:sz w:val="24"/>
          <w:szCs w:val="22"/>
        </w:rPr>
        <w:t>设备质保时间从临时供热系统调试完成并通过甲方验收之日起计算，至次年上级一次热网接入临时供热设备拆除之日结束，供应商必须在设备运行期间提供本地化售后服务，如出现问题，必须保证专业人员在2小时内抵达现场抢修，如因抢修不到位影响施工作业的，招标人有权采取扣罚全部履约保证金、拒绝支付合同价款或解除合同等方式对中标供应商予以处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bCs/>
          <w:sz w:val="24"/>
          <w:szCs w:val="22"/>
        </w:rPr>
      </w:pPr>
      <w:r>
        <w:rPr>
          <w:rFonts w:hint="eastAsia"/>
          <w:b/>
          <w:bCs/>
          <w:sz w:val="24"/>
          <w:szCs w:val="22"/>
        </w:rPr>
        <w:t>5</w:t>
      </w:r>
      <w:r>
        <w:rPr>
          <w:b/>
          <w:bCs/>
          <w:sz w:val="24"/>
          <w:szCs w:val="22"/>
        </w:rPr>
        <w:t>.</w:t>
      </w:r>
      <w:r>
        <w:rPr>
          <w:rFonts w:hint="eastAsia"/>
          <w:b/>
          <w:bCs/>
          <w:sz w:val="24"/>
          <w:szCs w:val="22"/>
        </w:rPr>
        <w:t>临时供热设备停运后，在上级一次热网接入前，采购人将要求供应商将所有临时供热设备进行拆卸、包装并转运至指定地点后重新组装，并保证其重新组装后具备原有使用功能，投标供应商的报价中应包含此费用，如不按要求完成的，招标人有权扣罚全部履约保证金；</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bCs/>
          <w:sz w:val="24"/>
          <w:szCs w:val="22"/>
          <w:u w:val="single"/>
        </w:rPr>
      </w:pPr>
      <w:r>
        <w:rPr>
          <w:rFonts w:hint="eastAsia" w:ascii="楷体" w:hAnsi="楷体" w:eastAsia="楷体"/>
          <w:b/>
          <w:bCs/>
          <w:sz w:val="24"/>
          <w:szCs w:val="22"/>
          <w:u w:val="single"/>
        </w:rPr>
        <w:t>★</w:t>
      </w:r>
      <w:r>
        <w:rPr>
          <w:rFonts w:hint="eastAsia"/>
          <w:b/>
          <w:bCs/>
          <w:sz w:val="24"/>
          <w:szCs w:val="22"/>
          <w:u w:val="single"/>
        </w:rPr>
        <w:t>各投标供应商应根据以上内容进行承诺，未承诺的按无效标处理！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3D0DC4"/>
    <w:multiLevelType w:val="multilevel"/>
    <w:tmpl w:val="483D0DC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0ZDdiMTAwYjMwYmFkODVkZjViZWIxODFhNGNlMWMifQ=="/>
  </w:docVars>
  <w:rsids>
    <w:rsidRoot w:val="00000000"/>
    <w:rsid w:val="453E1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spacing w:line="312" w:lineRule="auto"/>
      <w:ind w:firstLine="420"/>
    </w:pPr>
    <w:rPr>
      <w:rFonts w:ascii="Times New Roman" w:hAnsi="Times New Roman"/>
      <w:szCs w:val="24"/>
    </w:rPr>
  </w:style>
  <w:style w:type="paragraph" w:styleId="3">
    <w:name w:val="Body Text"/>
    <w:basedOn w:val="1"/>
    <w:qFormat/>
    <w:uiPriority w:val="0"/>
    <w:pPr>
      <w:widowControl/>
      <w:jc w:val="left"/>
    </w:pPr>
    <w:rPr>
      <w:rFonts w:ascii="宋体" w:hAnsi="宋体"/>
      <w:b/>
      <w:bCs/>
      <w:sz w:val="24"/>
    </w:rPr>
  </w:style>
  <w:style w:type="paragraph" w:styleId="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2023-10-08T12:21:31Z</dcterms:created>
  <dc:creator>zhaobiao03</dc:creator>
  <cp:lastModifiedBy>黑夜里的蚂蚁</cp:lastModifiedBy>
  <dcterms:modified xsi:type="dcterms:W3CDTF">2023-10-08T12:22:33Z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FCFAF30EAF3A45BE8FEEDE29D4E57418_12</vt:lpwstr>
  </property>
</Properties>
</file>