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东港市第二医院电子输尿管镜等采购项目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竞争性磋商公告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 xml:space="preserve"> </w:t>
      </w:r>
    </w:p>
    <w:p>
      <w:pPr>
        <w:widowControl/>
        <w:shd w:val="clear" w:color="auto" w:fill="FFFFFF"/>
        <w:spacing w:after="100" w:afterAutospacing="1"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东港市第二医院电子输尿管镜等采购项目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的潜在供应商应在丹东宏图工程咨询有限公司（辽宁省东港市人民大街47号）获取采购文件，并于2024年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点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分（北京时间）前提交响应文件。</w:t>
      </w:r>
    </w:p>
    <w:p>
      <w:pPr>
        <w:widowControl/>
        <w:shd w:val="clear" w:color="auto" w:fill="FFFFFF"/>
        <w:spacing w:before="75" w:after="330" w:line="34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一、项目基本情况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HTDG-ZB000072024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东港市第二医院电子输尿管镜等采购项目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包组编号：001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采购方式：竞争性磋商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预算金额：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280,000.00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元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最高限价：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280,000.00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元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采购需求：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电子膀胱肾盂镜、医用灌注泵、纤维输尿管肾镜（成人常规款）、纤维输尿管肾镜（小儿常规款）的包装、运输、保险、安装、调试、试运行、技术培训，售后服务等。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合同履行期限：自签订合同之日起30个日历天内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需落实的政府采购政策内容：1、对于中小微企业（含监狱企业）的相关规定；2、对于促进残疾人就业的相关规定。</w:t>
      </w:r>
    </w:p>
    <w:p>
      <w:pPr>
        <w:widowControl/>
        <w:shd w:val="clear" w:color="auto" w:fill="FFFFFF"/>
        <w:spacing w:after="100" w:afterAutospacing="1"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本项目不接受联合体投标。</w:t>
      </w:r>
    </w:p>
    <w:p>
      <w:pPr>
        <w:widowControl/>
        <w:shd w:val="clear" w:color="auto" w:fill="FFFFFF"/>
        <w:spacing w:before="75" w:after="330" w:line="34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二、申请人的资格要求</w:t>
      </w:r>
    </w:p>
    <w:p>
      <w:pPr>
        <w:widowControl/>
        <w:shd w:val="clear" w:color="auto" w:fill="FFFFFF"/>
        <w:spacing w:line="36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1.满足《中华人民共和国政府采购法》第二十二条规定；</w:t>
      </w:r>
    </w:p>
    <w:p>
      <w:pPr>
        <w:widowControl/>
        <w:shd w:val="clear" w:color="auto" w:fill="FFFFFF"/>
        <w:spacing w:line="36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2.落实政府采购政策需满足的资格要求：本项目为专门面向中小企业采购，供应商须为《政府采购促进中小企业发展管理办法》（财库[2020]46号）中规定的中小企业。根据《关于促进残疾人就业政府采购政策的通知》财库〔2017〕141号；《关于政府采购支持监狱企业发展有关问题的通知》财库〔2014〕68号的规定，残疾人福利性单位、监狱企业视同小型和微型企业。</w:t>
      </w:r>
    </w:p>
    <w:p>
      <w:pPr>
        <w:widowControl/>
        <w:shd w:val="clear" w:color="auto" w:fill="FFFFFF"/>
        <w:spacing w:line="36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3.本项目的特定资格要求：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须提供投标产品的医疗器械产品注册证（有效期内）；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如果是制造商，须提供医疗器械生产许可证；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如果是代理商或经销商，须提供医疗器械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备案凭证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以及所投产品制造商出具的医疗器械生产许可证。</w:t>
      </w:r>
    </w:p>
    <w:p>
      <w:pPr>
        <w:widowControl/>
        <w:shd w:val="clear" w:color="auto" w:fill="FFFFFF"/>
        <w:spacing w:before="75" w:after="330" w:line="34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三、获取采购文件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时间：2024年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日至2024年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日，每天上午8:00至11:30，下午13:30至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: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highlight w:val="none"/>
        </w:rPr>
        <w:t>0。（北京时间，法定节假日除外）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地点：辽宁省东港市人民大街47号荣泰综合办公楼6楼代理部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方式：领取采购文件需携带的相关资料：1.加盖鲜盖的营业执照副本复印件；2.法定代表人身份证复印件；3.授权委托书（附委托代理人身份证。法定代表人本人购买采购文件的无需提供）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售价：500.00元（现金），售后不退。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>
      <w:pPr>
        <w:widowControl/>
        <w:shd w:val="clear" w:color="auto" w:fill="FFFFFF"/>
        <w:spacing w:before="75"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四、响应文件提交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截止时间：2024年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点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分（北京时间）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地点：丹东宏图工程咨询有限公司会议室（辽宁省东港市人民大街47号）</w:t>
      </w:r>
    </w:p>
    <w:p>
      <w:pPr>
        <w:widowControl/>
        <w:shd w:val="clear" w:color="auto" w:fill="FFFFFF"/>
        <w:spacing w:before="75" w:line="360" w:lineRule="auto"/>
        <w:jc w:val="left"/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五、开启</w:t>
      </w:r>
    </w:p>
    <w:p>
      <w:pPr>
        <w:widowControl/>
        <w:shd w:val="clear" w:color="auto" w:fill="FFFFFF"/>
        <w:spacing w:before="75"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时间：2024年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点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分（北京时间）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地点：丹东宏图工程咨询有限公司会议室（辽宁省东港市人民大街47号）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>
      <w:pPr>
        <w:widowControl/>
        <w:shd w:val="clear" w:color="auto" w:fill="FFFFFF"/>
        <w:spacing w:after="100" w:afterAutospacing="1" w:line="24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六、公告期限</w:t>
      </w:r>
    </w:p>
    <w:p>
      <w:pPr>
        <w:widowControl/>
        <w:shd w:val="clear" w:color="auto" w:fill="FFFFFF"/>
        <w:spacing w:after="100" w:afterAutospacing="1" w:line="24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自本公告发布之日起3个工作日</w:t>
      </w:r>
    </w:p>
    <w:p>
      <w:pPr>
        <w:widowControl/>
        <w:shd w:val="clear" w:color="auto" w:fill="FFFFFF"/>
        <w:spacing w:before="75" w:after="330" w:line="240" w:lineRule="exact"/>
        <w:jc w:val="left"/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七、其他补充事宜</w:t>
      </w:r>
    </w:p>
    <w:p>
      <w:pPr>
        <w:widowControl/>
        <w:shd w:val="clear" w:color="auto" w:fill="FFFFFF"/>
        <w:spacing w:before="75" w:after="330" w:line="24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24"/>
          <w:highlight w:val="none"/>
        </w:rPr>
        <w:t>无</w:t>
      </w:r>
    </w:p>
    <w:p>
      <w:pPr>
        <w:widowControl/>
        <w:shd w:val="clear" w:color="auto" w:fill="FFFFFF"/>
        <w:spacing w:before="75" w:after="330" w:line="24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八、凡对本次采购提出询问，请按以下方式联系。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1.采购人信息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名 称：东港市第二医院　　　　　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地址：东港市孤山镇南三街与中兴路交叉口西南侧　　　　　　　　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联系方式：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0415-7512339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　　　　　　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2.采购代理机构信息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名    称：丹东宏图工程咨询有限公司　</w:t>
      </w:r>
    </w:p>
    <w:p>
      <w:pPr>
        <w:widowControl/>
        <w:shd w:val="clear" w:color="auto" w:fill="FFFFFF"/>
        <w:spacing w:line="380" w:lineRule="exact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地　　址：辽宁省东港市人民大街47号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联系方式：0415-3363899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邮箱地址：DDHTDL123@163.com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开户行：中国建设银行股份有限公司东港支行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账户名称：丹东宏图工程咨询有限公司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账号： 21001665003059000498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　　　　　　　　　　　　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3.项目联系方式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项目联系人：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李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女士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电话：0415-3363899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Y2E1YjFhMjM3NDU4YjJkNzc4MjhlMjZkYjFjNzIifQ=="/>
  </w:docVars>
  <w:rsids>
    <w:rsidRoot w:val="1EF77E0E"/>
    <w:rsid w:val="19EB314D"/>
    <w:rsid w:val="1EF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1322</Characters>
  <Lines>0</Lines>
  <Paragraphs>0</Paragraphs>
  <TotalTime>0</TotalTime>
  <ScaleCrop>false</ScaleCrop>
  <LinksUpToDate>false</LinksUpToDate>
  <CharactersWithSpaces>1364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2024-07-02T00:28:00Z</dcterms:created>
  <dc:creator>孟凡秀</dc:creator>
  <cp:lastModifiedBy>李冰</cp:lastModifiedBy>
  <dcterms:modified xsi:type="dcterms:W3CDTF">2024-07-02T00:32:40Z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5F7BDA360A974202AA4EBD01D227F04D_11</vt:lpwstr>
  </property>
</Properties>
</file>