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7296A5">
      <w:pPr>
        <w:pStyle w:val="3"/>
        <w:numPr>
          <w:ilvl w:val="0"/>
          <w:numId w:val="8"/>
        </w:numPr>
        <w:spacing w:before="120" w:after="120" w:line="520" w:lineRule="exact"/>
        <w:rPr>
          <w:rFonts w:ascii="Cambria" w:hAnsi="Cambria"/>
          <w:bCs/>
          <w:color w:val="auto"/>
          <w:kern w:val="2"/>
          <w:sz w:val="32"/>
          <w:szCs w:val="32"/>
          <w:highlight w:val="none"/>
        </w:rPr>
      </w:pPr>
      <w:bookmarkStart w:id="0" w:name="_Toc73554476"/>
      <w:r>
        <w:rPr>
          <w:rFonts w:hint="eastAsia" w:ascii="Cambria" w:hAnsi="Cambria"/>
          <w:bCs/>
          <w:color w:val="auto"/>
          <w:kern w:val="2"/>
          <w:sz w:val="32"/>
          <w:szCs w:val="32"/>
          <w:highlight w:val="none"/>
        </w:rPr>
        <w:t xml:space="preserve"> </w:t>
      </w:r>
      <w:bookmarkStart w:id="1" w:name="_Toc128210809"/>
      <w:bookmarkStart w:id="2" w:name="_Toc17936"/>
      <w:bookmarkStart w:id="3" w:name="_Toc132723101"/>
      <w:bookmarkStart w:id="4" w:name="_Toc24053"/>
      <w:r>
        <w:rPr>
          <w:rFonts w:hint="eastAsia" w:ascii="Cambria" w:hAnsi="Cambria"/>
          <w:bCs/>
          <w:color w:val="auto"/>
          <w:kern w:val="2"/>
          <w:sz w:val="32"/>
          <w:szCs w:val="32"/>
          <w:highlight w:val="none"/>
        </w:rPr>
        <w:t>技术标准和要求</w:t>
      </w:r>
      <w:bookmarkEnd w:id="1"/>
      <w:bookmarkEnd w:id="2"/>
    </w:p>
    <w:p w14:paraId="1ACEADA5">
      <w:pPr>
        <w:rPr>
          <w:rFonts w:hint="eastAsia" w:ascii="Cambria" w:hAnsi="Cambria" w:eastAsia="宋体" w:cs="Times New Roman"/>
          <w:b/>
          <w:bCs/>
          <w:color w:val="auto"/>
          <w:kern w:val="2"/>
          <w:sz w:val="32"/>
          <w:szCs w:val="32"/>
          <w:highlight w:val="none"/>
          <w:lang w:val="en-US" w:eastAsia="zh-CN" w:bidi="ar-SA"/>
        </w:rPr>
      </w:pPr>
      <w:r>
        <w:rPr>
          <w:rFonts w:hint="eastAsia" w:ascii="Cambria" w:hAnsi="Cambria" w:eastAsia="宋体" w:cs="Times New Roman"/>
          <w:b/>
          <w:bCs/>
          <w:color w:val="auto"/>
          <w:kern w:val="2"/>
          <w:sz w:val="32"/>
          <w:szCs w:val="32"/>
          <w:highlight w:val="none"/>
          <w:lang w:val="en-US" w:eastAsia="zh-CN" w:bidi="ar-SA"/>
        </w:rPr>
        <w:t>（以</w:t>
      </w:r>
      <w:r>
        <w:rPr>
          <w:rFonts w:hint="eastAsia" w:ascii="Cambria" w:hAnsi="Cambria" w:cs="Times New Roman"/>
          <w:b/>
          <w:bCs/>
          <w:color w:val="auto"/>
          <w:kern w:val="2"/>
          <w:sz w:val="32"/>
          <w:szCs w:val="32"/>
          <w:highlight w:val="none"/>
          <w:lang w:val="en-US" w:eastAsia="zh-CN" w:bidi="ar-SA"/>
        </w:rPr>
        <w:t>下</w:t>
      </w:r>
      <w:r>
        <w:rPr>
          <w:rFonts w:hint="eastAsia" w:ascii="Cambria" w:hAnsi="Cambria" w:eastAsia="宋体" w:cs="Times New Roman"/>
          <w:b/>
          <w:bCs/>
          <w:color w:val="auto"/>
          <w:kern w:val="2"/>
          <w:sz w:val="32"/>
          <w:szCs w:val="32"/>
          <w:highlight w:val="none"/>
          <w:lang w:val="en-US" w:eastAsia="zh-CN" w:bidi="ar-SA"/>
        </w:rPr>
        <w:t>为通用要求，具体以项目工程量清单所涉内容为准）</w:t>
      </w:r>
    </w:p>
    <w:bookmarkEnd w:id="3"/>
    <w:bookmarkEnd w:id="4"/>
    <w:p w14:paraId="1DD60A3C">
      <w:pPr>
        <w:numPr>
          <w:ilvl w:val="0"/>
          <w:numId w:val="9"/>
        </w:numPr>
        <w:spacing w:before="100" w:after="100" w:line="440" w:lineRule="exact"/>
        <w:ind w:left="840" w:hanging="420"/>
        <w:outlineLvl w:val="1"/>
        <w:rPr>
          <w:rFonts w:ascii="Times New Roman" w:hAnsi="Times New Roman" w:eastAsia="微软雅黑" w:cs="宋体"/>
          <w:b/>
          <w:color w:val="auto"/>
          <w:sz w:val="28"/>
          <w:szCs w:val="28"/>
          <w:highlight w:val="none"/>
        </w:rPr>
      </w:pPr>
      <w:bookmarkStart w:id="5" w:name="_Toc170372524"/>
      <w:bookmarkStart w:id="6" w:name="_Toc11054"/>
      <w:r>
        <w:rPr>
          <w:rFonts w:hint="eastAsia" w:ascii="Times New Roman" w:hAnsi="Times New Roman" w:eastAsia="微软雅黑" w:cs="宋体"/>
          <w:b/>
          <w:color w:val="auto"/>
          <w:sz w:val="28"/>
          <w:szCs w:val="28"/>
          <w:highlight w:val="none"/>
        </w:rPr>
        <w:t>技术及质量要求</w:t>
      </w:r>
      <w:bookmarkEnd w:id="5"/>
    </w:p>
    <w:p w14:paraId="6EE00BDE">
      <w:pPr>
        <w:widowControl w:val="0"/>
        <w:numPr>
          <w:ilvl w:val="0"/>
          <w:numId w:val="10"/>
        </w:numPr>
        <w:spacing w:line="400" w:lineRule="exact"/>
        <w:ind w:firstLine="420" w:firstLineChars="200"/>
        <w:jc w:val="both"/>
        <w:rPr>
          <w:rFonts w:ascii="Times New Roman" w:hAnsi="Times New Roman" w:eastAsia="宋体" w:cs="宋体"/>
          <w:color w:val="auto"/>
          <w:kern w:val="2"/>
          <w:sz w:val="21"/>
          <w:szCs w:val="21"/>
          <w:highlight w:val="none"/>
          <w:lang w:val="en-US" w:eastAsia="zh-CN" w:bidi="ar-SA"/>
        </w:rPr>
      </w:pPr>
      <w:r>
        <w:rPr>
          <w:rFonts w:hint="eastAsia" w:ascii="Times New Roman" w:hAnsi="Times New Roman" w:eastAsia="宋体" w:cs="宋体"/>
          <w:color w:val="auto"/>
          <w:kern w:val="2"/>
          <w:sz w:val="21"/>
          <w:szCs w:val="21"/>
          <w:highlight w:val="none"/>
          <w:lang w:val="en-US" w:eastAsia="zh-CN" w:bidi="ar-SA"/>
        </w:rPr>
        <w:t>所有材料、半成品、成品及设备须按照采购人给定的范围选购，材料、半成品、成品和设备的选购必须符合此表述和设计图纸要求，须保证没有缺陷的优等品。</w:t>
      </w:r>
    </w:p>
    <w:p w14:paraId="215FBF66">
      <w:pPr>
        <w:widowControl w:val="0"/>
        <w:numPr>
          <w:ilvl w:val="0"/>
          <w:numId w:val="10"/>
        </w:numPr>
        <w:spacing w:line="400" w:lineRule="exact"/>
        <w:ind w:firstLine="420" w:firstLineChars="200"/>
        <w:jc w:val="both"/>
        <w:rPr>
          <w:rFonts w:ascii="Times New Roman" w:hAnsi="Times New Roman" w:eastAsia="宋体" w:cs="宋体"/>
          <w:color w:val="auto"/>
          <w:kern w:val="2"/>
          <w:sz w:val="21"/>
          <w:szCs w:val="21"/>
          <w:highlight w:val="none"/>
          <w:lang w:val="en-US" w:eastAsia="zh-CN" w:bidi="ar-SA"/>
        </w:rPr>
      </w:pPr>
      <w:r>
        <w:rPr>
          <w:rFonts w:hint="eastAsia" w:ascii="Times New Roman" w:hAnsi="Times New Roman" w:eastAsia="宋体" w:cs="宋体"/>
          <w:color w:val="auto"/>
          <w:kern w:val="2"/>
          <w:sz w:val="21"/>
          <w:szCs w:val="21"/>
          <w:highlight w:val="none"/>
          <w:lang w:val="en-US" w:eastAsia="zh-CN" w:bidi="ar-SA"/>
        </w:rPr>
        <w:t>工期：</w:t>
      </w:r>
      <w:r>
        <w:rPr>
          <w:rFonts w:hint="eastAsia" w:ascii="Times New Roman" w:hAnsi="Times New Roman" w:eastAsia="宋体" w:cs="宋体"/>
          <w:bCs/>
          <w:color w:val="auto"/>
          <w:kern w:val="2"/>
          <w:sz w:val="21"/>
          <w:szCs w:val="21"/>
          <w:highlight w:val="none"/>
          <w:lang w:val="en-US" w:eastAsia="zh-CN" w:bidi="ar-SA"/>
        </w:rPr>
        <w:t>供应商要合理的计划工期，充分考虑冬雨季及恶劣气候（如大风、沙尘、冰雹、暴雨、持续高温等）、政府政治性会议或其他事件（如迎新、高考、运动会、重大节假日、疫情）等因素对工期的影响。</w:t>
      </w:r>
    </w:p>
    <w:p w14:paraId="5EF3C4E6">
      <w:pPr>
        <w:widowControl w:val="0"/>
        <w:numPr>
          <w:ilvl w:val="0"/>
          <w:numId w:val="10"/>
        </w:numPr>
        <w:spacing w:line="400" w:lineRule="exact"/>
        <w:ind w:firstLine="422" w:firstLineChars="200"/>
        <w:jc w:val="both"/>
        <w:rPr>
          <w:rFonts w:ascii="Times New Roman" w:hAnsi="Times New Roman" w:eastAsia="宋体" w:cs="宋体"/>
          <w:b/>
          <w:bCs/>
          <w:color w:val="auto"/>
          <w:kern w:val="2"/>
          <w:sz w:val="21"/>
          <w:szCs w:val="21"/>
          <w:highlight w:val="none"/>
          <w:u w:val="single"/>
          <w:lang w:val="en-US" w:eastAsia="zh-CN" w:bidi="ar-SA"/>
        </w:rPr>
      </w:pPr>
      <w:r>
        <w:rPr>
          <w:rFonts w:hint="eastAsia" w:ascii="Times New Roman" w:hAnsi="Times New Roman" w:eastAsia="宋体" w:cs="宋体"/>
          <w:b/>
          <w:bCs/>
          <w:color w:val="auto"/>
          <w:kern w:val="2"/>
          <w:sz w:val="21"/>
          <w:szCs w:val="21"/>
          <w:highlight w:val="none"/>
          <w:u w:val="single"/>
          <w:lang w:val="en-US" w:eastAsia="zh-CN" w:bidi="ar-SA"/>
        </w:rPr>
        <w:t>施工单位在进场后，由于现场</w:t>
      </w:r>
      <w:r>
        <w:rPr>
          <w:rFonts w:ascii="Times New Roman" w:hAnsi="Times New Roman" w:eastAsia="宋体" w:cs="宋体"/>
          <w:b/>
          <w:bCs/>
          <w:color w:val="auto"/>
          <w:kern w:val="2"/>
          <w:sz w:val="21"/>
          <w:szCs w:val="21"/>
          <w:highlight w:val="none"/>
          <w:u w:val="single"/>
          <w:lang w:val="en-US" w:eastAsia="zh-CN" w:bidi="ar-SA"/>
        </w:rPr>
        <w:t>施工作业、</w:t>
      </w:r>
      <w:r>
        <w:rPr>
          <w:rFonts w:hint="eastAsia" w:ascii="Times New Roman" w:hAnsi="Times New Roman" w:eastAsia="宋体" w:cs="宋体"/>
          <w:b/>
          <w:bCs/>
          <w:color w:val="auto"/>
          <w:kern w:val="2"/>
          <w:sz w:val="21"/>
          <w:szCs w:val="21"/>
          <w:highlight w:val="none"/>
          <w:u w:val="single"/>
          <w:lang w:val="en-US" w:eastAsia="zh-CN" w:bidi="ar-SA"/>
        </w:rPr>
        <w:t>材料进场、垃圾外运及材料或建筑垃圾的堆放对校内环境、道路造成的破坏由施工单位负责无偿恢复。</w:t>
      </w:r>
    </w:p>
    <w:p w14:paraId="3456A7BF">
      <w:pPr>
        <w:widowControl w:val="0"/>
        <w:numPr>
          <w:ilvl w:val="0"/>
          <w:numId w:val="10"/>
        </w:numPr>
        <w:spacing w:line="400" w:lineRule="exact"/>
        <w:ind w:firstLine="420" w:firstLineChars="200"/>
        <w:jc w:val="both"/>
        <w:rPr>
          <w:rFonts w:ascii="Times New Roman" w:hAnsi="Times New Roman" w:eastAsia="宋体" w:cs="宋体"/>
          <w:color w:val="auto"/>
          <w:kern w:val="2"/>
          <w:sz w:val="21"/>
          <w:szCs w:val="21"/>
          <w:highlight w:val="none"/>
          <w:lang w:val="en-US" w:eastAsia="zh-CN" w:bidi="ar-SA"/>
        </w:rPr>
      </w:pPr>
      <w:r>
        <w:rPr>
          <w:rFonts w:hint="eastAsia" w:ascii="Times New Roman" w:hAnsi="Times New Roman" w:eastAsia="宋体" w:cs="宋体"/>
          <w:color w:val="auto"/>
          <w:kern w:val="2"/>
          <w:sz w:val="21"/>
          <w:szCs w:val="21"/>
          <w:highlight w:val="none"/>
          <w:lang w:val="en-US" w:eastAsia="zh-CN" w:bidi="ar-SA"/>
        </w:rPr>
        <w:t>校内既有校园道路即为本工程的场内道路，具体路段现场确定，工程车辆应严格按照校园道路限制荷载行驶，道路及交通设施损坏赔偿按照原标准恢复，费用由承包人承担。</w:t>
      </w:r>
    </w:p>
    <w:p w14:paraId="4A153803">
      <w:pPr>
        <w:widowControl w:val="0"/>
        <w:numPr>
          <w:ilvl w:val="0"/>
          <w:numId w:val="10"/>
        </w:numPr>
        <w:spacing w:line="400" w:lineRule="exact"/>
        <w:ind w:firstLine="420" w:firstLineChars="200"/>
        <w:jc w:val="both"/>
        <w:rPr>
          <w:rFonts w:ascii="Times New Roman" w:hAnsi="Times New Roman" w:eastAsia="宋体" w:cs="宋体"/>
          <w:color w:val="auto"/>
          <w:kern w:val="2"/>
          <w:sz w:val="21"/>
          <w:szCs w:val="21"/>
          <w:highlight w:val="none"/>
          <w:lang w:val="en-US" w:eastAsia="zh-CN" w:bidi="ar-SA"/>
        </w:rPr>
      </w:pPr>
      <w:r>
        <w:rPr>
          <w:rFonts w:hint="eastAsia" w:ascii="Times New Roman" w:hAnsi="Times New Roman" w:eastAsia="宋体" w:cs="宋体"/>
          <w:color w:val="auto"/>
          <w:kern w:val="2"/>
          <w:sz w:val="21"/>
          <w:szCs w:val="21"/>
          <w:highlight w:val="none"/>
          <w:lang w:val="en-US" w:eastAsia="zh-CN" w:bidi="ar-SA"/>
        </w:rPr>
        <w:t>采购人组织现场踏勘，供应商需充分了解现场情况。未经</w:t>
      </w:r>
      <w:r>
        <w:rPr>
          <w:rFonts w:hint="eastAsia" w:ascii="Times New Roman" w:hAnsi="Times New Roman" w:eastAsia="微软雅黑" w:cs="Times New Roman"/>
          <w:b/>
          <w:bCs/>
          <w:color w:val="auto"/>
          <w:kern w:val="2"/>
          <w:sz w:val="21"/>
          <w:szCs w:val="21"/>
          <w:highlight w:val="none"/>
          <w:lang w:val="en-US" w:eastAsia="zh-CN" w:bidi="ar-SA"/>
        </w:rPr>
        <w:t>采购人</w:t>
      </w:r>
      <w:r>
        <w:rPr>
          <w:rFonts w:hint="eastAsia" w:ascii="Times New Roman" w:hAnsi="Times New Roman" w:eastAsia="宋体" w:cs="宋体"/>
          <w:color w:val="auto"/>
          <w:kern w:val="2"/>
          <w:sz w:val="21"/>
          <w:szCs w:val="21"/>
          <w:highlight w:val="none"/>
          <w:lang w:val="en-US" w:eastAsia="zh-CN" w:bidi="ar-SA"/>
        </w:rPr>
        <w:t>认可，任何原因的工期延误都不被允许。</w:t>
      </w:r>
    </w:p>
    <w:p w14:paraId="0272BE13">
      <w:pPr>
        <w:widowControl w:val="0"/>
        <w:numPr>
          <w:ilvl w:val="0"/>
          <w:numId w:val="10"/>
        </w:numPr>
        <w:spacing w:line="400" w:lineRule="exact"/>
        <w:ind w:firstLine="420" w:firstLineChars="200"/>
        <w:jc w:val="both"/>
        <w:rPr>
          <w:rFonts w:ascii="Times New Roman" w:hAnsi="Times New Roman" w:eastAsia="宋体" w:cs="宋体"/>
          <w:color w:val="auto"/>
          <w:kern w:val="2"/>
          <w:sz w:val="21"/>
          <w:szCs w:val="21"/>
          <w:highlight w:val="none"/>
          <w:lang w:val="en-US" w:eastAsia="zh-CN" w:bidi="ar-SA"/>
        </w:rPr>
      </w:pPr>
      <w:r>
        <w:rPr>
          <w:rFonts w:hint="eastAsia" w:ascii="Times New Roman" w:hAnsi="Times New Roman" w:eastAsia="宋体" w:cs="宋体"/>
          <w:color w:val="auto"/>
          <w:kern w:val="2"/>
          <w:sz w:val="21"/>
          <w:szCs w:val="21"/>
          <w:highlight w:val="none"/>
          <w:lang w:val="en-US" w:eastAsia="zh-CN" w:bidi="ar-SA"/>
        </w:rPr>
        <w:t>供应商需在施工组织设计中制定详尽的分部分项工程进度计划，编制施工进度横道图</w:t>
      </w:r>
      <w:r>
        <w:rPr>
          <w:rFonts w:hint="eastAsia" w:ascii="Times New Roman" w:hAnsi="Times New Roman" w:eastAsia="宋体" w:cs="宋体"/>
          <w:b/>
          <w:bCs/>
          <w:color w:val="auto"/>
          <w:kern w:val="2"/>
          <w:sz w:val="21"/>
          <w:szCs w:val="21"/>
          <w:highlight w:val="none"/>
          <w:lang w:val="en-US" w:eastAsia="zh-CN" w:bidi="ar-SA"/>
        </w:rPr>
        <w:t>（横道图须加盖公章及项目经理签字确认）</w:t>
      </w:r>
      <w:r>
        <w:rPr>
          <w:rFonts w:hint="eastAsia" w:ascii="Times New Roman" w:hAnsi="Times New Roman" w:eastAsia="宋体" w:cs="宋体"/>
          <w:color w:val="auto"/>
          <w:kern w:val="2"/>
          <w:sz w:val="21"/>
          <w:szCs w:val="21"/>
          <w:highlight w:val="none"/>
          <w:lang w:val="en-US" w:eastAsia="zh-CN" w:bidi="ar-SA"/>
        </w:rPr>
        <w:t>。施工过程中，供应商原因造成的分部分项工程工期拖延，每拖延一天扣除分部分项工程费用1%，最多扣除30%。分部分项工程需经监理及供应商验收确认。因投采购人造成的分部分项工程工期延误，分部分项工期顺延。</w:t>
      </w:r>
    </w:p>
    <w:p w14:paraId="7AB9A1CF">
      <w:pPr>
        <w:widowControl w:val="0"/>
        <w:numPr>
          <w:ilvl w:val="0"/>
          <w:numId w:val="10"/>
        </w:numPr>
        <w:spacing w:line="400" w:lineRule="exact"/>
        <w:ind w:firstLine="420" w:firstLineChars="200"/>
        <w:jc w:val="both"/>
        <w:rPr>
          <w:rFonts w:ascii="Times New Roman" w:hAnsi="Times New Roman" w:eastAsia="宋体" w:cs="宋体"/>
          <w:color w:val="auto"/>
          <w:kern w:val="2"/>
          <w:sz w:val="21"/>
          <w:szCs w:val="21"/>
          <w:highlight w:val="none"/>
          <w:lang w:val="en-US" w:eastAsia="zh-CN" w:bidi="ar-SA"/>
        </w:rPr>
      </w:pPr>
      <w:r>
        <w:rPr>
          <w:rFonts w:hint="eastAsia" w:ascii="Times New Roman" w:hAnsi="Times New Roman" w:eastAsia="宋体" w:cs="宋体"/>
          <w:color w:val="auto"/>
          <w:kern w:val="2"/>
          <w:sz w:val="21"/>
          <w:szCs w:val="21"/>
          <w:highlight w:val="none"/>
          <w:lang w:val="en-US" w:eastAsia="zh-CN" w:bidi="ar-SA"/>
        </w:rPr>
        <w:t>施工过程中签证变更，中标人需在</w:t>
      </w:r>
      <w:r>
        <w:rPr>
          <w:rFonts w:ascii="Times New Roman" w:hAnsi="Times New Roman" w:eastAsia="宋体" w:cs="宋体"/>
          <w:color w:val="auto"/>
          <w:kern w:val="2"/>
          <w:sz w:val="21"/>
          <w:szCs w:val="21"/>
          <w:highlight w:val="none"/>
          <w:lang w:val="en-US" w:eastAsia="zh-CN" w:bidi="ar-SA"/>
        </w:rPr>
        <w:t>2日内提供造价清单，如延误每天罚款2000元；</w:t>
      </w:r>
    </w:p>
    <w:p w14:paraId="0D9EC6BC">
      <w:pPr>
        <w:widowControl w:val="0"/>
        <w:numPr>
          <w:ilvl w:val="0"/>
          <w:numId w:val="10"/>
        </w:numPr>
        <w:spacing w:line="400" w:lineRule="exact"/>
        <w:ind w:firstLine="422" w:firstLineChars="200"/>
        <w:jc w:val="both"/>
        <w:rPr>
          <w:rFonts w:ascii="Times New Roman" w:hAnsi="Times New Roman" w:eastAsia="宋体" w:cs="宋体"/>
          <w:b/>
          <w:bCs/>
          <w:color w:val="auto"/>
          <w:kern w:val="2"/>
          <w:sz w:val="21"/>
          <w:szCs w:val="21"/>
          <w:highlight w:val="none"/>
          <w:lang w:val="en-US" w:eastAsia="zh-CN" w:bidi="ar-SA"/>
        </w:rPr>
      </w:pPr>
      <w:r>
        <w:rPr>
          <w:rFonts w:hint="eastAsia" w:ascii="Times New Roman" w:hAnsi="Times New Roman" w:eastAsia="宋体" w:cs="宋体"/>
          <w:b/>
          <w:bCs/>
          <w:color w:val="auto"/>
          <w:kern w:val="2"/>
          <w:sz w:val="21"/>
          <w:szCs w:val="21"/>
          <w:highlight w:val="none"/>
          <w:lang w:val="en-US" w:eastAsia="zh-CN" w:bidi="ar-SA"/>
        </w:rPr>
        <w:t>供应商需对整体工程造价进行把控，如清单外项目导致总造价超出合同金额，清单外超出部分工程量，无论是否得到采购人确认，都不被认可，其费用都将视为中标人的无偿让利。</w:t>
      </w:r>
    </w:p>
    <w:p w14:paraId="6FC2E56F">
      <w:pPr>
        <w:numPr>
          <w:ilvl w:val="0"/>
          <w:numId w:val="10"/>
        </w:numPr>
        <w:spacing w:line="400" w:lineRule="exact"/>
        <w:ind w:firstLine="420" w:firstLineChars="200"/>
        <w:rPr>
          <w:rFonts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中标人需保证竣工时室内环境空气指标符合国家相应标准。中标人需按采购人要求进行环境监测，提供真实有效的环境检测报告，检测费用由中标人承担。</w:t>
      </w:r>
    </w:p>
    <w:p w14:paraId="505B3BD9">
      <w:pPr>
        <w:numPr>
          <w:ilvl w:val="0"/>
          <w:numId w:val="9"/>
        </w:numPr>
        <w:spacing w:before="160" w:after="100" w:line="440" w:lineRule="exact"/>
        <w:ind w:left="840" w:hanging="420"/>
        <w:outlineLvl w:val="1"/>
        <w:rPr>
          <w:rFonts w:ascii="Times New Roman" w:hAnsi="Times New Roman" w:eastAsia="微软雅黑" w:cs="宋体"/>
          <w:b/>
          <w:color w:val="auto"/>
          <w:sz w:val="28"/>
          <w:szCs w:val="28"/>
          <w:highlight w:val="none"/>
        </w:rPr>
      </w:pPr>
      <w:bookmarkStart w:id="7" w:name="_Toc170372525"/>
      <w:r>
        <w:rPr>
          <w:rFonts w:hint="eastAsia" w:ascii="Times New Roman" w:hAnsi="Times New Roman" w:eastAsia="微软雅黑" w:cs="宋体"/>
          <w:b/>
          <w:color w:val="auto"/>
          <w:sz w:val="28"/>
          <w:szCs w:val="28"/>
          <w:highlight w:val="none"/>
        </w:rPr>
        <w:t>材料及设备要求</w:t>
      </w:r>
      <w:bookmarkEnd w:id="7"/>
    </w:p>
    <w:p w14:paraId="23CF9DD5">
      <w:pPr>
        <w:widowControl w:val="0"/>
        <w:numPr>
          <w:ilvl w:val="0"/>
          <w:numId w:val="11"/>
        </w:numPr>
        <w:spacing w:line="400" w:lineRule="exact"/>
        <w:ind w:left="0" w:firstLine="420"/>
        <w:jc w:val="both"/>
        <w:rPr>
          <w:rFonts w:ascii="Times New Roman" w:hAnsi="Times New Roman" w:eastAsia="宋体" w:cs="宋体"/>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常规</w:t>
      </w:r>
      <w:r>
        <w:rPr>
          <w:rFonts w:ascii="Times New Roman" w:hAnsi="Times New Roman" w:eastAsia="宋体" w:cs="Times New Roman"/>
          <w:color w:val="auto"/>
          <w:kern w:val="2"/>
          <w:sz w:val="21"/>
          <w:szCs w:val="24"/>
          <w:highlight w:val="none"/>
          <w:lang w:val="en-US" w:eastAsia="zh-CN" w:bidi="ar-SA"/>
        </w:rPr>
        <w:t>要求</w:t>
      </w:r>
    </w:p>
    <w:tbl>
      <w:tblPr>
        <w:tblStyle w:val="58"/>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703"/>
        <w:gridCol w:w="7580"/>
      </w:tblGrid>
      <w:tr w14:paraId="739D33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vAlign w:val="center"/>
          </w:tcPr>
          <w:p w14:paraId="630F918D">
            <w:pPr>
              <w:widowControl w:val="0"/>
              <w:jc w:val="center"/>
              <w:rPr>
                <w:rFonts w:ascii="Times New Roman" w:hAnsi="Times New Roman" w:eastAsia="宋体" w:cs="Times New Roman"/>
                <w:b/>
                <w:color w:val="auto"/>
                <w:kern w:val="2"/>
                <w:sz w:val="21"/>
                <w:szCs w:val="24"/>
                <w:highlight w:val="none"/>
                <w:lang w:val="en-US" w:eastAsia="zh-CN" w:bidi="ar-SA"/>
              </w:rPr>
            </w:pPr>
            <w:r>
              <w:rPr>
                <w:rFonts w:hint="eastAsia" w:ascii="Times New Roman" w:hAnsi="Times New Roman" w:eastAsia="宋体" w:cs="Times New Roman"/>
                <w:b/>
                <w:color w:val="auto"/>
                <w:kern w:val="2"/>
                <w:sz w:val="21"/>
                <w:szCs w:val="24"/>
                <w:highlight w:val="none"/>
                <w:lang w:val="en-US" w:eastAsia="zh-CN" w:bidi="ar-SA"/>
              </w:rPr>
              <w:t>序号</w:t>
            </w:r>
          </w:p>
        </w:tc>
        <w:tc>
          <w:tcPr>
            <w:tcW w:w="7580" w:type="dxa"/>
            <w:vAlign w:val="center"/>
          </w:tcPr>
          <w:p w14:paraId="346A1533">
            <w:pPr>
              <w:widowControl w:val="0"/>
              <w:jc w:val="center"/>
              <w:rPr>
                <w:rFonts w:ascii="Times New Roman" w:hAnsi="Times New Roman" w:eastAsia="宋体" w:cs="宋体"/>
                <w:b/>
                <w:color w:val="auto"/>
                <w:kern w:val="2"/>
                <w:sz w:val="21"/>
                <w:szCs w:val="21"/>
                <w:highlight w:val="none"/>
                <w:lang w:val="en-US" w:eastAsia="zh-CN" w:bidi="ar-SA"/>
              </w:rPr>
            </w:pPr>
            <w:r>
              <w:rPr>
                <w:rFonts w:hint="eastAsia" w:ascii="Times New Roman" w:hAnsi="Times New Roman" w:eastAsia="宋体" w:cs="宋体"/>
                <w:b/>
                <w:color w:val="auto"/>
                <w:kern w:val="2"/>
                <w:sz w:val="21"/>
                <w:szCs w:val="21"/>
                <w:highlight w:val="none"/>
                <w:lang w:val="en-US" w:eastAsia="zh-CN" w:bidi="ar-SA"/>
              </w:rPr>
              <w:t>材料</w:t>
            </w:r>
            <w:r>
              <w:rPr>
                <w:rFonts w:ascii="Times New Roman" w:hAnsi="Times New Roman" w:eastAsia="宋体" w:cs="宋体"/>
                <w:b/>
                <w:color w:val="auto"/>
                <w:kern w:val="2"/>
                <w:sz w:val="21"/>
                <w:szCs w:val="21"/>
                <w:highlight w:val="none"/>
                <w:lang w:val="en-US" w:eastAsia="zh-CN" w:bidi="ar-SA"/>
              </w:rPr>
              <w:t>和设备要求</w:t>
            </w:r>
          </w:p>
        </w:tc>
      </w:tr>
      <w:tr w14:paraId="37BBB4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tcPr>
          <w:p w14:paraId="4E14CC2E">
            <w:pPr>
              <w:widowControl w:val="0"/>
              <w:numPr>
                <w:ilvl w:val="0"/>
                <w:numId w:val="12"/>
              </w:numPr>
              <w:jc w:val="both"/>
              <w:rPr>
                <w:rFonts w:ascii="Times New Roman" w:hAnsi="Times New Roman" w:eastAsia="宋体" w:cs="Times New Roman"/>
                <w:color w:val="auto"/>
                <w:kern w:val="2"/>
                <w:sz w:val="21"/>
                <w:szCs w:val="24"/>
                <w:highlight w:val="none"/>
                <w:lang w:val="en-US" w:eastAsia="zh-CN" w:bidi="ar-SA"/>
              </w:rPr>
            </w:pPr>
          </w:p>
        </w:tc>
        <w:tc>
          <w:tcPr>
            <w:tcW w:w="7580" w:type="dxa"/>
          </w:tcPr>
          <w:p w14:paraId="38421729">
            <w:pPr>
              <w:widowControl w:val="0"/>
              <w:jc w:val="both"/>
              <w:rPr>
                <w:rFonts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宋体"/>
                <w:color w:val="auto"/>
                <w:kern w:val="2"/>
                <w:sz w:val="21"/>
                <w:szCs w:val="21"/>
                <w:highlight w:val="none"/>
                <w:lang w:val="en-US" w:eastAsia="zh-CN" w:bidi="ar-SA"/>
              </w:rPr>
              <w:t>内墙涂料</w:t>
            </w:r>
            <w:r>
              <w:rPr>
                <w:rFonts w:ascii="Times New Roman" w:hAnsi="Times New Roman" w:eastAsia="宋体" w:cs="宋体"/>
                <w:color w:val="auto"/>
                <w:kern w:val="2"/>
                <w:sz w:val="21"/>
                <w:szCs w:val="21"/>
                <w:highlight w:val="none"/>
                <w:lang w:val="en-US" w:eastAsia="zh-CN" w:bidi="ar-SA"/>
              </w:rPr>
              <w:t>性能指标参照或相当于</w:t>
            </w:r>
            <w:r>
              <w:rPr>
                <w:rFonts w:hint="eastAsia" w:ascii="Times New Roman" w:hAnsi="Times New Roman" w:eastAsia="宋体" w:cs="宋体"/>
                <w:color w:val="auto"/>
                <w:kern w:val="2"/>
                <w:sz w:val="21"/>
                <w:szCs w:val="21"/>
                <w:highlight w:val="none"/>
                <w:lang w:val="en-US" w:eastAsia="zh-CN" w:bidi="ar-SA"/>
              </w:rPr>
              <w:t>电视塔、立邦、多乐士等品牌质量标准；</w:t>
            </w:r>
          </w:p>
        </w:tc>
      </w:tr>
      <w:tr w14:paraId="1DC1F4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tcPr>
          <w:p w14:paraId="54DBE078">
            <w:pPr>
              <w:widowControl w:val="0"/>
              <w:numPr>
                <w:ilvl w:val="0"/>
                <w:numId w:val="12"/>
              </w:numPr>
              <w:jc w:val="both"/>
              <w:rPr>
                <w:rFonts w:ascii="Times New Roman" w:hAnsi="Times New Roman" w:eastAsia="宋体" w:cs="Times New Roman"/>
                <w:color w:val="auto"/>
                <w:kern w:val="2"/>
                <w:sz w:val="21"/>
                <w:szCs w:val="24"/>
                <w:highlight w:val="none"/>
                <w:lang w:val="en-US" w:eastAsia="zh-CN" w:bidi="ar-SA"/>
              </w:rPr>
            </w:pPr>
          </w:p>
        </w:tc>
        <w:tc>
          <w:tcPr>
            <w:tcW w:w="7580" w:type="dxa"/>
          </w:tcPr>
          <w:p w14:paraId="4B171E48">
            <w:pPr>
              <w:widowControl w:val="0"/>
              <w:jc w:val="both"/>
              <w:rPr>
                <w:rFonts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宋体"/>
                <w:color w:val="auto"/>
                <w:kern w:val="2"/>
                <w:sz w:val="21"/>
                <w:szCs w:val="21"/>
                <w:highlight w:val="none"/>
                <w:lang w:val="en-US" w:eastAsia="zh-CN" w:bidi="ar-SA"/>
              </w:rPr>
              <w:t>外墙真石漆</w:t>
            </w:r>
            <w:r>
              <w:rPr>
                <w:rFonts w:ascii="Times New Roman" w:hAnsi="Times New Roman" w:eastAsia="宋体" w:cs="宋体"/>
                <w:color w:val="auto"/>
                <w:kern w:val="2"/>
                <w:sz w:val="21"/>
                <w:szCs w:val="21"/>
                <w:highlight w:val="none"/>
                <w:lang w:val="en-US" w:eastAsia="zh-CN" w:bidi="ar-SA"/>
              </w:rPr>
              <w:t>性能指标参照或相当于</w:t>
            </w:r>
            <w:r>
              <w:rPr>
                <w:rFonts w:hint="eastAsia" w:ascii="Times New Roman" w:hAnsi="Times New Roman" w:eastAsia="宋体" w:cs="宋体"/>
                <w:color w:val="auto"/>
                <w:kern w:val="2"/>
                <w:sz w:val="21"/>
                <w:szCs w:val="21"/>
                <w:highlight w:val="none"/>
                <w:lang w:val="en-US" w:eastAsia="zh-CN" w:bidi="ar-SA"/>
              </w:rPr>
              <w:t>飞马、华润、墙特等品牌质量标准</w:t>
            </w:r>
          </w:p>
        </w:tc>
      </w:tr>
      <w:tr w14:paraId="3AEDFD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tcPr>
          <w:p w14:paraId="46730871">
            <w:pPr>
              <w:widowControl w:val="0"/>
              <w:numPr>
                <w:ilvl w:val="0"/>
                <w:numId w:val="12"/>
              </w:numPr>
              <w:jc w:val="both"/>
              <w:rPr>
                <w:rFonts w:ascii="Times New Roman" w:hAnsi="Times New Roman" w:eastAsia="宋体" w:cs="Times New Roman"/>
                <w:color w:val="auto"/>
                <w:kern w:val="2"/>
                <w:sz w:val="21"/>
                <w:szCs w:val="24"/>
                <w:highlight w:val="none"/>
                <w:lang w:val="en-US" w:eastAsia="zh-CN" w:bidi="ar-SA"/>
              </w:rPr>
            </w:pPr>
          </w:p>
        </w:tc>
        <w:tc>
          <w:tcPr>
            <w:tcW w:w="7580" w:type="dxa"/>
          </w:tcPr>
          <w:p w14:paraId="4A2403B9">
            <w:pPr>
              <w:widowControl w:val="0"/>
              <w:jc w:val="both"/>
              <w:rPr>
                <w:rFonts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宋体"/>
                <w:color w:val="auto"/>
                <w:kern w:val="2"/>
                <w:sz w:val="21"/>
                <w:szCs w:val="21"/>
                <w:highlight w:val="none"/>
                <w:lang w:val="en-US" w:eastAsia="zh-CN" w:bidi="ar-SA"/>
              </w:rPr>
              <w:t>外墙涂料</w:t>
            </w:r>
            <w:r>
              <w:rPr>
                <w:rFonts w:ascii="Times New Roman" w:hAnsi="Times New Roman" w:eastAsia="宋体" w:cs="宋体"/>
                <w:color w:val="auto"/>
                <w:kern w:val="2"/>
                <w:sz w:val="21"/>
                <w:szCs w:val="21"/>
                <w:highlight w:val="none"/>
                <w:lang w:val="en-US" w:eastAsia="zh-CN" w:bidi="ar-SA"/>
              </w:rPr>
              <w:t>性能指标参照或相当于</w:t>
            </w:r>
            <w:r>
              <w:rPr>
                <w:rFonts w:hint="eastAsia" w:ascii="Times New Roman" w:hAnsi="Times New Roman" w:eastAsia="宋体" w:cs="宋体"/>
                <w:color w:val="auto"/>
                <w:kern w:val="2"/>
                <w:sz w:val="21"/>
                <w:szCs w:val="21"/>
                <w:highlight w:val="none"/>
                <w:lang w:val="en-US" w:eastAsia="zh-CN" w:bidi="ar-SA"/>
              </w:rPr>
              <w:t>固莱、德高、科顺等品牌质量标准</w:t>
            </w:r>
          </w:p>
        </w:tc>
      </w:tr>
      <w:tr w14:paraId="7CEFA3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tcPr>
          <w:p w14:paraId="3AA876A0">
            <w:pPr>
              <w:widowControl w:val="0"/>
              <w:numPr>
                <w:ilvl w:val="0"/>
                <w:numId w:val="12"/>
              </w:numPr>
              <w:jc w:val="both"/>
              <w:rPr>
                <w:rFonts w:ascii="Times New Roman" w:hAnsi="Times New Roman" w:eastAsia="宋体" w:cs="Times New Roman"/>
                <w:color w:val="auto"/>
                <w:kern w:val="2"/>
                <w:sz w:val="21"/>
                <w:szCs w:val="24"/>
                <w:highlight w:val="none"/>
                <w:lang w:val="en-US" w:eastAsia="zh-CN" w:bidi="ar-SA"/>
              </w:rPr>
            </w:pPr>
          </w:p>
        </w:tc>
        <w:tc>
          <w:tcPr>
            <w:tcW w:w="7580" w:type="dxa"/>
          </w:tcPr>
          <w:p w14:paraId="3840BB95">
            <w:pPr>
              <w:widowControl w:val="0"/>
              <w:jc w:val="both"/>
              <w:rPr>
                <w:rFonts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宋体"/>
                <w:color w:val="auto"/>
                <w:kern w:val="2"/>
                <w:sz w:val="21"/>
                <w:szCs w:val="21"/>
                <w:highlight w:val="none"/>
                <w:lang w:val="en-US" w:eastAsia="zh-CN" w:bidi="ar-SA"/>
              </w:rPr>
              <w:t>龙骨</w:t>
            </w:r>
            <w:r>
              <w:rPr>
                <w:rFonts w:ascii="Times New Roman" w:hAnsi="Times New Roman" w:eastAsia="宋体" w:cs="宋体"/>
                <w:color w:val="auto"/>
                <w:kern w:val="2"/>
                <w:sz w:val="21"/>
                <w:szCs w:val="21"/>
                <w:highlight w:val="none"/>
                <w:lang w:val="en-US" w:eastAsia="zh-CN" w:bidi="ar-SA"/>
              </w:rPr>
              <w:t>性能指标参照或相当于</w:t>
            </w:r>
            <w:r>
              <w:rPr>
                <w:rFonts w:hint="eastAsia" w:ascii="Times New Roman" w:hAnsi="Times New Roman" w:eastAsia="宋体" w:cs="宋体"/>
                <w:color w:val="auto"/>
                <w:kern w:val="2"/>
                <w:sz w:val="21"/>
                <w:szCs w:val="21"/>
                <w:highlight w:val="none"/>
                <w:lang w:val="en-US" w:eastAsia="zh-CN" w:bidi="ar-SA"/>
              </w:rPr>
              <w:t>哈尔滨泰山龙骨、龙牌、杰森等品牌质量标准</w:t>
            </w:r>
          </w:p>
        </w:tc>
      </w:tr>
      <w:tr w14:paraId="4F1C28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tcPr>
          <w:p w14:paraId="0151D328">
            <w:pPr>
              <w:widowControl w:val="0"/>
              <w:numPr>
                <w:ilvl w:val="0"/>
                <w:numId w:val="12"/>
              </w:numPr>
              <w:jc w:val="both"/>
              <w:rPr>
                <w:rFonts w:ascii="Times New Roman" w:hAnsi="Times New Roman" w:eastAsia="宋体" w:cs="Times New Roman"/>
                <w:color w:val="auto"/>
                <w:kern w:val="2"/>
                <w:sz w:val="21"/>
                <w:szCs w:val="24"/>
                <w:highlight w:val="none"/>
                <w:lang w:val="en-US" w:eastAsia="zh-CN" w:bidi="ar-SA"/>
              </w:rPr>
            </w:pPr>
          </w:p>
        </w:tc>
        <w:tc>
          <w:tcPr>
            <w:tcW w:w="7580" w:type="dxa"/>
          </w:tcPr>
          <w:p w14:paraId="2EB91B70">
            <w:pPr>
              <w:widowControl w:val="0"/>
              <w:jc w:val="both"/>
              <w:rPr>
                <w:rFonts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宋体"/>
                <w:color w:val="auto"/>
                <w:kern w:val="2"/>
                <w:sz w:val="21"/>
                <w:szCs w:val="21"/>
                <w:highlight w:val="none"/>
                <w:lang w:val="en-US" w:eastAsia="zh-CN" w:bidi="ar-SA"/>
              </w:rPr>
              <w:t>石膏板</w:t>
            </w:r>
            <w:r>
              <w:rPr>
                <w:rFonts w:ascii="Times New Roman" w:hAnsi="Times New Roman" w:eastAsia="宋体" w:cs="宋体"/>
                <w:color w:val="auto"/>
                <w:kern w:val="2"/>
                <w:sz w:val="21"/>
                <w:szCs w:val="21"/>
                <w:highlight w:val="none"/>
                <w:lang w:val="en-US" w:eastAsia="zh-CN" w:bidi="ar-SA"/>
              </w:rPr>
              <w:t>性能指标参照或相当于</w:t>
            </w:r>
            <w:r>
              <w:rPr>
                <w:rFonts w:hint="eastAsia" w:ascii="Times New Roman" w:hAnsi="Times New Roman" w:eastAsia="宋体" w:cs="宋体"/>
                <w:color w:val="auto"/>
                <w:kern w:val="2"/>
                <w:sz w:val="21"/>
                <w:szCs w:val="21"/>
                <w:highlight w:val="none"/>
                <w:lang w:val="en-US" w:eastAsia="zh-CN" w:bidi="ar-SA"/>
              </w:rPr>
              <w:t>泰山、杰森、龙牌等品牌质量标准</w:t>
            </w:r>
          </w:p>
        </w:tc>
      </w:tr>
      <w:tr w14:paraId="234EF9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tcPr>
          <w:p w14:paraId="364A97DD">
            <w:pPr>
              <w:widowControl w:val="0"/>
              <w:numPr>
                <w:ilvl w:val="0"/>
                <w:numId w:val="12"/>
              </w:numPr>
              <w:jc w:val="both"/>
              <w:rPr>
                <w:rFonts w:ascii="Times New Roman" w:hAnsi="Times New Roman" w:eastAsia="宋体" w:cs="Times New Roman"/>
                <w:color w:val="auto"/>
                <w:kern w:val="2"/>
                <w:sz w:val="21"/>
                <w:szCs w:val="24"/>
                <w:highlight w:val="none"/>
                <w:lang w:val="en-US" w:eastAsia="zh-CN" w:bidi="ar-SA"/>
              </w:rPr>
            </w:pPr>
          </w:p>
        </w:tc>
        <w:tc>
          <w:tcPr>
            <w:tcW w:w="7580" w:type="dxa"/>
          </w:tcPr>
          <w:p w14:paraId="4947CBFC">
            <w:pPr>
              <w:widowControl w:val="0"/>
              <w:jc w:val="both"/>
              <w:rPr>
                <w:rFonts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宋体"/>
                <w:color w:val="auto"/>
                <w:kern w:val="2"/>
                <w:sz w:val="21"/>
                <w:szCs w:val="21"/>
                <w:highlight w:val="none"/>
                <w:lang w:val="en-US" w:eastAsia="zh-CN" w:bidi="ar-SA"/>
              </w:rPr>
              <w:t>铝塑板</w:t>
            </w:r>
            <w:r>
              <w:rPr>
                <w:rFonts w:ascii="Times New Roman" w:hAnsi="Times New Roman" w:eastAsia="宋体" w:cs="宋体"/>
                <w:color w:val="auto"/>
                <w:kern w:val="2"/>
                <w:sz w:val="21"/>
                <w:szCs w:val="21"/>
                <w:highlight w:val="none"/>
                <w:lang w:val="en-US" w:eastAsia="zh-CN" w:bidi="ar-SA"/>
              </w:rPr>
              <w:t>性能指标参照或相当于</w:t>
            </w:r>
            <w:r>
              <w:rPr>
                <w:rFonts w:hint="eastAsia" w:ascii="Times New Roman" w:hAnsi="Times New Roman" w:eastAsia="宋体" w:cs="宋体"/>
                <w:color w:val="auto"/>
                <w:kern w:val="2"/>
                <w:sz w:val="21"/>
                <w:szCs w:val="21"/>
                <w:highlight w:val="none"/>
                <w:lang w:val="en-US" w:eastAsia="zh-CN" w:bidi="ar-SA"/>
              </w:rPr>
              <w:t>奥利威、吉祥、亚盛等品牌质量标准</w:t>
            </w:r>
          </w:p>
        </w:tc>
      </w:tr>
      <w:tr w14:paraId="39C8B9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tcPr>
          <w:p w14:paraId="01E83477">
            <w:pPr>
              <w:widowControl w:val="0"/>
              <w:numPr>
                <w:ilvl w:val="0"/>
                <w:numId w:val="12"/>
              </w:numPr>
              <w:jc w:val="both"/>
              <w:rPr>
                <w:rFonts w:ascii="Times New Roman" w:hAnsi="Times New Roman" w:eastAsia="宋体" w:cs="Times New Roman"/>
                <w:color w:val="auto"/>
                <w:kern w:val="2"/>
                <w:sz w:val="21"/>
                <w:szCs w:val="24"/>
                <w:highlight w:val="none"/>
                <w:lang w:val="en-US" w:eastAsia="zh-CN" w:bidi="ar-SA"/>
              </w:rPr>
            </w:pPr>
          </w:p>
        </w:tc>
        <w:tc>
          <w:tcPr>
            <w:tcW w:w="7580" w:type="dxa"/>
          </w:tcPr>
          <w:p w14:paraId="036E3D9C">
            <w:pPr>
              <w:widowControl w:val="0"/>
              <w:jc w:val="both"/>
              <w:rPr>
                <w:rFonts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宋体"/>
                <w:color w:val="auto"/>
                <w:kern w:val="2"/>
                <w:sz w:val="21"/>
                <w:szCs w:val="21"/>
                <w:highlight w:val="none"/>
                <w:lang w:val="en-US" w:eastAsia="zh-CN" w:bidi="ar-SA"/>
              </w:rPr>
              <w:t>瓷砖</w:t>
            </w:r>
            <w:r>
              <w:rPr>
                <w:rFonts w:ascii="Times New Roman" w:hAnsi="Times New Roman" w:eastAsia="宋体" w:cs="宋体"/>
                <w:color w:val="auto"/>
                <w:kern w:val="2"/>
                <w:sz w:val="21"/>
                <w:szCs w:val="21"/>
                <w:highlight w:val="none"/>
                <w:lang w:val="en-US" w:eastAsia="zh-CN" w:bidi="ar-SA"/>
              </w:rPr>
              <w:t>性能指标参照或相当于</w:t>
            </w:r>
            <w:r>
              <w:rPr>
                <w:rFonts w:hint="eastAsia" w:ascii="Times New Roman" w:hAnsi="Times New Roman" w:eastAsia="宋体" w:cs="宋体"/>
                <w:color w:val="auto"/>
                <w:kern w:val="2"/>
                <w:sz w:val="21"/>
                <w:szCs w:val="21"/>
                <w:highlight w:val="none"/>
                <w:lang w:val="en-US" w:eastAsia="zh-CN" w:bidi="ar-SA"/>
              </w:rPr>
              <w:t>宏陶、博德、美陶等品牌质量标准</w:t>
            </w:r>
          </w:p>
        </w:tc>
      </w:tr>
      <w:tr w14:paraId="598922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tcPr>
          <w:p w14:paraId="4DF65115">
            <w:pPr>
              <w:widowControl w:val="0"/>
              <w:numPr>
                <w:ilvl w:val="0"/>
                <w:numId w:val="12"/>
              </w:numPr>
              <w:jc w:val="both"/>
              <w:rPr>
                <w:rFonts w:ascii="Times New Roman" w:hAnsi="Times New Roman" w:eastAsia="宋体" w:cs="Times New Roman"/>
                <w:color w:val="auto"/>
                <w:kern w:val="2"/>
                <w:sz w:val="21"/>
                <w:szCs w:val="24"/>
                <w:highlight w:val="none"/>
                <w:lang w:val="en-US" w:eastAsia="zh-CN" w:bidi="ar-SA"/>
              </w:rPr>
            </w:pPr>
          </w:p>
        </w:tc>
        <w:tc>
          <w:tcPr>
            <w:tcW w:w="7580" w:type="dxa"/>
          </w:tcPr>
          <w:p w14:paraId="46BD97F9">
            <w:pPr>
              <w:widowControl w:val="0"/>
              <w:jc w:val="both"/>
              <w:rPr>
                <w:rFonts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宋体"/>
                <w:color w:val="auto"/>
                <w:kern w:val="2"/>
                <w:sz w:val="21"/>
                <w:szCs w:val="21"/>
                <w:highlight w:val="none"/>
                <w:lang w:val="en-US" w:eastAsia="zh-CN" w:bidi="ar-SA"/>
              </w:rPr>
              <w:t>理石施工时封样</w:t>
            </w:r>
          </w:p>
        </w:tc>
      </w:tr>
      <w:tr w14:paraId="59903A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tcPr>
          <w:p w14:paraId="0FF49EC1">
            <w:pPr>
              <w:widowControl w:val="0"/>
              <w:numPr>
                <w:ilvl w:val="0"/>
                <w:numId w:val="12"/>
              </w:numPr>
              <w:jc w:val="both"/>
              <w:rPr>
                <w:rFonts w:ascii="Times New Roman" w:hAnsi="Times New Roman" w:eastAsia="宋体" w:cs="Times New Roman"/>
                <w:color w:val="auto"/>
                <w:kern w:val="2"/>
                <w:sz w:val="21"/>
                <w:szCs w:val="24"/>
                <w:highlight w:val="none"/>
                <w:lang w:val="en-US" w:eastAsia="zh-CN" w:bidi="ar-SA"/>
              </w:rPr>
            </w:pPr>
          </w:p>
        </w:tc>
        <w:tc>
          <w:tcPr>
            <w:tcW w:w="7580" w:type="dxa"/>
          </w:tcPr>
          <w:p w14:paraId="2B7535CA">
            <w:pPr>
              <w:widowControl w:val="0"/>
              <w:jc w:val="both"/>
              <w:rPr>
                <w:rFonts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宋体"/>
                <w:color w:val="auto"/>
                <w:kern w:val="2"/>
                <w:sz w:val="21"/>
                <w:szCs w:val="21"/>
                <w:highlight w:val="none"/>
                <w:lang w:val="en-US" w:eastAsia="zh-CN" w:bidi="ar-SA"/>
              </w:rPr>
              <w:t>细木工板</w:t>
            </w:r>
            <w:r>
              <w:rPr>
                <w:rFonts w:ascii="Times New Roman" w:hAnsi="Times New Roman" w:eastAsia="宋体" w:cs="宋体"/>
                <w:color w:val="auto"/>
                <w:kern w:val="2"/>
                <w:sz w:val="21"/>
                <w:szCs w:val="21"/>
                <w:highlight w:val="none"/>
                <w:lang w:val="en-US" w:eastAsia="zh-CN" w:bidi="ar-SA"/>
              </w:rPr>
              <w:t>性能指标参照或相当于</w:t>
            </w:r>
            <w:r>
              <w:rPr>
                <w:rFonts w:hint="eastAsia" w:ascii="Times New Roman" w:hAnsi="Times New Roman" w:eastAsia="宋体" w:cs="宋体"/>
                <w:color w:val="auto"/>
                <w:kern w:val="2"/>
                <w:sz w:val="21"/>
                <w:szCs w:val="21"/>
                <w:highlight w:val="none"/>
                <w:lang w:val="en-US" w:eastAsia="zh-CN" w:bidi="ar-SA"/>
              </w:rPr>
              <w:t>凯达、鹏鸿、泰山等品牌质量标准</w:t>
            </w:r>
          </w:p>
        </w:tc>
      </w:tr>
      <w:tr w14:paraId="08F1C7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1" w:hRule="atLeast"/>
        </w:trPr>
        <w:tc>
          <w:tcPr>
            <w:tcW w:w="703" w:type="dxa"/>
          </w:tcPr>
          <w:p w14:paraId="4839B9D0">
            <w:pPr>
              <w:widowControl w:val="0"/>
              <w:numPr>
                <w:ilvl w:val="0"/>
                <w:numId w:val="12"/>
              </w:numPr>
              <w:jc w:val="both"/>
              <w:rPr>
                <w:rFonts w:ascii="Times New Roman" w:hAnsi="Times New Roman" w:eastAsia="宋体" w:cs="Times New Roman"/>
                <w:color w:val="auto"/>
                <w:kern w:val="2"/>
                <w:sz w:val="21"/>
                <w:szCs w:val="24"/>
                <w:highlight w:val="none"/>
                <w:lang w:val="en-US" w:eastAsia="zh-CN" w:bidi="ar-SA"/>
              </w:rPr>
            </w:pPr>
          </w:p>
        </w:tc>
        <w:tc>
          <w:tcPr>
            <w:tcW w:w="7580" w:type="dxa"/>
          </w:tcPr>
          <w:p w14:paraId="487585D5">
            <w:pPr>
              <w:widowControl w:val="0"/>
              <w:jc w:val="both"/>
              <w:rPr>
                <w:rFonts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宋体"/>
                <w:color w:val="auto"/>
                <w:kern w:val="2"/>
                <w:sz w:val="21"/>
                <w:szCs w:val="21"/>
                <w:highlight w:val="none"/>
                <w:lang w:val="en-US" w:eastAsia="zh-CN" w:bidi="ar-SA"/>
              </w:rPr>
              <w:t>阻燃板</w:t>
            </w:r>
            <w:r>
              <w:rPr>
                <w:rFonts w:ascii="Times New Roman" w:hAnsi="Times New Roman" w:eastAsia="宋体" w:cs="宋体"/>
                <w:color w:val="auto"/>
                <w:kern w:val="2"/>
                <w:sz w:val="21"/>
                <w:szCs w:val="21"/>
                <w:highlight w:val="none"/>
                <w:lang w:val="en-US" w:eastAsia="zh-CN" w:bidi="ar-SA"/>
              </w:rPr>
              <w:t>性能指标参照或相当于</w:t>
            </w:r>
            <w:r>
              <w:rPr>
                <w:rFonts w:hint="eastAsia" w:ascii="Times New Roman" w:hAnsi="Times New Roman" w:eastAsia="宋体" w:cs="宋体"/>
                <w:color w:val="auto"/>
                <w:kern w:val="2"/>
                <w:sz w:val="21"/>
                <w:szCs w:val="21"/>
                <w:highlight w:val="none"/>
                <w:lang w:val="en-US" w:eastAsia="zh-CN" w:bidi="ar-SA"/>
              </w:rPr>
              <w:t>保和祥、芭蕉扇、林海等品牌质量标准</w:t>
            </w:r>
          </w:p>
        </w:tc>
      </w:tr>
      <w:tr w14:paraId="2D82F6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tcPr>
          <w:p w14:paraId="7E056D8B">
            <w:pPr>
              <w:widowControl w:val="0"/>
              <w:numPr>
                <w:ilvl w:val="0"/>
                <w:numId w:val="12"/>
              </w:numPr>
              <w:jc w:val="both"/>
              <w:rPr>
                <w:rFonts w:ascii="Times New Roman" w:hAnsi="Times New Roman" w:eastAsia="宋体" w:cs="Times New Roman"/>
                <w:color w:val="auto"/>
                <w:kern w:val="2"/>
                <w:sz w:val="21"/>
                <w:szCs w:val="24"/>
                <w:highlight w:val="none"/>
                <w:lang w:val="en-US" w:eastAsia="zh-CN" w:bidi="ar-SA"/>
              </w:rPr>
            </w:pPr>
          </w:p>
        </w:tc>
        <w:tc>
          <w:tcPr>
            <w:tcW w:w="7580" w:type="dxa"/>
          </w:tcPr>
          <w:p w14:paraId="47A48E24">
            <w:pPr>
              <w:widowControl w:val="0"/>
              <w:jc w:val="both"/>
              <w:rPr>
                <w:rFonts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宋体"/>
                <w:color w:val="auto"/>
                <w:kern w:val="2"/>
                <w:sz w:val="21"/>
                <w:szCs w:val="21"/>
                <w:highlight w:val="none"/>
                <w:lang w:val="en-US" w:eastAsia="zh-CN" w:bidi="ar-SA"/>
              </w:rPr>
              <w:t>地板性能指标参照或相当于圣象、大自然、生活家等品牌质量标准</w:t>
            </w:r>
          </w:p>
        </w:tc>
      </w:tr>
      <w:tr w14:paraId="4ACD10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tcPr>
          <w:p w14:paraId="50112A4F">
            <w:pPr>
              <w:widowControl w:val="0"/>
              <w:numPr>
                <w:ilvl w:val="0"/>
                <w:numId w:val="12"/>
              </w:numPr>
              <w:jc w:val="both"/>
              <w:rPr>
                <w:rFonts w:ascii="Times New Roman" w:hAnsi="Times New Roman" w:eastAsia="宋体" w:cs="Times New Roman"/>
                <w:color w:val="auto"/>
                <w:kern w:val="2"/>
                <w:sz w:val="21"/>
                <w:szCs w:val="24"/>
                <w:highlight w:val="none"/>
                <w:lang w:val="en-US" w:eastAsia="zh-CN" w:bidi="ar-SA"/>
              </w:rPr>
            </w:pPr>
          </w:p>
        </w:tc>
        <w:tc>
          <w:tcPr>
            <w:tcW w:w="7580" w:type="dxa"/>
          </w:tcPr>
          <w:p w14:paraId="4FBD3CEF">
            <w:pPr>
              <w:widowControl w:val="0"/>
              <w:jc w:val="both"/>
              <w:rPr>
                <w:rFonts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宋体"/>
                <w:color w:val="auto"/>
                <w:kern w:val="2"/>
                <w:sz w:val="21"/>
                <w:szCs w:val="21"/>
                <w:highlight w:val="none"/>
                <w:lang w:val="en-US" w:eastAsia="zh-CN" w:bidi="ar-SA"/>
              </w:rPr>
              <w:t>矿棉板</w:t>
            </w:r>
            <w:r>
              <w:rPr>
                <w:rFonts w:ascii="Times New Roman" w:hAnsi="Times New Roman" w:eastAsia="宋体" w:cs="宋体"/>
                <w:color w:val="auto"/>
                <w:kern w:val="2"/>
                <w:sz w:val="21"/>
                <w:szCs w:val="21"/>
                <w:highlight w:val="none"/>
                <w:lang w:val="en-US" w:eastAsia="zh-CN" w:bidi="ar-SA"/>
              </w:rPr>
              <w:t>性能指标参照或相当于</w:t>
            </w:r>
            <w:r>
              <w:rPr>
                <w:rFonts w:hint="eastAsia" w:ascii="Times New Roman" w:hAnsi="Times New Roman" w:eastAsia="宋体" w:cs="宋体"/>
                <w:color w:val="auto"/>
                <w:kern w:val="2"/>
                <w:sz w:val="21"/>
                <w:szCs w:val="21"/>
                <w:highlight w:val="none"/>
                <w:lang w:val="en-US" w:eastAsia="zh-CN" w:bidi="ar-SA"/>
              </w:rPr>
              <w:t>京牌、泰山阿姆斯状、星牌等品牌质量标准</w:t>
            </w:r>
          </w:p>
        </w:tc>
      </w:tr>
      <w:tr w14:paraId="292FE4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tcPr>
          <w:p w14:paraId="75087163">
            <w:pPr>
              <w:widowControl w:val="0"/>
              <w:numPr>
                <w:ilvl w:val="0"/>
                <w:numId w:val="12"/>
              </w:numPr>
              <w:jc w:val="both"/>
              <w:rPr>
                <w:rFonts w:ascii="Times New Roman" w:hAnsi="Times New Roman" w:eastAsia="宋体" w:cs="Times New Roman"/>
                <w:color w:val="auto"/>
                <w:kern w:val="2"/>
                <w:sz w:val="21"/>
                <w:szCs w:val="24"/>
                <w:highlight w:val="none"/>
                <w:lang w:val="en-US" w:eastAsia="zh-CN" w:bidi="ar-SA"/>
              </w:rPr>
            </w:pPr>
          </w:p>
        </w:tc>
        <w:tc>
          <w:tcPr>
            <w:tcW w:w="7580" w:type="dxa"/>
          </w:tcPr>
          <w:p w14:paraId="7E327F3B">
            <w:pPr>
              <w:widowControl w:val="0"/>
              <w:jc w:val="both"/>
              <w:rPr>
                <w:rFonts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宋体"/>
                <w:color w:val="auto"/>
                <w:kern w:val="2"/>
                <w:sz w:val="21"/>
                <w:szCs w:val="21"/>
                <w:highlight w:val="none"/>
                <w:lang w:val="en-US" w:eastAsia="zh-CN" w:bidi="ar-SA"/>
              </w:rPr>
              <w:t>柱面铝单板施工时封样</w:t>
            </w:r>
          </w:p>
        </w:tc>
      </w:tr>
      <w:tr w14:paraId="1BDB9D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tcPr>
          <w:p w14:paraId="5C33D7A8">
            <w:pPr>
              <w:widowControl w:val="0"/>
              <w:numPr>
                <w:ilvl w:val="0"/>
                <w:numId w:val="12"/>
              </w:numPr>
              <w:jc w:val="both"/>
              <w:rPr>
                <w:rFonts w:ascii="Times New Roman" w:hAnsi="Times New Roman" w:eastAsia="宋体" w:cs="Times New Roman"/>
                <w:color w:val="auto"/>
                <w:kern w:val="2"/>
                <w:sz w:val="21"/>
                <w:szCs w:val="24"/>
                <w:highlight w:val="none"/>
                <w:lang w:val="en-US" w:eastAsia="zh-CN" w:bidi="ar-SA"/>
              </w:rPr>
            </w:pPr>
          </w:p>
        </w:tc>
        <w:tc>
          <w:tcPr>
            <w:tcW w:w="7580" w:type="dxa"/>
          </w:tcPr>
          <w:p w14:paraId="059DABB7">
            <w:pPr>
              <w:widowControl w:val="0"/>
              <w:jc w:val="both"/>
              <w:rPr>
                <w:rFonts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宋体"/>
                <w:color w:val="auto"/>
                <w:kern w:val="2"/>
                <w:sz w:val="21"/>
                <w:szCs w:val="21"/>
                <w:highlight w:val="none"/>
                <w:lang w:val="en-US" w:eastAsia="zh-CN" w:bidi="ar-SA"/>
              </w:rPr>
              <w:t>卷材防水</w:t>
            </w:r>
            <w:r>
              <w:rPr>
                <w:rFonts w:ascii="Times New Roman" w:hAnsi="Times New Roman" w:eastAsia="宋体" w:cs="宋体"/>
                <w:color w:val="auto"/>
                <w:kern w:val="2"/>
                <w:sz w:val="21"/>
                <w:szCs w:val="21"/>
                <w:highlight w:val="none"/>
                <w:lang w:val="en-US" w:eastAsia="zh-CN" w:bidi="ar-SA"/>
              </w:rPr>
              <w:t>性能指标参照或相当于</w:t>
            </w:r>
            <w:r>
              <w:rPr>
                <w:rFonts w:hint="eastAsia" w:ascii="Times New Roman" w:hAnsi="Times New Roman" w:eastAsia="宋体" w:cs="宋体"/>
                <w:color w:val="auto"/>
                <w:kern w:val="2"/>
                <w:sz w:val="21"/>
                <w:szCs w:val="21"/>
                <w:highlight w:val="none"/>
                <w:lang w:val="en-US" w:eastAsia="zh-CN" w:bidi="ar-SA"/>
              </w:rPr>
              <w:t>东方雨虹、大禹、东方宝红等品牌质量标准；</w:t>
            </w:r>
          </w:p>
        </w:tc>
      </w:tr>
      <w:tr w14:paraId="5E59C4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tcPr>
          <w:p w14:paraId="46A075E9">
            <w:pPr>
              <w:widowControl w:val="0"/>
              <w:numPr>
                <w:ilvl w:val="0"/>
                <w:numId w:val="12"/>
              </w:numPr>
              <w:jc w:val="both"/>
              <w:rPr>
                <w:rFonts w:ascii="Times New Roman" w:hAnsi="Times New Roman" w:eastAsia="宋体" w:cs="Times New Roman"/>
                <w:color w:val="auto"/>
                <w:kern w:val="2"/>
                <w:sz w:val="21"/>
                <w:szCs w:val="24"/>
                <w:highlight w:val="none"/>
                <w:lang w:val="en-US" w:eastAsia="zh-CN" w:bidi="ar-SA"/>
              </w:rPr>
            </w:pPr>
          </w:p>
        </w:tc>
        <w:tc>
          <w:tcPr>
            <w:tcW w:w="7580" w:type="dxa"/>
          </w:tcPr>
          <w:p w14:paraId="6639D8AC">
            <w:pPr>
              <w:widowControl w:val="0"/>
              <w:jc w:val="both"/>
              <w:rPr>
                <w:rFonts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宋体"/>
                <w:color w:val="auto"/>
                <w:kern w:val="2"/>
                <w:sz w:val="21"/>
                <w:szCs w:val="21"/>
                <w:highlight w:val="none"/>
                <w:lang w:val="en-US" w:eastAsia="zh-CN" w:bidi="ar-SA"/>
              </w:rPr>
              <w:t>塑钢窗</w:t>
            </w:r>
            <w:r>
              <w:rPr>
                <w:rFonts w:ascii="Times New Roman" w:hAnsi="Times New Roman" w:eastAsia="宋体" w:cs="宋体"/>
                <w:color w:val="auto"/>
                <w:kern w:val="2"/>
                <w:sz w:val="21"/>
                <w:szCs w:val="21"/>
                <w:highlight w:val="none"/>
                <w:lang w:val="en-US" w:eastAsia="zh-CN" w:bidi="ar-SA"/>
              </w:rPr>
              <w:t>性能指标参照或相当于</w:t>
            </w:r>
            <w:r>
              <w:rPr>
                <w:rFonts w:hint="eastAsia" w:ascii="Times New Roman" w:hAnsi="Times New Roman" w:eastAsia="宋体" w:cs="宋体"/>
                <w:color w:val="auto"/>
                <w:kern w:val="2"/>
                <w:sz w:val="21"/>
                <w:szCs w:val="21"/>
                <w:highlight w:val="none"/>
                <w:lang w:val="en-US" w:eastAsia="zh-CN" w:bidi="ar-SA"/>
              </w:rPr>
              <w:t>中大、实德、海螺等品牌质量标准；铝塑铝窗</w:t>
            </w:r>
            <w:r>
              <w:rPr>
                <w:rFonts w:ascii="Times New Roman" w:hAnsi="Times New Roman" w:eastAsia="宋体" w:cs="宋体"/>
                <w:color w:val="auto"/>
                <w:kern w:val="2"/>
                <w:sz w:val="21"/>
                <w:szCs w:val="21"/>
                <w:highlight w:val="none"/>
                <w:lang w:val="en-US" w:eastAsia="zh-CN" w:bidi="ar-SA"/>
              </w:rPr>
              <w:t>性能指标参照或相当于</w:t>
            </w:r>
            <w:r>
              <w:rPr>
                <w:rFonts w:hint="eastAsia" w:ascii="Times New Roman" w:hAnsi="Times New Roman" w:eastAsia="宋体" w:cs="宋体"/>
                <w:color w:val="auto"/>
                <w:kern w:val="2"/>
                <w:sz w:val="21"/>
                <w:szCs w:val="21"/>
                <w:highlight w:val="none"/>
                <w:lang w:val="en-US" w:eastAsia="zh-CN" w:bidi="ar-SA"/>
              </w:rPr>
              <w:t>华加、达兴、海螺等品牌质量标准；</w:t>
            </w:r>
            <w:r>
              <w:rPr>
                <w:rFonts w:ascii="Times New Roman" w:hAnsi="Times New Roman" w:eastAsia="宋体" w:cs="宋体"/>
                <w:color w:val="auto"/>
                <w:kern w:val="2"/>
                <w:sz w:val="21"/>
                <w:szCs w:val="21"/>
                <w:highlight w:val="none"/>
                <w:lang w:val="en-US" w:eastAsia="zh-CN" w:bidi="ar-SA"/>
              </w:rPr>
              <w:t>；</w:t>
            </w:r>
          </w:p>
        </w:tc>
      </w:tr>
      <w:tr w14:paraId="06CC2A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tcPr>
          <w:p w14:paraId="68098418">
            <w:pPr>
              <w:widowControl w:val="0"/>
              <w:numPr>
                <w:ilvl w:val="0"/>
                <w:numId w:val="12"/>
              </w:numPr>
              <w:jc w:val="both"/>
              <w:rPr>
                <w:rFonts w:ascii="Times New Roman" w:hAnsi="Times New Roman" w:eastAsia="宋体" w:cs="Times New Roman"/>
                <w:color w:val="auto"/>
                <w:kern w:val="2"/>
                <w:sz w:val="21"/>
                <w:szCs w:val="24"/>
                <w:highlight w:val="none"/>
                <w:lang w:val="en-US" w:eastAsia="zh-CN" w:bidi="ar-SA"/>
              </w:rPr>
            </w:pPr>
          </w:p>
        </w:tc>
        <w:tc>
          <w:tcPr>
            <w:tcW w:w="7580" w:type="dxa"/>
          </w:tcPr>
          <w:p w14:paraId="78008825">
            <w:pPr>
              <w:widowControl w:val="0"/>
              <w:jc w:val="both"/>
              <w:rPr>
                <w:rFonts w:ascii="Times New Roman" w:hAnsi="Times New Roman" w:eastAsia="宋体" w:cs="Times New Roman"/>
                <w:color w:val="auto"/>
                <w:kern w:val="2"/>
                <w:sz w:val="21"/>
                <w:szCs w:val="24"/>
                <w:highlight w:val="none"/>
                <w:lang w:val="en-US" w:eastAsia="zh-CN" w:bidi="ar-SA"/>
              </w:rPr>
            </w:pPr>
            <w:r>
              <w:rPr>
                <w:rFonts w:ascii="Times New Roman" w:hAnsi="Times New Roman" w:eastAsia="宋体" w:cs="宋体"/>
                <w:color w:val="auto"/>
                <w:kern w:val="2"/>
                <w:sz w:val="21"/>
                <w:szCs w:val="21"/>
                <w:highlight w:val="none"/>
                <w:lang w:val="en-US" w:eastAsia="zh-CN" w:bidi="ar-SA"/>
              </w:rPr>
              <w:t>PVC</w:t>
            </w:r>
            <w:r>
              <w:rPr>
                <w:rFonts w:hint="eastAsia" w:ascii="Times New Roman" w:hAnsi="Times New Roman" w:eastAsia="宋体" w:cs="宋体"/>
                <w:color w:val="auto"/>
                <w:kern w:val="2"/>
                <w:sz w:val="21"/>
                <w:szCs w:val="21"/>
                <w:highlight w:val="none"/>
                <w:lang w:val="en-US" w:eastAsia="zh-CN" w:bidi="ar-SA"/>
              </w:rPr>
              <w:t>塑胶地板</w:t>
            </w:r>
            <w:r>
              <w:rPr>
                <w:rFonts w:ascii="Times New Roman" w:hAnsi="Times New Roman" w:eastAsia="宋体" w:cs="宋体"/>
                <w:color w:val="auto"/>
                <w:kern w:val="2"/>
                <w:sz w:val="21"/>
                <w:szCs w:val="21"/>
                <w:highlight w:val="none"/>
                <w:lang w:val="en-US" w:eastAsia="zh-CN" w:bidi="ar-SA"/>
              </w:rPr>
              <w:t>性能指标参照或相当于</w:t>
            </w:r>
            <w:r>
              <w:rPr>
                <w:rFonts w:hint="eastAsia" w:ascii="Times New Roman" w:hAnsi="Times New Roman" w:eastAsia="宋体" w:cs="宋体"/>
                <w:color w:val="auto"/>
                <w:kern w:val="2"/>
                <w:sz w:val="21"/>
                <w:szCs w:val="21"/>
                <w:highlight w:val="none"/>
                <w:lang w:val="en-US" w:eastAsia="zh-CN" w:bidi="ar-SA"/>
              </w:rPr>
              <w:t>阿姆斯壮、得嘉、保丽等品牌质量标准；</w:t>
            </w:r>
          </w:p>
        </w:tc>
      </w:tr>
      <w:tr w14:paraId="6B9504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tcPr>
          <w:p w14:paraId="62A13EDD">
            <w:pPr>
              <w:widowControl w:val="0"/>
              <w:numPr>
                <w:ilvl w:val="0"/>
                <w:numId w:val="12"/>
              </w:numPr>
              <w:jc w:val="both"/>
              <w:rPr>
                <w:rFonts w:ascii="Times New Roman" w:hAnsi="Times New Roman" w:eastAsia="宋体" w:cs="Times New Roman"/>
                <w:color w:val="auto"/>
                <w:kern w:val="2"/>
                <w:sz w:val="21"/>
                <w:szCs w:val="24"/>
                <w:highlight w:val="none"/>
                <w:lang w:val="en-US" w:eastAsia="zh-CN" w:bidi="ar-SA"/>
              </w:rPr>
            </w:pPr>
          </w:p>
        </w:tc>
        <w:tc>
          <w:tcPr>
            <w:tcW w:w="7580" w:type="dxa"/>
          </w:tcPr>
          <w:p w14:paraId="6C75A0FF">
            <w:pPr>
              <w:widowControl w:val="0"/>
              <w:jc w:val="both"/>
              <w:rPr>
                <w:rFonts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宋体"/>
                <w:color w:val="auto"/>
                <w:kern w:val="2"/>
                <w:sz w:val="21"/>
                <w:szCs w:val="21"/>
                <w:highlight w:val="none"/>
                <w:lang w:val="en-US" w:eastAsia="zh-CN" w:bidi="ar-SA"/>
              </w:rPr>
              <w:t>钢化玻璃</w:t>
            </w:r>
            <w:r>
              <w:rPr>
                <w:rFonts w:ascii="Times New Roman" w:hAnsi="Times New Roman" w:eastAsia="宋体" w:cs="宋体"/>
                <w:color w:val="auto"/>
                <w:kern w:val="2"/>
                <w:sz w:val="21"/>
                <w:szCs w:val="21"/>
                <w:highlight w:val="none"/>
                <w:lang w:val="en-US" w:eastAsia="zh-CN" w:bidi="ar-SA"/>
              </w:rPr>
              <w:t>性能指标参照或相当于</w:t>
            </w:r>
            <w:r>
              <w:rPr>
                <w:rFonts w:hint="eastAsia" w:ascii="Times New Roman" w:hAnsi="Times New Roman" w:eastAsia="宋体" w:cs="宋体"/>
                <w:color w:val="auto"/>
                <w:kern w:val="2"/>
                <w:sz w:val="21"/>
                <w:szCs w:val="21"/>
                <w:highlight w:val="none"/>
                <w:lang w:val="en-US" w:eastAsia="zh-CN" w:bidi="ar-SA"/>
              </w:rPr>
              <w:t>蓝星（威海蓝星）、南玻（广东南玻集团）、耀玻（上海耀华集团）等品牌质量标准。</w:t>
            </w:r>
          </w:p>
        </w:tc>
      </w:tr>
      <w:tr w14:paraId="401C31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tcPr>
          <w:p w14:paraId="586EC33F">
            <w:pPr>
              <w:widowControl w:val="0"/>
              <w:numPr>
                <w:ilvl w:val="0"/>
                <w:numId w:val="12"/>
              </w:numPr>
              <w:jc w:val="both"/>
              <w:rPr>
                <w:rFonts w:ascii="Times New Roman" w:hAnsi="Times New Roman" w:eastAsia="宋体" w:cs="Times New Roman"/>
                <w:color w:val="auto"/>
                <w:kern w:val="2"/>
                <w:sz w:val="21"/>
                <w:szCs w:val="24"/>
                <w:highlight w:val="none"/>
                <w:lang w:val="en-US" w:eastAsia="zh-CN" w:bidi="ar-SA"/>
              </w:rPr>
            </w:pPr>
          </w:p>
        </w:tc>
        <w:tc>
          <w:tcPr>
            <w:tcW w:w="7580" w:type="dxa"/>
          </w:tcPr>
          <w:p w14:paraId="332455B7">
            <w:pPr>
              <w:widowControl w:val="0"/>
              <w:jc w:val="both"/>
              <w:rPr>
                <w:rFonts w:ascii="Times New Roman" w:hAnsi="Times New Roman" w:eastAsia="宋体" w:cs="Times New Roman"/>
                <w:color w:val="auto"/>
                <w:kern w:val="2"/>
                <w:sz w:val="21"/>
                <w:szCs w:val="24"/>
                <w:highlight w:val="none"/>
                <w:lang w:val="en-US" w:eastAsia="zh-CN" w:bidi="ar-SA"/>
              </w:rPr>
            </w:pPr>
            <w:r>
              <w:rPr>
                <w:rFonts w:ascii="Times New Roman" w:hAnsi="Times New Roman" w:eastAsia="宋体" w:cs="宋体"/>
                <w:color w:val="auto"/>
                <w:kern w:val="2"/>
                <w:sz w:val="21"/>
                <w:szCs w:val="21"/>
                <w:highlight w:val="none"/>
                <w:lang w:val="en-US" w:eastAsia="zh-CN" w:bidi="ar-SA"/>
              </w:rPr>
              <w:t>PP-R</w:t>
            </w:r>
            <w:r>
              <w:rPr>
                <w:rFonts w:hint="eastAsia" w:ascii="Times New Roman" w:hAnsi="Times New Roman" w:eastAsia="宋体" w:cs="宋体"/>
                <w:color w:val="auto"/>
                <w:kern w:val="2"/>
                <w:sz w:val="21"/>
                <w:szCs w:val="21"/>
                <w:highlight w:val="none"/>
                <w:lang w:val="en-US" w:eastAsia="zh-CN" w:bidi="ar-SA"/>
              </w:rPr>
              <w:t>给排水管道及</w:t>
            </w:r>
            <w:r>
              <w:rPr>
                <w:rFonts w:ascii="Times New Roman" w:hAnsi="Times New Roman" w:eastAsia="宋体" w:cs="宋体"/>
                <w:color w:val="auto"/>
                <w:kern w:val="2"/>
                <w:sz w:val="21"/>
                <w:szCs w:val="21"/>
                <w:highlight w:val="none"/>
                <w:lang w:val="en-US" w:eastAsia="zh-CN" w:bidi="ar-SA"/>
              </w:rPr>
              <w:t>阀门、管件</w:t>
            </w:r>
            <w:r>
              <w:rPr>
                <w:rFonts w:hint="eastAsia" w:ascii="Times New Roman" w:hAnsi="Times New Roman" w:eastAsia="宋体" w:cs="宋体"/>
                <w:color w:val="auto"/>
                <w:kern w:val="2"/>
                <w:sz w:val="21"/>
                <w:szCs w:val="21"/>
                <w:highlight w:val="none"/>
                <w:lang w:val="en-US" w:eastAsia="zh-CN" w:bidi="ar-SA"/>
              </w:rPr>
              <w:t>等管道</w:t>
            </w:r>
            <w:r>
              <w:rPr>
                <w:rFonts w:ascii="Times New Roman" w:hAnsi="Times New Roman" w:eastAsia="宋体" w:cs="宋体"/>
                <w:color w:val="auto"/>
                <w:kern w:val="2"/>
                <w:sz w:val="21"/>
                <w:szCs w:val="21"/>
                <w:highlight w:val="none"/>
                <w:lang w:val="en-US" w:eastAsia="zh-CN" w:bidi="ar-SA"/>
              </w:rPr>
              <w:t>附件性能指标参照或相当于</w:t>
            </w:r>
            <w:r>
              <w:rPr>
                <w:rFonts w:hint="eastAsia" w:ascii="Times New Roman" w:hAnsi="Times New Roman" w:eastAsia="宋体" w:cs="宋体"/>
                <w:color w:val="auto"/>
                <w:kern w:val="2"/>
                <w:sz w:val="21"/>
                <w:szCs w:val="21"/>
                <w:highlight w:val="none"/>
                <w:lang w:val="en-US" w:eastAsia="zh-CN" w:bidi="ar-SA"/>
              </w:rPr>
              <w:t>金牛、伟星、联塑等品牌质量标准；</w:t>
            </w:r>
          </w:p>
        </w:tc>
      </w:tr>
      <w:tr w14:paraId="47D471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tcPr>
          <w:p w14:paraId="1F18654C">
            <w:pPr>
              <w:widowControl w:val="0"/>
              <w:numPr>
                <w:ilvl w:val="0"/>
                <w:numId w:val="12"/>
              </w:numPr>
              <w:jc w:val="both"/>
              <w:rPr>
                <w:rFonts w:ascii="Times New Roman" w:hAnsi="Times New Roman" w:eastAsia="宋体" w:cs="Times New Roman"/>
                <w:color w:val="auto"/>
                <w:kern w:val="2"/>
                <w:sz w:val="21"/>
                <w:szCs w:val="24"/>
                <w:highlight w:val="none"/>
                <w:lang w:val="en-US" w:eastAsia="zh-CN" w:bidi="ar-SA"/>
              </w:rPr>
            </w:pPr>
          </w:p>
        </w:tc>
        <w:tc>
          <w:tcPr>
            <w:tcW w:w="7580" w:type="dxa"/>
          </w:tcPr>
          <w:p w14:paraId="272E4C02">
            <w:pPr>
              <w:widowControl w:val="0"/>
              <w:jc w:val="both"/>
              <w:rPr>
                <w:rFonts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宋体"/>
                <w:color w:val="auto"/>
                <w:kern w:val="2"/>
                <w:sz w:val="21"/>
                <w:szCs w:val="21"/>
                <w:highlight w:val="none"/>
                <w:lang w:val="en-US" w:eastAsia="zh-CN" w:bidi="ar-SA"/>
              </w:rPr>
              <w:t>钢管</w:t>
            </w:r>
            <w:r>
              <w:rPr>
                <w:rFonts w:ascii="Times New Roman" w:hAnsi="Times New Roman" w:eastAsia="宋体" w:cs="宋体"/>
                <w:color w:val="auto"/>
                <w:kern w:val="2"/>
                <w:sz w:val="21"/>
                <w:szCs w:val="21"/>
                <w:highlight w:val="none"/>
                <w:lang w:val="en-US" w:eastAsia="zh-CN" w:bidi="ar-SA"/>
              </w:rPr>
              <w:t>性能指标参照或相当于</w:t>
            </w:r>
            <w:r>
              <w:rPr>
                <w:rFonts w:hint="eastAsia" w:ascii="Times New Roman" w:hAnsi="Times New Roman" w:eastAsia="宋体" w:cs="宋体"/>
                <w:color w:val="auto"/>
                <w:kern w:val="2"/>
                <w:sz w:val="21"/>
                <w:szCs w:val="21"/>
                <w:highlight w:val="none"/>
                <w:lang w:val="en-US" w:eastAsia="zh-CN" w:bidi="ar-SA"/>
              </w:rPr>
              <w:t>华岐、首钢、白桦林等品牌质量标准；</w:t>
            </w:r>
          </w:p>
        </w:tc>
      </w:tr>
      <w:tr w14:paraId="1AACF2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tcPr>
          <w:p w14:paraId="3F6DB2B7">
            <w:pPr>
              <w:widowControl w:val="0"/>
              <w:numPr>
                <w:ilvl w:val="0"/>
                <w:numId w:val="12"/>
              </w:numPr>
              <w:jc w:val="both"/>
              <w:rPr>
                <w:rFonts w:ascii="Times New Roman" w:hAnsi="Times New Roman" w:eastAsia="宋体" w:cs="Times New Roman"/>
                <w:color w:val="auto"/>
                <w:kern w:val="2"/>
                <w:sz w:val="21"/>
                <w:szCs w:val="24"/>
                <w:highlight w:val="none"/>
                <w:lang w:val="en-US" w:eastAsia="zh-CN" w:bidi="ar-SA"/>
              </w:rPr>
            </w:pPr>
          </w:p>
        </w:tc>
        <w:tc>
          <w:tcPr>
            <w:tcW w:w="7580" w:type="dxa"/>
          </w:tcPr>
          <w:p w14:paraId="24848615">
            <w:pPr>
              <w:widowControl w:val="0"/>
              <w:jc w:val="both"/>
              <w:rPr>
                <w:rFonts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宋体"/>
                <w:color w:val="auto"/>
                <w:kern w:val="2"/>
                <w:sz w:val="21"/>
                <w:szCs w:val="21"/>
                <w:highlight w:val="none"/>
                <w:lang w:val="en-US" w:eastAsia="zh-CN" w:bidi="ar-SA"/>
              </w:rPr>
              <w:t>阀门</w:t>
            </w:r>
            <w:r>
              <w:rPr>
                <w:rFonts w:ascii="Times New Roman" w:hAnsi="Times New Roman" w:eastAsia="宋体" w:cs="宋体"/>
                <w:color w:val="auto"/>
                <w:kern w:val="2"/>
                <w:sz w:val="21"/>
                <w:szCs w:val="21"/>
                <w:highlight w:val="none"/>
                <w:lang w:val="en-US" w:eastAsia="zh-CN" w:bidi="ar-SA"/>
              </w:rPr>
              <w:t>性能指标参照或相当于</w:t>
            </w:r>
            <w:r>
              <w:rPr>
                <w:rFonts w:hint="eastAsia" w:ascii="Times New Roman" w:hAnsi="Times New Roman" w:eastAsia="宋体" w:cs="宋体"/>
                <w:color w:val="auto"/>
                <w:kern w:val="2"/>
                <w:sz w:val="21"/>
                <w:szCs w:val="21"/>
                <w:highlight w:val="none"/>
                <w:lang w:val="en-US" w:eastAsia="zh-CN" w:bidi="ar-SA"/>
              </w:rPr>
              <w:t>埃美柯、大站、宇明、远大等品牌质量标准；</w:t>
            </w:r>
          </w:p>
        </w:tc>
      </w:tr>
      <w:tr w14:paraId="32DC09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tcPr>
          <w:p w14:paraId="60207CB0">
            <w:pPr>
              <w:widowControl w:val="0"/>
              <w:numPr>
                <w:ilvl w:val="0"/>
                <w:numId w:val="12"/>
              </w:numPr>
              <w:jc w:val="both"/>
              <w:rPr>
                <w:rFonts w:ascii="Times New Roman" w:hAnsi="Times New Roman" w:eastAsia="宋体" w:cs="Times New Roman"/>
                <w:color w:val="auto"/>
                <w:kern w:val="2"/>
                <w:sz w:val="21"/>
                <w:szCs w:val="24"/>
                <w:highlight w:val="none"/>
                <w:lang w:val="en-US" w:eastAsia="zh-CN" w:bidi="ar-SA"/>
              </w:rPr>
            </w:pPr>
          </w:p>
        </w:tc>
        <w:tc>
          <w:tcPr>
            <w:tcW w:w="7580" w:type="dxa"/>
          </w:tcPr>
          <w:p w14:paraId="72A18BC2">
            <w:pPr>
              <w:widowControl w:val="0"/>
              <w:jc w:val="both"/>
              <w:rPr>
                <w:rFonts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宋体"/>
                <w:color w:val="auto"/>
                <w:kern w:val="2"/>
                <w:sz w:val="21"/>
                <w:szCs w:val="21"/>
                <w:highlight w:val="none"/>
                <w:lang w:val="en-US" w:eastAsia="zh-CN" w:bidi="ar-SA"/>
              </w:rPr>
              <w:t>卫生器具：大便器、小便器、拖布池、洗手盆</w:t>
            </w:r>
            <w:r>
              <w:rPr>
                <w:rFonts w:ascii="Times New Roman" w:hAnsi="Times New Roman" w:eastAsia="宋体" w:cs="宋体"/>
                <w:color w:val="auto"/>
                <w:kern w:val="2"/>
                <w:sz w:val="21"/>
                <w:szCs w:val="21"/>
                <w:highlight w:val="none"/>
                <w:lang w:val="en-US" w:eastAsia="zh-CN" w:bidi="ar-SA"/>
              </w:rPr>
              <w:t>性能指标参照或相当于</w:t>
            </w:r>
            <w:r>
              <w:rPr>
                <w:rFonts w:hint="eastAsia" w:ascii="Times New Roman" w:hAnsi="Times New Roman" w:eastAsia="宋体" w:cs="宋体"/>
                <w:color w:val="auto"/>
                <w:kern w:val="2"/>
                <w:sz w:val="21"/>
                <w:szCs w:val="21"/>
                <w:highlight w:val="none"/>
                <w:lang w:val="en-US" w:eastAsia="zh-CN" w:bidi="ar-SA"/>
              </w:rPr>
              <w:t>惠达、</w:t>
            </w:r>
            <w:r>
              <w:rPr>
                <w:rFonts w:ascii="Times New Roman" w:hAnsi="Times New Roman" w:eastAsia="宋体" w:cs="宋体"/>
                <w:color w:val="auto"/>
                <w:kern w:val="2"/>
                <w:sz w:val="21"/>
                <w:szCs w:val="21"/>
                <w:highlight w:val="none"/>
                <w:lang w:val="en-US" w:eastAsia="zh-CN" w:bidi="ar-SA"/>
              </w:rPr>
              <w:t>TOTO</w:t>
            </w:r>
            <w:r>
              <w:rPr>
                <w:rFonts w:hint="eastAsia" w:ascii="Times New Roman" w:hAnsi="Times New Roman" w:eastAsia="宋体" w:cs="宋体"/>
                <w:color w:val="auto"/>
                <w:kern w:val="2"/>
                <w:sz w:val="21"/>
                <w:szCs w:val="21"/>
                <w:highlight w:val="none"/>
                <w:lang w:val="en-US" w:eastAsia="zh-CN" w:bidi="ar-SA"/>
              </w:rPr>
              <w:t>、美标、科勒等品牌质量标准；水龙头、感应器</w:t>
            </w:r>
            <w:r>
              <w:rPr>
                <w:rFonts w:ascii="Times New Roman" w:hAnsi="Times New Roman" w:eastAsia="宋体" w:cs="宋体"/>
                <w:color w:val="auto"/>
                <w:kern w:val="2"/>
                <w:sz w:val="21"/>
                <w:szCs w:val="21"/>
                <w:highlight w:val="none"/>
                <w:lang w:val="en-US" w:eastAsia="zh-CN" w:bidi="ar-SA"/>
              </w:rPr>
              <w:t>性能指标参照或相当于</w:t>
            </w:r>
            <w:r>
              <w:rPr>
                <w:rFonts w:hint="eastAsia" w:ascii="Times New Roman" w:hAnsi="Times New Roman" w:eastAsia="宋体" w:cs="宋体"/>
                <w:color w:val="auto"/>
                <w:kern w:val="2"/>
                <w:sz w:val="21"/>
                <w:szCs w:val="21"/>
                <w:highlight w:val="none"/>
                <w:lang w:val="en-US" w:eastAsia="zh-CN" w:bidi="ar-SA"/>
              </w:rPr>
              <w:t>龙尔、惠达、美标、</w:t>
            </w:r>
            <w:r>
              <w:rPr>
                <w:rFonts w:ascii="Times New Roman" w:hAnsi="Times New Roman" w:eastAsia="宋体" w:cs="宋体"/>
                <w:color w:val="auto"/>
                <w:kern w:val="2"/>
                <w:sz w:val="21"/>
                <w:szCs w:val="21"/>
                <w:highlight w:val="none"/>
                <w:lang w:val="en-US" w:eastAsia="zh-CN" w:bidi="ar-SA"/>
              </w:rPr>
              <w:t>TOTO</w:t>
            </w:r>
            <w:r>
              <w:rPr>
                <w:rFonts w:hint="eastAsia" w:ascii="Times New Roman" w:hAnsi="Times New Roman" w:eastAsia="宋体" w:cs="宋体"/>
                <w:color w:val="auto"/>
                <w:kern w:val="2"/>
                <w:sz w:val="21"/>
                <w:szCs w:val="21"/>
                <w:highlight w:val="none"/>
                <w:lang w:val="en-US" w:eastAsia="zh-CN" w:bidi="ar-SA"/>
              </w:rPr>
              <w:t>等品牌质量标准；</w:t>
            </w:r>
          </w:p>
        </w:tc>
      </w:tr>
      <w:tr w14:paraId="6150920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tcPr>
          <w:p w14:paraId="1F3DBB5D">
            <w:pPr>
              <w:widowControl w:val="0"/>
              <w:numPr>
                <w:ilvl w:val="0"/>
                <w:numId w:val="12"/>
              </w:numPr>
              <w:jc w:val="both"/>
              <w:rPr>
                <w:rFonts w:ascii="Times New Roman" w:hAnsi="Times New Roman" w:eastAsia="宋体" w:cs="Times New Roman"/>
                <w:color w:val="auto"/>
                <w:kern w:val="2"/>
                <w:sz w:val="21"/>
                <w:szCs w:val="24"/>
                <w:highlight w:val="none"/>
                <w:lang w:val="en-US" w:eastAsia="zh-CN" w:bidi="ar-SA"/>
              </w:rPr>
            </w:pPr>
          </w:p>
        </w:tc>
        <w:tc>
          <w:tcPr>
            <w:tcW w:w="7580" w:type="dxa"/>
          </w:tcPr>
          <w:p w14:paraId="4469D13B">
            <w:pPr>
              <w:widowControl w:val="0"/>
              <w:jc w:val="both"/>
              <w:rPr>
                <w:rFonts w:ascii="Times New Roman" w:hAnsi="Times New Roman" w:eastAsia="宋体" w:cs="宋体"/>
                <w:color w:val="auto"/>
                <w:kern w:val="2"/>
                <w:sz w:val="21"/>
                <w:szCs w:val="21"/>
                <w:highlight w:val="none"/>
                <w:lang w:val="en-US" w:eastAsia="zh-CN" w:bidi="ar-SA"/>
              </w:rPr>
            </w:pPr>
            <w:r>
              <w:rPr>
                <w:rFonts w:hint="eastAsia" w:ascii="Times New Roman" w:hAnsi="Times New Roman" w:eastAsia="宋体" w:cs="宋体"/>
                <w:color w:val="auto"/>
                <w:kern w:val="2"/>
                <w:sz w:val="21"/>
                <w:szCs w:val="21"/>
                <w:highlight w:val="none"/>
                <w:lang w:val="en-US" w:eastAsia="zh-CN" w:bidi="ar-SA"/>
              </w:rPr>
              <w:t>铸铁</w:t>
            </w:r>
            <w:r>
              <w:rPr>
                <w:rFonts w:ascii="Times New Roman" w:hAnsi="Times New Roman" w:eastAsia="宋体" w:cs="宋体"/>
                <w:color w:val="auto"/>
                <w:kern w:val="2"/>
                <w:sz w:val="21"/>
                <w:szCs w:val="21"/>
                <w:highlight w:val="none"/>
                <w:lang w:val="en-US" w:eastAsia="zh-CN" w:bidi="ar-SA"/>
              </w:rPr>
              <w:t>及钢制</w:t>
            </w:r>
            <w:r>
              <w:rPr>
                <w:rFonts w:hint="eastAsia" w:ascii="Times New Roman" w:hAnsi="Times New Roman" w:eastAsia="宋体" w:cs="宋体"/>
                <w:color w:val="auto"/>
                <w:kern w:val="2"/>
                <w:sz w:val="21"/>
                <w:szCs w:val="21"/>
                <w:highlight w:val="none"/>
                <w:lang w:val="en-US" w:eastAsia="zh-CN" w:bidi="ar-SA"/>
              </w:rPr>
              <w:t>柱式散热器</w:t>
            </w:r>
            <w:r>
              <w:rPr>
                <w:rFonts w:ascii="Times New Roman" w:hAnsi="Times New Roman" w:eastAsia="宋体" w:cs="宋体"/>
                <w:color w:val="auto"/>
                <w:kern w:val="2"/>
                <w:sz w:val="21"/>
                <w:szCs w:val="21"/>
                <w:highlight w:val="none"/>
                <w:lang w:val="en-US" w:eastAsia="zh-CN" w:bidi="ar-SA"/>
              </w:rPr>
              <w:t>性能指标参照或相当于</w:t>
            </w:r>
            <w:r>
              <w:rPr>
                <w:rFonts w:hint="eastAsia" w:ascii="Times New Roman" w:hAnsi="Times New Roman" w:eastAsia="宋体" w:cs="宋体"/>
                <w:color w:val="auto"/>
                <w:kern w:val="2"/>
                <w:sz w:val="21"/>
                <w:szCs w:val="21"/>
                <w:highlight w:val="none"/>
                <w:lang w:val="en-US" w:eastAsia="zh-CN" w:bidi="ar-SA"/>
              </w:rPr>
              <w:t>帽儿山、圣春、北禄树等品牌质量标准</w:t>
            </w:r>
          </w:p>
          <w:p w14:paraId="0A4BCA6A">
            <w:pPr>
              <w:widowControl w:val="0"/>
              <w:jc w:val="both"/>
              <w:rPr>
                <w:rFonts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宋体"/>
                <w:color w:val="auto"/>
                <w:kern w:val="2"/>
                <w:sz w:val="21"/>
                <w:szCs w:val="21"/>
                <w:highlight w:val="none"/>
                <w:lang w:val="en-US" w:eastAsia="zh-CN" w:bidi="ar-SA"/>
              </w:rPr>
              <w:t>压铸铝散热器</w:t>
            </w:r>
            <w:r>
              <w:rPr>
                <w:rFonts w:ascii="Times New Roman" w:hAnsi="Times New Roman" w:eastAsia="宋体" w:cs="宋体"/>
                <w:color w:val="auto"/>
                <w:kern w:val="2"/>
                <w:sz w:val="21"/>
                <w:szCs w:val="21"/>
                <w:highlight w:val="none"/>
                <w:lang w:val="en-US" w:eastAsia="zh-CN" w:bidi="ar-SA"/>
              </w:rPr>
              <w:t>性能指标参照或相当于</w:t>
            </w:r>
            <w:r>
              <w:rPr>
                <w:rFonts w:hint="eastAsia" w:ascii="Times New Roman" w:hAnsi="Times New Roman" w:eastAsia="宋体" w:cs="宋体"/>
                <w:color w:val="auto"/>
                <w:kern w:val="2"/>
                <w:sz w:val="21"/>
                <w:szCs w:val="21"/>
                <w:highlight w:val="none"/>
                <w:lang w:val="en-US" w:eastAsia="zh-CN" w:bidi="ar-SA"/>
              </w:rPr>
              <w:t>昂彼特堡、旺达、</w:t>
            </w:r>
            <w:r>
              <w:rPr>
                <w:rFonts w:ascii="Times New Roman" w:hAnsi="Times New Roman" w:eastAsia="宋体" w:cs="宋体"/>
                <w:color w:val="auto"/>
                <w:kern w:val="2"/>
                <w:sz w:val="21"/>
                <w:szCs w:val="21"/>
                <w:highlight w:val="none"/>
                <w:lang w:val="en-US" w:eastAsia="zh-CN" w:bidi="ar-SA"/>
              </w:rPr>
              <w:t>圣春</w:t>
            </w:r>
            <w:r>
              <w:rPr>
                <w:rFonts w:hint="eastAsia" w:ascii="Times New Roman" w:hAnsi="Times New Roman" w:eastAsia="宋体" w:cs="宋体"/>
                <w:color w:val="auto"/>
                <w:kern w:val="2"/>
                <w:sz w:val="21"/>
                <w:szCs w:val="21"/>
                <w:highlight w:val="none"/>
                <w:lang w:val="en-US" w:eastAsia="zh-CN" w:bidi="ar-SA"/>
              </w:rPr>
              <w:t>等品牌质量标准</w:t>
            </w:r>
          </w:p>
        </w:tc>
      </w:tr>
      <w:tr w14:paraId="6E2C99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tcPr>
          <w:p w14:paraId="739893E2">
            <w:pPr>
              <w:widowControl w:val="0"/>
              <w:numPr>
                <w:ilvl w:val="0"/>
                <w:numId w:val="12"/>
              </w:numPr>
              <w:jc w:val="both"/>
              <w:rPr>
                <w:rFonts w:ascii="Times New Roman" w:hAnsi="Times New Roman" w:eastAsia="宋体" w:cs="Times New Roman"/>
                <w:color w:val="auto"/>
                <w:kern w:val="2"/>
                <w:sz w:val="21"/>
                <w:szCs w:val="24"/>
                <w:highlight w:val="none"/>
                <w:lang w:val="en-US" w:eastAsia="zh-CN" w:bidi="ar-SA"/>
              </w:rPr>
            </w:pPr>
          </w:p>
        </w:tc>
        <w:tc>
          <w:tcPr>
            <w:tcW w:w="7580" w:type="dxa"/>
          </w:tcPr>
          <w:p w14:paraId="22C86931">
            <w:pPr>
              <w:widowControl w:val="0"/>
              <w:jc w:val="both"/>
              <w:rPr>
                <w:rFonts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宋体"/>
                <w:color w:val="auto"/>
                <w:kern w:val="2"/>
                <w:sz w:val="21"/>
                <w:szCs w:val="21"/>
                <w:highlight w:val="none"/>
                <w:lang w:val="en-US" w:eastAsia="zh-CN" w:bidi="ar-SA"/>
              </w:rPr>
              <w:t>空调设备含材料</w:t>
            </w:r>
            <w:r>
              <w:rPr>
                <w:rFonts w:ascii="Times New Roman" w:hAnsi="Times New Roman" w:eastAsia="宋体" w:cs="宋体"/>
                <w:color w:val="auto"/>
                <w:kern w:val="2"/>
                <w:sz w:val="21"/>
                <w:szCs w:val="21"/>
                <w:highlight w:val="none"/>
                <w:lang w:val="en-US" w:eastAsia="zh-CN" w:bidi="ar-SA"/>
              </w:rPr>
              <w:t>性能指标参照或相当于</w:t>
            </w:r>
            <w:r>
              <w:rPr>
                <w:rFonts w:hint="eastAsia" w:ascii="Times New Roman" w:hAnsi="Times New Roman" w:eastAsia="宋体" w:cs="宋体"/>
                <w:color w:val="auto"/>
                <w:kern w:val="2"/>
                <w:sz w:val="21"/>
                <w:szCs w:val="21"/>
                <w:highlight w:val="none"/>
                <w:lang w:val="en-US" w:eastAsia="zh-CN" w:bidi="ar-SA"/>
              </w:rPr>
              <w:t>海信、海尔、格力、美的、奥克斯等品牌质量标准。</w:t>
            </w:r>
          </w:p>
        </w:tc>
      </w:tr>
      <w:tr w14:paraId="4BD755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tcPr>
          <w:p w14:paraId="18473052">
            <w:pPr>
              <w:widowControl w:val="0"/>
              <w:numPr>
                <w:ilvl w:val="0"/>
                <w:numId w:val="12"/>
              </w:numPr>
              <w:jc w:val="both"/>
              <w:rPr>
                <w:rFonts w:ascii="Times New Roman" w:hAnsi="Times New Roman" w:eastAsia="宋体" w:cs="Times New Roman"/>
                <w:color w:val="auto"/>
                <w:kern w:val="2"/>
                <w:sz w:val="21"/>
                <w:szCs w:val="24"/>
                <w:highlight w:val="none"/>
                <w:lang w:val="en-US" w:eastAsia="zh-CN" w:bidi="ar-SA"/>
              </w:rPr>
            </w:pPr>
          </w:p>
        </w:tc>
        <w:tc>
          <w:tcPr>
            <w:tcW w:w="7580" w:type="dxa"/>
          </w:tcPr>
          <w:p w14:paraId="2F2BCFA5">
            <w:pPr>
              <w:widowControl w:val="0"/>
              <w:jc w:val="both"/>
              <w:rPr>
                <w:rFonts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宋体"/>
                <w:color w:val="auto"/>
                <w:kern w:val="2"/>
                <w:sz w:val="21"/>
                <w:szCs w:val="21"/>
                <w:highlight w:val="none"/>
                <w:lang w:val="en-US" w:eastAsia="zh-CN" w:bidi="ar-SA"/>
              </w:rPr>
              <w:t>风机</w:t>
            </w:r>
            <w:r>
              <w:rPr>
                <w:rFonts w:ascii="Times New Roman" w:hAnsi="Times New Roman" w:eastAsia="宋体" w:cs="宋体"/>
                <w:color w:val="auto"/>
                <w:kern w:val="2"/>
                <w:sz w:val="21"/>
                <w:szCs w:val="21"/>
                <w:highlight w:val="none"/>
                <w:lang w:val="en-US" w:eastAsia="zh-CN" w:bidi="ar-SA"/>
              </w:rPr>
              <w:t>性能指标参照或相当于</w:t>
            </w:r>
            <w:r>
              <w:rPr>
                <w:rFonts w:hint="eastAsia" w:ascii="Times New Roman" w:hAnsi="Times New Roman" w:eastAsia="宋体" w:cs="宋体"/>
                <w:color w:val="auto"/>
                <w:kern w:val="2"/>
                <w:sz w:val="21"/>
                <w:szCs w:val="21"/>
                <w:highlight w:val="none"/>
                <w:lang w:val="en-US" w:eastAsia="zh-CN" w:bidi="ar-SA"/>
              </w:rPr>
              <w:t>金盾、章丘、章源机械等品牌质量标准</w:t>
            </w:r>
          </w:p>
        </w:tc>
      </w:tr>
      <w:tr w14:paraId="392CFE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tcPr>
          <w:p w14:paraId="398CB030">
            <w:pPr>
              <w:widowControl w:val="0"/>
              <w:numPr>
                <w:ilvl w:val="0"/>
                <w:numId w:val="12"/>
              </w:numPr>
              <w:jc w:val="both"/>
              <w:rPr>
                <w:rFonts w:ascii="Times New Roman" w:hAnsi="Times New Roman" w:eastAsia="宋体" w:cs="Times New Roman"/>
                <w:color w:val="auto"/>
                <w:kern w:val="2"/>
                <w:sz w:val="21"/>
                <w:szCs w:val="24"/>
                <w:highlight w:val="none"/>
                <w:lang w:val="en-US" w:eastAsia="zh-CN" w:bidi="ar-SA"/>
              </w:rPr>
            </w:pPr>
          </w:p>
        </w:tc>
        <w:tc>
          <w:tcPr>
            <w:tcW w:w="7580" w:type="dxa"/>
          </w:tcPr>
          <w:p w14:paraId="051EDF4E">
            <w:pPr>
              <w:widowControl w:val="0"/>
              <w:jc w:val="both"/>
              <w:rPr>
                <w:rFonts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宋体"/>
                <w:color w:val="auto"/>
                <w:kern w:val="2"/>
                <w:sz w:val="21"/>
                <w:szCs w:val="21"/>
                <w:highlight w:val="none"/>
                <w:lang w:val="en-US" w:eastAsia="zh-CN" w:bidi="ar-SA"/>
              </w:rPr>
              <w:t>电缆、电线达到国标，</w:t>
            </w:r>
            <w:r>
              <w:rPr>
                <w:rFonts w:ascii="Times New Roman" w:hAnsi="Times New Roman" w:eastAsia="宋体" w:cs="宋体"/>
                <w:color w:val="auto"/>
                <w:kern w:val="2"/>
                <w:sz w:val="21"/>
                <w:szCs w:val="21"/>
                <w:highlight w:val="none"/>
                <w:lang w:val="en-US" w:eastAsia="zh-CN" w:bidi="ar-SA"/>
              </w:rPr>
              <w:t>性能指标参照或相当于</w:t>
            </w:r>
            <w:r>
              <w:rPr>
                <w:rFonts w:hint="eastAsia" w:ascii="Times New Roman" w:hAnsi="Times New Roman" w:eastAsia="宋体" w:cs="宋体"/>
                <w:color w:val="auto"/>
                <w:kern w:val="2"/>
                <w:sz w:val="21"/>
                <w:szCs w:val="21"/>
                <w:highlight w:val="none"/>
                <w:lang w:val="en-US" w:eastAsia="zh-CN" w:bidi="ar-SA"/>
              </w:rPr>
              <w:t>津达、金桥、远东电缆等品牌质量标准；</w:t>
            </w:r>
          </w:p>
        </w:tc>
      </w:tr>
      <w:tr w14:paraId="6BF5E7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tcPr>
          <w:p w14:paraId="381D021A">
            <w:pPr>
              <w:widowControl w:val="0"/>
              <w:numPr>
                <w:ilvl w:val="0"/>
                <w:numId w:val="12"/>
              </w:numPr>
              <w:jc w:val="both"/>
              <w:rPr>
                <w:rFonts w:ascii="Times New Roman" w:hAnsi="Times New Roman" w:eastAsia="宋体" w:cs="Times New Roman"/>
                <w:color w:val="auto"/>
                <w:kern w:val="2"/>
                <w:sz w:val="21"/>
                <w:szCs w:val="24"/>
                <w:highlight w:val="none"/>
                <w:lang w:val="en-US" w:eastAsia="zh-CN" w:bidi="ar-SA"/>
              </w:rPr>
            </w:pPr>
          </w:p>
        </w:tc>
        <w:tc>
          <w:tcPr>
            <w:tcW w:w="7580" w:type="dxa"/>
          </w:tcPr>
          <w:p w14:paraId="0704E295">
            <w:pPr>
              <w:widowControl w:val="0"/>
              <w:jc w:val="both"/>
              <w:rPr>
                <w:rFonts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宋体"/>
                <w:color w:val="auto"/>
                <w:kern w:val="2"/>
                <w:sz w:val="21"/>
                <w:szCs w:val="21"/>
                <w:highlight w:val="none"/>
                <w:lang w:val="en-US" w:eastAsia="zh-CN" w:bidi="ar-SA"/>
              </w:rPr>
              <w:t>灯具</w:t>
            </w:r>
            <w:r>
              <w:rPr>
                <w:rFonts w:ascii="Times New Roman" w:hAnsi="Times New Roman" w:eastAsia="宋体" w:cs="宋体"/>
                <w:color w:val="auto"/>
                <w:kern w:val="2"/>
                <w:sz w:val="21"/>
                <w:szCs w:val="21"/>
                <w:highlight w:val="none"/>
                <w:lang w:val="en-US" w:eastAsia="zh-CN" w:bidi="ar-SA"/>
              </w:rPr>
              <w:t>性能指标参照或相当于</w:t>
            </w:r>
            <w:r>
              <w:rPr>
                <w:rFonts w:hint="eastAsia" w:ascii="Times New Roman" w:hAnsi="Times New Roman" w:eastAsia="宋体" w:cs="宋体"/>
                <w:color w:val="auto"/>
                <w:kern w:val="2"/>
                <w:sz w:val="21"/>
                <w:szCs w:val="21"/>
                <w:highlight w:val="none"/>
                <w:lang w:val="en-US" w:eastAsia="zh-CN" w:bidi="ar-SA"/>
              </w:rPr>
              <w:t>西顿、飞利浦、欧普等品牌质量标准；</w:t>
            </w:r>
          </w:p>
        </w:tc>
      </w:tr>
      <w:tr w14:paraId="56F2F2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tcPr>
          <w:p w14:paraId="1AD6CE92">
            <w:pPr>
              <w:widowControl w:val="0"/>
              <w:numPr>
                <w:ilvl w:val="0"/>
                <w:numId w:val="12"/>
              </w:numPr>
              <w:jc w:val="both"/>
              <w:rPr>
                <w:rFonts w:ascii="Times New Roman" w:hAnsi="Times New Roman" w:eastAsia="宋体" w:cs="Times New Roman"/>
                <w:color w:val="auto"/>
                <w:kern w:val="2"/>
                <w:sz w:val="21"/>
                <w:szCs w:val="24"/>
                <w:highlight w:val="none"/>
                <w:lang w:val="en-US" w:eastAsia="zh-CN" w:bidi="ar-SA"/>
              </w:rPr>
            </w:pPr>
          </w:p>
        </w:tc>
        <w:tc>
          <w:tcPr>
            <w:tcW w:w="7580" w:type="dxa"/>
          </w:tcPr>
          <w:p w14:paraId="4467E135">
            <w:pPr>
              <w:widowControl w:val="0"/>
              <w:jc w:val="both"/>
              <w:rPr>
                <w:rFonts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宋体"/>
                <w:color w:val="auto"/>
                <w:kern w:val="2"/>
                <w:sz w:val="21"/>
                <w:szCs w:val="21"/>
                <w:highlight w:val="none"/>
                <w:lang w:val="en-US" w:eastAsia="zh-CN" w:bidi="ar-SA"/>
              </w:rPr>
              <w:t>开关插座等电器器件</w:t>
            </w:r>
            <w:r>
              <w:rPr>
                <w:rFonts w:ascii="Times New Roman" w:hAnsi="Times New Roman" w:eastAsia="宋体" w:cs="宋体"/>
                <w:color w:val="auto"/>
                <w:kern w:val="2"/>
                <w:sz w:val="21"/>
                <w:szCs w:val="21"/>
                <w:highlight w:val="none"/>
                <w:lang w:val="en-US" w:eastAsia="zh-CN" w:bidi="ar-SA"/>
              </w:rPr>
              <w:t>性能指标参照或相当于</w:t>
            </w:r>
            <w:r>
              <w:rPr>
                <w:rFonts w:hint="eastAsia" w:ascii="Times New Roman" w:hAnsi="Times New Roman" w:eastAsia="宋体" w:cs="宋体"/>
                <w:color w:val="auto"/>
                <w:kern w:val="2"/>
                <w:sz w:val="21"/>
                <w:szCs w:val="21"/>
                <w:highlight w:val="none"/>
                <w:lang w:val="en-US" w:eastAsia="zh-CN" w:bidi="ar-SA"/>
              </w:rPr>
              <w:t>德力西、施耐德、西顿等品牌质量标准；</w:t>
            </w:r>
          </w:p>
        </w:tc>
      </w:tr>
      <w:tr w14:paraId="3BB51C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tcPr>
          <w:p w14:paraId="6A900DB6">
            <w:pPr>
              <w:widowControl w:val="0"/>
              <w:numPr>
                <w:ilvl w:val="0"/>
                <w:numId w:val="12"/>
              </w:numPr>
              <w:jc w:val="both"/>
              <w:rPr>
                <w:rFonts w:ascii="Times New Roman" w:hAnsi="Times New Roman" w:eastAsia="宋体" w:cs="Times New Roman"/>
                <w:color w:val="auto"/>
                <w:kern w:val="2"/>
                <w:sz w:val="21"/>
                <w:szCs w:val="24"/>
                <w:highlight w:val="none"/>
                <w:lang w:val="en-US" w:eastAsia="zh-CN" w:bidi="ar-SA"/>
              </w:rPr>
            </w:pPr>
          </w:p>
        </w:tc>
        <w:tc>
          <w:tcPr>
            <w:tcW w:w="7580" w:type="dxa"/>
          </w:tcPr>
          <w:p w14:paraId="42002511">
            <w:pPr>
              <w:widowControl w:val="0"/>
              <w:jc w:val="both"/>
              <w:rPr>
                <w:rFonts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宋体"/>
                <w:color w:val="auto"/>
                <w:kern w:val="2"/>
                <w:sz w:val="21"/>
                <w:szCs w:val="21"/>
                <w:highlight w:val="none"/>
                <w:lang w:val="en-US" w:eastAsia="zh-CN" w:bidi="ar-SA"/>
              </w:rPr>
              <w:t>配电箱、柜及内部元器件</w:t>
            </w:r>
            <w:r>
              <w:rPr>
                <w:rFonts w:ascii="Times New Roman" w:hAnsi="Times New Roman" w:eastAsia="宋体" w:cs="宋体"/>
                <w:color w:val="auto"/>
                <w:kern w:val="2"/>
                <w:sz w:val="21"/>
                <w:szCs w:val="21"/>
                <w:highlight w:val="none"/>
                <w:lang w:val="en-US" w:eastAsia="zh-CN" w:bidi="ar-SA"/>
              </w:rPr>
              <w:t>性能指标参照或相当于</w:t>
            </w:r>
            <w:r>
              <w:rPr>
                <w:rFonts w:hint="eastAsia" w:ascii="Times New Roman" w:hAnsi="Times New Roman" w:eastAsia="宋体" w:cs="宋体"/>
                <w:color w:val="auto"/>
                <w:kern w:val="2"/>
                <w:sz w:val="21"/>
                <w:szCs w:val="21"/>
                <w:highlight w:val="none"/>
                <w:lang w:val="en-US" w:eastAsia="zh-CN" w:bidi="ar-SA"/>
              </w:rPr>
              <w:t>正泰、德力西、上海人民等品牌质量标准。</w:t>
            </w:r>
          </w:p>
        </w:tc>
      </w:tr>
      <w:tr w14:paraId="68C763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tcPr>
          <w:p w14:paraId="243E9D92">
            <w:pPr>
              <w:widowControl w:val="0"/>
              <w:numPr>
                <w:ilvl w:val="0"/>
                <w:numId w:val="12"/>
              </w:numPr>
              <w:jc w:val="both"/>
              <w:rPr>
                <w:rFonts w:ascii="Times New Roman" w:hAnsi="Times New Roman" w:eastAsia="宋体" w:cs="Times New Roman"/>
                <w:color w:val="auto"/>
                <w:kern w:val="2"/>
                <w:sz w:val="21"/>
                <w:szCs w:val="24"/>
                <w:highlight w:val="none"/>
                <w:lang w:val="en-US" w:eastAsia="zh-CN" w:bidi="ar-SA"/>
              </w:rPr>
            </w:pPr>
          </w:p>
        </w:tc>
        <w:tc>
          <w:tcPr>
            <w:tcW w:w="7580" w:type="dxa"/>
          </w:tcPr>
          <w:p w14:paraId="44471061">
            <w:pPr>
              <w:widowControl w:val="0"/>
              <w:jc w:val="both"/>
              <w:rPr>
                <w:rFonts w:ascii="Times New Roman" w:hAnsi="Times New Roman" w:eastAsia="宋体" w:cs="宋体"/>
                <w:color w:val="auto"/>
                <w:kern w:val="2"/>
                <w:sz w:val="21"/>
                <w:szCs w:val="21"/>
                <w:highlight w:val="none"/>
                <w:lang w:val="en-US" w:eastAsia="zh-CN" w:bidi="ar-SA"/>
              </w:rPr>
            </w:pPr>
            <w:r>
              <w:rPr>
                <w:rFonts w:hint="eastAsia" w:ascii="Times New Roman" w:hAnsi="Times New Roman" w:eastAsia="宋体" w:cs="宋体"/>
                <w:color w:val="auto"/>
                <w:kern w:val="2"/>
                <w:sz w:val="21"/>
                <w:szCs w:val="21"/>
                <w:highlight w:val="none"/>
                <w:lang w:val="en-US" w:eastAsia="zh-CN" w:bidi="ar-SA"/>
              </w:rPr>
              <w:t>变压器</w:t>
            </w:r>
            <w:r>
              <w:rPr>
                <w:rFonts w:ascii="Times New Roman" w:hAnsi="Times New Roman" w:eastAsia="宋体" w:cs="宋体"/>
                <w:color w:val="auto"/>
                <w:kern w:val="2"/>
                <w:sz w:val="21"/>
                <w:szCs w:val="21"/>
                <w:highlight w:val="none"/>
                <w:lang w:val="en-US" w:eastAsia="zh-CN" w:bidi="ar-SA"/>
              </w:rPr>
              <w:t>性能指标参照或相当于</w:t>
            </w:r>
            <w:r>
              <w:rPr>
                <w:rFonts w:hint="eastAsia" w:ascii="Times New Roman" w:hAnsi="Times New Roman" w:eastAsia="宋体" w:cs="宋体"/>
                <w:color w:val="auto"/>
                <w:kern w:val="2"/>
                <w:sz w:val="21"/>
                <w:szCs w:val="21"/>
                <w:highlight w:val="none"/>
                <w:lang w:val="en-US" w:eastAsia="zh-CN" w:bidi="ar-SA"/>
              </w:rPr>
              <w:t>中变集团上海变压器、哈尔滨北方特力电力设备有限公司、南京大全变压器有限公司等品牌质量标准。</w:t>
            </w:r>
          </w:p>
        </w:tc>
      </w:tr>
      <w:tr w14:paraId="3C4198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tcPr>
          <w:p w14:paraId="2DF7E34F">
            <w:pPr>
              <w:widowControl w:val="0"/>
              <w:numPr>
                <w:ilvl w:val="0"/>
                <w:numId w:val="12"/>
              </w:numPr>
              <w:jc w:val="both"/>
              <w:rPr>
                <w:rFonts w:ascii="Times New Roman" w:hAnsi="Times New Roman" w:eastAsia="宋体" w:cs="Times New Roman"/>
                <w:color w:val="auto"/>
                <w:kern w:val="2"/>
                <w:sz w:val="21"/>
                <w:szCs w:val="24"/>
                <w:highlight w:val="none"/>
                <w:lang w:val="en-US" w:eastAsia="zh-CN" w:bidi="ar-SA"/>
              </w:rPr>
            </w:pPr>
          </w:p>
        </w:tc>
        <w:tc>
          <w:tcPr>
            <w:tcW w:w="7580" w:type="dxa"/>
          </w:tcPr>
          <w:p w14:paraId="4E9C2126">
            <w:pPr>
              <w:widowControl w:val="0"/>
              <w:jc w:val="both"/>
              <w:rPr>
                <w:rFonts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宋体"/>
                <w:color w:val="auto"/>
                <w:kern w:val="2"/>
                <w:sz w:val="21"/>
                <w:szCs w:val="21"/>
                <w:highlight w:val="none"/>
                <w:lang w:val="en-US" w:eastAsia="zh-CN" w:bidi="ar-SA"/>
              </w:rPr>
              <w:t>消防设备</w:t>
            </w:r>
            <w:r>
              <w:rPr>
                <w:rFonts w:ascii="Times New Roman" w:hAnsi="Times New Roman" w:eastAsia="宋体" w:cs="宋体"/>
                <w:color w:val="auto"/>
                <w:kern w:val="2"/>
                <w:sz w:val="21"/>
                <w:szCs w:val="21"/>
                <w:highlight w:val="none"/>
                <w:lang w:val="en-US" w:eastAsia="zh-CN" w:bidi="ar-SA"/>
              </w:rPr>
              <w:t>性能指标参照或相当于</w:t>
            </w:r>
            <w:r>
              <w:rPr>
                <w:rFonts w:hint="eastAsia" w:ascii="Times New Roman" w:hAnsi="Times New Roman" w:eastAsia="宋体" w:cs="宋体"/>
                <w:color w:val="auto"/>
                <w:kern w:val="2"/>
                <w:sz w:val="21"/>
                <w:szCs w:val="21"/>
                <w:highlight w:val="none"/>
                <w:lang w:val="en-US" w:eastAsia="zh-CN" w:bidi="ar-SA"/>
              </w:rPr>
              <w:t>海湾、利达、泛海三江等品牌质量标准。</w:t>
            </w:r>
          </w:p>
        </w:tc>
      </w:tr>
      <w:tr w14:paraId="30408A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tcPr>
          <w:p w14:paraId="566E9DF6">
            <w:pPr>
              <w:widowControl w:val="0"/>
              <w:numPr>
                <w:ilvl w:val="0"/>
                <w:numId w:val="12"/>
              </w:numPr>
              <w:jc w:val="both"/>
              <w:rPr>
                <w:rFonts w:ascii="Times New Roman" w:hAnsi="Times New Roman" w:eastAsia="宋体" w:cs="Times New Roman"/>
                <w:color w:val="auto"/>
                <w:kern w:val="2"/>
                <w:sz w:val="21"/>
                <w:szCs w:val="24"/>
                <w:highlight w:val="none"/>
                <w:lang w:val="en-US" w:eastAsia="zh-CN" w:bidi="ar-SA"/>
              </w:rPr>
            </w:pPr>
          </w:p>
        </w:tc>
        <w:tc>
          <w:tcPr>
            <w:tcW w:w="7580" w:type="dxa"/>
          </w:tcPr>
          <w:p w14:paraId="5EAB2F0C">
            <w:pPr>
              <w:widowControl w:val="0"/>
              <w:jc w:val="both"/>
              <w:rPr>
                <w:rFonts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宋体"/>
                <w:color w:val="auto"/>
                <w:kern w:val="2"/>
                <w:sz w:val="21"/>
                <w:szCs w:val="21"/>
                <w:highlight w:val="none"/>
                <w:lang w:val="en-US" w:eastAsia="zh-CN" w:bidi="ar-SA"/>
              </w:rPr>
              <w:t>金属桥架</w:t>
            </w:r>
            <w:r>
              <w:rPr>
                <w:rFonts w:ascii="Times New Roman" w:hAnsi="Times New Roman" w:eastAsia="宋体" w:cs="宋体"/>
                <w:color w:val="auto"/>
                <w:kern w:val="2"/>
                <w:sz w:val="21"/>
                <w:szCs w:val="21"/>
                <w:highlight w:val="none"/>
                <w:lang w:val="en-US" w:eastAsia="zh-CN" w:bidi="ar-SA"/>
              </w:rPr>
              <w:t>性能指标参照或相当于</w:t>
            </w:r>
            <w:r>
              <w:rPr>
                <w:rFonts w:hint="eastAsia" w:ascii="Times New Roman" w:hAnsi="Times New Roman" w:eastAsia="宋体" w:cs="宋体"/>
                <w:color w:val="auto"/>
                <w:kern w:val="2"/>
                <w:sz w:val="21"/>
                <w:szCs w:val="21"/>
                <w:highlight w:val="none"/>
                <w:lang w:val="en-US" w:eastAsia="zh-CN" w:bidi="ar-SA"/>
              </w:rPr>
              <w:t>万奇、振大、有能等品牌质量标准。</w:t>
            </w:r>
          </w:p>
        </w:tc>
      </w:tr>
      <w:tr w14:paraId="34737D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tcPr>
          <w:p w14:paraId="38373BA1">
            <w:pPr>
              <w:widowControl w:val="0"/>
              <w:numPr>
                <w:ilvl w:val="0"/>
                <w:numId w:val="12"/>
              </w:numPr>
              <w:jc w:val="both"/>
              <w:rPr>
                <w:rFonts w:ascii="Times New Roman" w:hAnsi="Times New Roman" w:eastAsia="宋体" w:cs="Times New Roman"/>
                <w:color w:val="auto"/>
                <w:kern w:val="2"/>
                <w:sz w:val="21"/>
                <w:szCs w:val="24"/>
                <w:highlight w:val="none"/>
                <w:lang w:val="en-US" w:eastAsia="zh-CN" w:bidi="ar-SA"/>
              </w:rPr>
            </w:pPr>
          </w:p>
        </w:tc>
        <w:tc>
          <w:tcPr>
            <w:tcW w:w="7580" w:type="dxa"/>
          </w:tcPr>
          <w:p w14:paraId="4BB6555A">
            <w:pPr>
              <w:widowControl w:val="0"/>
              <w:jc w:val="both"/>
              <w:rPr>
                <w:rFonts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宋体"/>
                <w:color w:val="auto"/>
                <w:kern w:val="2"/>
                <w:sz w:val="21"/>
                <w:szCs w:val="21"/>
                <w:highlight w:val="none"/>
                <w:lang w:val="en-US" w:eastAsia="zh-CN" w:bidi="ar-SA"/>
              </w:rPr>
              <w:t>弱电设备含材料</w:t>
            </w:r>
            <w:r>
              <w:rPr>
                <w:rFonts w:ascii="Times New Roman" w:hAnsi="Times New Roman" w:eastAsia="宋体" w:cs="宋体"/>
                <w:color w:val="auto"/>
                <w:kern w:val="2"/>
                <w:sz w:val="21"/>
                <w:szCs w:val="21"/>
                <w:highlight w:val="none"/>
                <w:lang w:val="en-US" w:eastAsia="zh-CN" w:bidi="ar-SA"/>
              </w:rPr>
              <w:t>性能指标参照或相当于</w:t>
            </w:r>
            <w:r>
              <w:rPr>
                <w:rFonts w:hint="eastAsia" w:ascii="Times New Roman" w:hAnsi="Times New Roman" w:eastAsia="宋体" w:cs="宋体"/>
                <w:color w:val="auto"/>
                <w:kern w:val="2"/>
                <w:sz w:val="21"/>
                <w:szCs w:val="21"/>
                <w:highlight w:val="none"/>
                <w:lang w:val="en-US" w:eastAsia="zh-CN" w:bidi="ar-SA"/>
              </w:rPr>
              <w:t>西蒙、</w:t>
            </w:r>
            <w:r>
              <w:rPr>
                <w:rFonts w:ascii="Times New Roman" w:hAnsi="Times New Roman" w:eastAsia="宋体" w:cs="宋体"/>
                <w:color w:val="auto"/>
                <w:kern w:val="2"/>
                <w:sz w:val="21"/>
                <w:szCs w:val="21"/>
                <w:highlight w:val="none"/>
                <w:lang w:val="en-US" w:eastAsia="zh-CN" w:bidi="ar-SA"/>
              </w:rPr>
              <w:t>TCL</w:t>
            </w:r>
            <w:r>
              <w:rPr>
                <w:rFonts w:hint="eastAsia" w:ascii="Times New Roman" w:hAnsi="Times New Roman" w:eastAsia="宋体" w:cs="宋体"/>
                <w:color w:val="auto"/>
                <w:kern w:val="2"/>
                <w:sz w:val="21"/>
                <w:szCs w:val="21"/>
                <w:highlight w:val="none"/>
                <w:lang w:val="en-US" w:eastAsia="zh-CN" w:bidi="ar-SA"/>
              </w:rPr>
              <w:t>、岳丰等品牌质量标准。</w:t>
            </w:r>
          </w:p>
        </w:tc>
      </w:tr>
      <w:tr w14:paraId="0A906B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tcPr>
          <w:p w14:paraId="4261B558">
            <w:pPr>
              <w:widowControl w:val="0"/>
              <w:numPr>
                <w:ilvl w:val="0"/>
                <w:numId w:val="12"/>
              </w:numPr>
              <w:jc w:val="both"/>
              <w:rPr>
                <w:rFonts w:ascii="Times New Roman" w:hAnsi="Times New Roman" w:eastAsia="宋体" w:cs="Times New Roman"/>
                <w:color w:val="auto"/>
                <w:kern w:val="2"/>
                <w:sz w:val="21"/>
                <w:szCs w:val="24"/>
                <w:highlight w:val="none"/>
                <w:lang w:val="en-US" w:eastAsia="zh-CN" w:bidi="ar-SA"/>
              </w:rPr>
            </w:pPr>
          </w:p>
        </w:tc>
        <w:tc>
          <w:tcPr>
            <w:tcW w:w="7580" w:type="dxa"/>
          </w:tcPr>
          <w:p w14:paraId="635B7CF6">
            <w:pPr>
              <w:widowControl w:val="0"/>
              <w:jc w:val="both"/>
              <w:rPr>
                <w:rFonts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宋体"/>
                <w:color w:val="auto"/>
                <w:kern w:val="2"/>
                <w:sz w:val="21"/>
                <w:szCs w:val="21"/>
                <w:highlight w:val="none"/>
                <w:lang w:val="en-US" w:eastAsia="zh-CN" w:bidi="ar-SA"/>
              </w:rPr>
              <w:t>监控设备含材料</w:t>
            </w:r>
            <w:r>
              <w:rPr>
                <w:rFonts w:ascii="Times New Roman" w:hAnsi="Times New Roman" w:eastAsia="宋体" w:cs="宋体"/>
                <w:color w:val="auto"/>
                <w:kern w:val="2"/>
                <w:sz w:val="21"/>
                <w:szCs w:val="21"/>
                <w:highlight w:val="none"/>
                <w:lang w:val="en-US" w:eastAsia="zh-CN" w:bidi="ar-SA"/>
              </w:rPr>
              <w:t>性能指标参照或相当于</w:t>
            </w:r>
            <w:r>
              <w:rPr>
                <w:rFonts w:hint="eastAsia" w:ascii="Times New Roman" w:hAnsi="Times New Roman" w:eastAsia="宋体" w:cs="宋体"/>
                <w:color w:val="auto"/>
                <w:kern w:val="2"/>
                <w:sz w:val="21"/>
                <w:szCs w:val="21"/>
                <w:highlight w:val="none"/>
                <w:lang w:val="en-US" w:eastAsia="zh-CN" w:bidi="ar-SA"/>
              </w:rPr>
              <w:t>松下、宇视、海康威视等品牌质量标准。</w:t>
            </w:r>
          </w:p>
        </w:tc>
      </w:tr>
      <w:tr w14:paraId="4DC51A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tcPr>
          <w:p w14:paraId="67ED52AD">
            <w:pPr>
              <w:widowControl w:val="0"/>
              <w:numPr>
                <w:ilvl w:val="0"/>
                <w:numId w:val="12"/>
              </w:numPr>
              <w:jc w:val="both"/>
              <w:rPr>
                <w:rFonts w:ascii="Times New Roman" w:hAnsi="Times New Roman" w:eastAsia="宋体" w:cs="Times New Roman"/>
                <w:color w:val="auto"/>
                <w:kern w:val="2"/>
                <w:sz w:val="21"/>
                <w:szCs w:val="24"/>
                <w:highlight w:val="none"/>
                <w:lang w:val="en-US" w:eastAsia="zh-CN" w:bidi="ar-SA"/>
              </w:rPr>
            </w:pPr>
          </w:p>
        </w:tc>
        <w:tc>
          <w:tcPr>
            <w:tcW w:w="7580" w:type="dxa"/>
          </w:tcPr>
          <w:p w14:paraId="19438DDB">
            <w:pPr>
              <w:widowControl w:val="0"/>
              <w:jc w:val="both"/>
              <w:rPr>
                <w:rFonts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宋体"/>
                <w:color w:val="auto"/>
                <w:kern w:val="2"/>
                <w:sz w:val="21"/>
                <w:szCs w:val="21"/>
                <w:highlight w:val="none"/>
                <w:lang w:val="en-US" w:eastAsia="zh-CN" w:bidi="ar-SA"/>
              </w:rPr>
              <w:t>电梯</w:t>
            </w:r>
            <w:r>
              <w:rPr>
                <w:rFonts w:ascii="Times New Roman" w:hAnsi="Times New Roman" w:eastAsia="宋体" w:cs="宋体"/>
                <w:color w:val="auto"/>
                <w:kern w:val="2"/>
                <w:sz w:val="21"/>
                <w:szCs w:val="21"/>
                <w:highlight w:val="none"/>
                <w:lang w:val="en-US" w:eastAsia="zh-CN" w:bidi="ar-SA"/>
              </w:rPr>
              <w:t>性能指标参照或相当于</w:t>
            </w:r>
            <w:r>
              <w:rPr>
                <w:rFonts w:hint="eastAsia" w:ascii="Times New Roman" w:hAnsi="Times New Roman" w:eastAsia="宋体" w:cs="宋体"/>
                <w:color w:val="auto"/>
                <w:kern w:val="2"/>
                <w:sz w:val="21"/>
                <w:szCs w:val="21"/>
                <w:highlight w:val="none"/>
                <w:lang w:val="en-US" w:eastAsia="zh-CN" w:bidi="ar-SA"/>
              </w:rPr>
              <w:t>三菱、奥的斯、蒂森等客梯品牌质量标准。</w:t>
            </w:r>
          </w:p>
        </w:tc>
      </w:tr>
      <w:tr w14:paraId="54A59B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7" w:hRule="atLeast"/>
        </w:trPr>
        <w:tc>
          <w:tcPr>
            <w:tcW w:w="703" w:type="dxa"/>
          </w:tcPr>
          <w:p w14:paraId="5AEB351E">
            <w:pPr>
              <w:widowControl w:val="0"/>
              <w:numPr>
                <w:ilvl w:val="0"/>
                <w:numId w:val="12"/>
              </w:numPr>
              <w:jc w:val="both"/>
              <w:rPr>
                <w:rFonts w:ascii="Times New Roman" w:hAnsi="Times New Roman" w:eastAsia="宋体" w:cs="Times New Roman"/>
                <w:color w:val="auto"/>
                <w:kern w:val="2"/>
                <w:sz w:val="21"/>
                <w:szCs w:val="24"/>
                <w:highlight w:val="none"/>
                <w:lang w:val="en-US" w:eastAsia="zh-CN" w:bidi="ar-SA"/>
              </w:rPr>
            </w:pPr>
          </w:p>
        </w:tc>
        <w:tc>
          <w:tcPr>
            <w:tcW w:w="7580" w:type="dxa"/>
          </w:tcPr>
          <w:p w14:paraId="224C68A3">
            <w:pPr>
              <w:widowControl w:val="0"/>
              <w:jc w:val="both"/>
              <w:rPr>
                <w:rFonts w:ascii="Times New Roman" w:hAnsi="Times New Roman" w:eastAsia="宋体" w:cs="宋体"/>
                <w:color w:val="auto"/>
                <w:kern w:val="2"/>
                <w:sz w:val="21"/>
                <w:szCs w:val="21"/>
                <w:highlight w:val="none"/>
                <w:lang w:val="en-US" w:eastAsia="zh-CN" w:bidi="ar-SA"/>
              </w:rPr>
            </w:pPr>
            <w:r>
              <w:rPr>
                <w:rFonts w:ascii="Times New Roman" w:hAnsi="Times New Roman" w:eastAsia="宋体" w:cs="宋体"/>
                <w:color w:val="auto"/>
                <w:kern w:val="2"/>
                <w:sz w:val="21"/>
                <w:szCs w:val="21"/>
                <w:highlight w:val="none"/>
                <w:lang w:val="en-US" w:eastAsia="zh-CN" w:bidi="ar-SA"/>
              </w:rPr>
              <w:t>PVC</w:t>
            </w:r>
            <w:r>
              <w:rPr>
                <w:rFonts w:hint="eastAsia" w:ascii="Times New Roman" w:hAnsi="Times New Roman" w:eastAsia="宋体" w:cs="宋体"/>
                <w:color w:val="auto"/>
                <w:kern w:val="2"/>
                <w:sz w:val="21"/>
                <w:szCs w:val="21"/>
                <w:highlight w:val="none"/>
                <w:lang w:val="en-US" w:eastAsia="zh-CN" w:bidi="ar-SA"/>
              </w:rPr>
              <w:t>地板（塑胶地板）</w:t>
            </w:r>
            <w:r>
              <w:rPr>
                <w:rFonts w:ascii="Times New Roman" w:hAnsi="Times New Roman" w:eastAsia="宋体" w:cs="宋体"/>
                <w:color w:val="auto"/>
                <w:kern w:val="2"/>
                <w:sz w:val="21"/>
                <w:szCs w:val="21"/>
                <w:highlight w:val="none"/>
                <w:lang w:val="en-US" w:eastAsia="zh-CN" w:bidi="ar-SA"/>
              </w:rPr>
              <w:t>性能指标参照或相当于Armstrong</w:t>
            </w:r>
            <w:r>
              <w:rPr>
                <w:rFonts w:hint="eastAsia" w:ascii="Times New Roman" w:hAnsi="Times New Roman" w:eastAsia="宋体" w:cs="宋体"/>
                <w:color w:val="auto"/>
                <w:kern w:val="2"/>
                <w:sz w:val="21"/>
                <w:szCs w:val="21"/>
                <w:highlight w:val="none"/>
                <w:lang w:val="en-US" w:eastAsia="zh-CN" w:bidi="ar-SA"/>
              </w:rPr>
              <w:t>阿姆斯壮、</w:t>
            </w:r>
            <w:r>
              <w:rPr>
                <w:rFonts w:ascii="Times New Roman" w:hAnsi="Times New Roman" w:eastAsia="宋体" w:cs="宋体"/>
                <w:color w:val="auto"/>
                <w:kern w:val="2"/>
                <w:sz w:val="21"/>
                <w:szCs w:val="21"/>
                <w:highlight w:val="none"/>
                <w:lang w:val="en-US" w:eastAsia="zh-CN" w:bidi="ar-SA"/>
              </w:rPr>
              <w:t>LXHausys</w:t>
            </w:r>
            <w:r>
              <w:rPr>
                <w:rFonts w:hint="eastAsia" w:ascii="Times New Roman" w:hAnsi="Times New Roman" w:eastAsia="宋体" w:cs="宋体"/>
                <w:color w:val="auto"/>
                <w:kern w:val="2"/>
                <w:sz w:val="21"/>
                <w:szCs w:val="21"/>
                <w:highlight w:val="none"/>
                <w:lang w:val="en-US" w:eastAsia="zh-CN" w:bidi="ar-SA"/>
              </w:rPr>
              <w:t>、</w:t>
            </w:r>
            <w:r>
              <w:rPr>
                <w:rFonts w:ascii="Times New Roman" w:hAnsi="Times New Roman" w:eastAsia="宋体" w:cs="宋体"/>
                <w:color w:val="auto"/>
                <w:kern w:val="2"/>
                <w:sz w:val="21"/>
                <w:szCs w:val="21"/>
                <w:highlight w:val="none"/>
                <w:lang w:val="en-US" w:eastAsia="zh-CN" w:bidi="ar-SA"/>
              </w:rPr>
              <w:t>Gerflor</w:t>
            </w:r>
            <w:r>
              <w:rPr>
                <w:rFonts w:hint="eastAsia" w:ascii="Times New Roman" w:hAnsi="Times New Roman" w:eastAsia="宋体" w:cs="宋体"/>
                <w:color w:val="auto"/>
                <w:kern w:val="2"/>
                <w:sz w:val="21"/>
                <w:szCs w:val="21"/>
                <w:highlight w:val="none"/>
                <w:lang w:val="en-US" w:eastAsia="zh-CN" w:bidi="ar-SA"/>
              </w:rPr>
              <w:t>洁福等品牌质量标准。</w:t>
            </w:r>
          </w:p>
        </w:tc>
      </w:tr>
      <w:tr w14:paraId="374B80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7" w:hRule="atLeast"/>
        </w:trPr>
        <w:tc>
          <w:tcPr>
            <w:tcW w:w="703" w:type="dxa"/>
          </w:tcPr>
          <w:p w14:paraId="51AD05A2">
            <w:pPr>
              <w:widowControl w:val="0"/>
              <w:numPr>
                <w:ilvl w:val="0"/>
                <w:numId w:val="12"/>
              </w:numPr>
              <w:jc w:val="both"/>
              <w:rPr>
                <w:rFonts w:ascii="Times New Roman" w:hAnsi="Times New Roman" w:eastAsia="宋体" w:cs="Times New Roman"/>
                <w:color w:val="auto"/>
                <w:kern w:val="2"/>
                <w:sz w:val="21"/>
                <w:szCs w:val="24"/>
                <w:highlight w:val="none"/>
                <w:lang w:val="en-US" w:eastAsia="zh-CN" w:bidi="ar-SA"/>
              </w:rPr>
            </w:pPr>
          </w:p>
        </w:tc>
        <w:tc>
          <w:tcPr>
            <w:tcW w:w="7580" w:type="dxa"/>
          </w:tcPr>
          <w:p w14:paraId="46E77FB6">
            <w:pPr>
              <w:widowControl w:val="0"/>
              <w:jc w:val="both"/>
              <w:rPr>
                <w:rFonts w:ascii="Times New Roman" w:hAnsi="Times New Roman" w:eastAsia="宋体" w:cs="宋体"/>
                <w:color w:val="auto"/>
                <w:kern w:val="2"/>
                <w:sz w:val="21"/>
                <w:szCs w:val="21"/>
                <w:highlight w:val="none"/>
                <w:lang w:val="en-US" w:eastAsia="zh-CN" w:bidi="ar-SA"/>
              </w:rPr>
            </w:pPr>
            <w:r>
              <w:rPr>
                <w:rFonts w:hint="eastAsia" w:ascii="Times New Roman" w:hAnsi="Times New Roman" w:eastAsia="宋体" w:cs="宋体"/>
                <w:color w:val="auto"/>
                <w:kern w:val="2"/>
                <w:sz w:val="21"/>
                <w:szCs w:val="21"/>
                <w:highlight w:val="none"/>
                <w:lang w:val="en-US" w:eastAsia="zh-CN" w:bidi="ar-SA"/>
              </w:rPr>
              <w:t>岩棉保温材料</w:t>
            </w:r>
            <w:r>
              <w:rPr>
                <w:rFonts w:ascii="Times New Roman" w:hAnsi="Times New Roman" w:eastAsia="宋体" w:cs="宋体"/>
                <w:color w:val="auto"/>
                <w:kern w:val="2"/>
                <w:sz w:val="21"/>
                <w:szCs w:val="21"/>
                <w:highlight w:val="none"/>
                <w:lang w:val="en-US" w:eastAsia="zh-CN" w:bidi="ar-SA"/>
              </w:rPr>
              <w:t>性能指标参照或相当于</w:t>
            </w:r>
            <w:r>
              <w:rPr>
                <w:rFonts w:hint="eastAsia" w:ascii="Times New Roman" w:hAnsi="Times New Roman" w:eastAsia="宋体" w:cs="宋体"/>
                <w:color w:val="auto"/>
                <w:kern w:val="2"/>
                <w:sz w:val="21"/>
                <w:szCs w:val="21"/>
                <w:highlight w:val="none"/>
                <w:lang w:val="en-US" w:eastAsia="zh-CN" w:bidi="ar-SA"/>
              </w:rPr>
              <w:t>樱花、泰石、泰和尼科、雅士等品牌质量标准。</w:t>
            </w:r>
          </w:p>
        </w:tc>
      </w:tr>
      <w:tr w14:paraId="719965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tcPr>
          <w:p w14:paraId="3709144C">
            <w:pPr>
              <w:widowControl w:val="0"/>
              <w:numPr>
                <w:ilvl w:val="0"/>
                <w:numId w:val="12"/>
              </w:numPr>
              <w:jc w:val="both"/>
              <w:rPr>
                <w:rFonts w:ascii="Times New Roman" w:hAnsi="Times New Roman" w:eastAsia="宋体" w:cs="Times New Roman"/>
                <w:color w:val="auto"/>
                <w:kern w:val="2"/>
                <w:sz w:val="21"/>
                <w:szCs w:val="24"/>
                <w:highlight w:val="none"/>
                <w:lang w:val="en-US" w:eastAsia="zh-CN" w:bidi="ar-SA"/>
              </w:rPr>
            </w:pPr>
          </w:p>
        </w:tc>
        <w:tc>
          <w:tcPr>
            <w:tcW w:w="7580" w:type="dxa"/>
          </w:tcPr>
          <w:p w14:paraId="6EA2E0C9">
            <w:pPr>
              <w:widowControl w:val="0"/>
              <w:jc w:val="both"/>
              <w:rPr>
                <w:rFonts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宋体"/>
                <w:color w:val="auto"/>
                <w:kern w:val="2"/>
                <w:sz w:val="21"/>
                <w:szCs w:val="21"/>
                <w:highlight w:val="none"/>
                <w:lang w:val="en-US" w:eastAsia="zh-CN" w:bidi="ar-SA"/>
              </w:rPr>
              <w:t>幕墙型材</w:t>
            </w:r>
            <w:r>
              <w:rPr>
                <w:rFonts w:ascii="Times New Roman" w:hAnsi="Times New Roman" w:eastAsia="宋体" w:cs="宋体"/>
                <w:color w:val="auto"/>
                <w:kern w:val="2"/>
                <w:sz w:val="21"/>
                <w:szCs w:val="21"/>
                <w:highlight w:val="none"/>
                <w:lang w:val="en-US" w:eastAsia="zh-CN" w:bidi="ar-SA"/>
              </w:rPr>
              <w:t>性能指标参照或相当于</w:t>
            </w:r>
            <w:r>
              <w:rPr>
                <w:rFonts w:hint="eastAsia" w:ascii="Times New Roman" w:hAnsi="Times New Roman" w:eastAsia="宋体" w:cs="宋体"/>
                <w:color w:val="auto"/>
                <w:kern w:val="2"/>
                <w:sz w:val="21"/>
                <w:szCs w:val="21"/>
                <w:highlight w:val="none"/>
                <w:lang w:val="en-US" w:eastAsia="zh-CN" w:bidi="ar-SA"/>
              </w:rPr>
              <w:t>丽格、渤海、亚铝、兴发、忠旺等品牌质量标准。</w:t>
            </w:r>
          </w:p>
        </w:tc>
      </w:tr>
      <w:tr w14:paraId="5F74EF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tcPr>
          <w:p w14:paraId="5C43AB53">
            <w:pPr>
              <w:widowControl w:val="0"/>
              <w:numPr>
                <w:ilvl w:val="0"/>
                <w:numId w:val="12"/>
              </w:numPr>
              <w:jc w:val="both"/>
              <w:rPr>
                <w:rFonts w:ascii="Times New Roman" w:hAnsi="Times New Roman" w:eastAsia="宋体" w:cs="Times New Roman"/>
                <w:color w:val="auto"/>
                <w:kern w:val="2"/>
                <w:sz w:val="21"/>
                <w:szCs w:val="24"/>
                <w:highlight w:val="none"/>
                <w:lang w:val="en-US" w:eastAsia="zh-CN" w:bidi="ar-SA"/>
              </w:rPr>
            </w:pPr>
          </w:p>
        </w:tc>
        <w:tc>
          <w:tcPr>
            <w:tcW w:w="7580" w:type="dxa"/>
          </w:tcPr>
          <w:p w14:paraId="1B954AEA">
            <w:pPr>
              <w:widowControl w:val="0"/>
              <w:jc w:val="both"/>
              <w:rPr>
                <w:rFonts w:ascii="Times New Roman" w:hAnsi="Times New Roman" w:eastAsia="宋体" w:cs="宋体"/>
                <w:color w:val="auto"/>
                <w:kern w:val="2"/>
                <w:sz w:val="21"/>
                <w:szCs w:val="21"/>
                <w:highlight w:val="none"/>
                <w:lang w:val="en-US" w:eastAsia="zh-CN" w:bidi="ar-SA"/>
              </w:rPr>
            </w:pPr>
            <w:r>
              <w:rPr>
                <w:rFonts w:hint="eastAsia" w:ascii="Times New Roman" w:hAnsi="Times New Roman" w:eastAsia="宋体" w:cs="宋体"/>
                <w:color w:val="auto"/>
                <w:kern w:val="2"/>
                <w:sz w:val="21"/>
                <w:szCs w:val="21"/>
                <w:highlight w:val="none"/>
                <w:lang w:val="en-US" w:eastAsia="zh-CN" w:bidi="ar-SA"/>
              </w:rPr>
              <w:t>工程涉及到监控系统的，改造后的监控系统需能够接入校内监控系统。</w:t>
            </w:r>
          </w:p>
        </w:tc>
      </w:tr>
      <w:tr w14:paraId="6EA158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tcPr>
          <w:p w14:paraId="78B05806">
            <w:pPr>
              <w:widowControl w:val="0"/>
              <w:numPr>
                <w:ilvl w:val="0"/>
                <w:numId w:val="12"/>
              </w:numPr>
              <w:jc w:val="both"/>
              <w:rPr>
                <w:rFonts w:ascii="Times New Roman" w:hAnsi="Times New Roman" w:eastAsia="宋体" w:cs="Times New Roman"/>
                <w:color w:val="auto"/>
                <w:kern w:val="2"/>
                <w:sz w:val="21"/>
                <w:szCs w:val="24"/>
                <w:highlight w:val="none"/>
                <w:lang w:val="en-US" w:eastAsia="zh-CN" w:bidi="ar-SA"/>
              </w:rPr>
            </w:pPr>
          </w:p>
        </w:tc>
        <w:tc>
          <w:tcPr>
            <w:tcW w:w="7580" w:type="dxa"/>
          </w:tcPr>
          <w:p w14:paraId="286DB77E">
            <w:pPr>
              <w:widowControl w:val="0"/>
              <w:jc w:val="both"/>
              <w:rPr>
                <w:rFonts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宋体"/>
                <w:color w:val="auto"/>
                <w:kern w:val="2"/>
                <w:sz w:val="21"/>
                <w:szCs w:val="21"/>
                <w:highlight w:val="none"/>
                <w:lang w:val="en-US" w:eastAsia="zh-CN" w:bidi="ar-SA"/>
              </w:rPr>
              <w:t>工程涉及到消防系统的，改造后的消防系统需能够接入校内集中消防控制系统。</w:t>
            </w:r>
          </w:p>
        </w:tc>
      </w:tr>
      <w:tr w14:paraId="39DE2A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tcPr>
          <w:p w14:paraId="68341357">
            <w:pPr>
              <w:widowControl w:val="0"/>
              <w:numPr>
                <w:ilvl w:val="0"/>
                <w:numId w:val="12"/>
              </w:numPr>
              <w:jc w:val="both"/>
              <w:rPr>
                <w:rFonts w:ascii="Times New Roman" w:hAnsi="Times New Roman" w:eastAsia="宋体" w:cs="Times New Roman"/>
                <w:color w:val="auto"/>
                <w:kern w:val="2"/>
                <w:sz w:val="21"/>
                <w:szCs w:val="24"/>
                <w:highlight w:val="none"/>
                <w:lang w:val="en-US" w:eastAsia="zh-CN" w:bidi="ar-SA"/>
              </w:rPr>
            </w:pPr>
          </w:p>
        </w:tc>
        <w:tc>
          <w:tcPr>
            <w:tcW w:w="7580" w:type="dxa"/>
          </w:tcPr>
          <w:p w14:paraId="1099C9E7">
            <w:pPr>
              <w:widowControl w:val="0"/>
              <w:jc w:val="both"/>
              <w:rPr>
                <w:rFonts w:ascii="Times New Roman" w:hAnsi="Times New Roman" w:eastAsia="宋体" w:cs="宋体"/>
                <w:color w:val="auto"/>
                <w:kern w:val="2"/>
                <w:sz w:val="21"/>
                <w:szCs w:val="21"/>
                <w:highlight w:val="none"/>
                <w:lang w:val="en-US" w:eastAsia="zh-CN" w:bidi="ar-SA"/>
              </w:rPr>
            </w:pPr>
            <w:r>
              <w:rPr>
                <w:rFonts w:hint="eastAsia" w:ascii="Times New Roman" w:hAnsi="Times New Roman" w:eastAsia="宋体" w:cs="宋体"/>
                <w:color w:val="auto"/>
                <w:kern w:val="2"/>
                <w:sz w:val="21"/>
                <w:szCs w:val="21"/>
                <w:highlight w:val="none"/>
                <w:lang w:val="en-US" w:eastAsia="zh-CN" w:bidi="ar-SA"/>
              </w:rPr>
              <w:t>工程涉及到电计量</w:t>
            </w:r>
            <w:r>
              <w:rPr>
                <w:rFonts w:ascii="Times New Roman" w:hAnsi="Times New Roman" w:eastAsia="宋体" w:cs="宋体"/>
                <w:color w:val="auto"/>
                <w:kern w:val="2"/>
                <w:sz w:val="21"/>
                <w:szCs w:val="21"/>
                <w:highlight w:val="none"/>
                <w:lang w:val="en-US" w:eastAsia="zh-CN" w:bidi="ar-SA"/>
              </w:rPr>
              <w:t>系统</w:t>
            </w:r>
            <w:r>
              <w:rPr>
                <w:rFonts w:hint="eastAsia" w:ascii="Times New Roman" w:hAnsi="Times New Roman" w:eastAsia="宋体" w:cs="宋体"/>
                <w:color w:val="auto"/>
                <w:kern w:val="2"/>
                <w:sz w:val="21"/>
                <w:szCs w:val="21"/>
                <w:highlight w:val="none"/>
                <w:lang w:val="en-US" w:eastAsia="zh-CN" w:bidi="ar-SA"/>
              </w:rPr>
              <w:t>的，改造后的电表需能够接入到校内既有电计量</w:t>
            </w:r>
            <w:r>
              <w:rPr>
                <w:rFonts w:ascii="Times New Roman" w:hAnsi="Times New Roman" w:eastAsia="宋体" w:cs="宋体"/>
                <w:color w:val="auto"/>
                <w:kern w:val="2"/>
                <w:sz w:val="21"/>
                <w:szCs w:val="21"/>
                <w:highlight w:val="none"/>
                <w:lang w:val="en-US" w:eastAsia="zh-CN" w:bidi="ar-SA"/>
              </w:rPr>
              <w:t>收费系统</w:t>
            </w:r>
            <w:r>
              <w:rPr>
                <w:rFonts w:hint="eastAsia" w:ascii="Times New Roman" w:hAnsi="Times New Roman" w:eastAsia="宋体" w:cs="宋体"/>
                <w:color w:val="auto"/>
                <w:kern w:val="2"/>
                <w:sz w:val="21"/>
                <w:szCs w:val="21"/>
                <w:highlight w:val="none"/>
                <w:lang w:val="en-US" w:eastAsia="zh-CN" w:bidi="ar-SA"/>
              </w:rPr>
              <w:t>。</w:t>
            </w:r>
          </w:p>
        </w:tc>
      </w:tr>
      <w:tr w14:paraId="308185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tcPr>
          <w:p w14:paraId="44B62914">
            <w:pPr>
              <w:widowControl w:val="0"/>
              <w:numPr>
                <w:ilvl w:val="0"/>
                <w:numId w:val="12"/>
              </w:numPr>
              <w:jc w:val="both"/>
              <w:rPr>
                <w:rFonts w:ascii="Times New Roman" w:hAnsi="Times New Roman" w:eastAsia="宋体" w:cs="Times New Roman"/>
                <w:color w:val="auto"/>
                <w:kern w:val="2"/>
                <w:sz w:val="21"/>
                <w:szCs w:val="24"/>
                <w:highlight w:val="none"/>
                <w:lang w:val="en-US" w:eastAsia="zh-CN" w:bidi="ar-SA"/>
              </w:rPr>
            </w:pPr>
          </w:p>
        </w:tc>
        <w:tc>
          <w:tcPr>
            <w:tcW w:w="7580" w:type="dxa"/>
          </w:tcPr>
          <w:p w14:paraId="3845F1BE">
            <w:pPr>
              <w:widowControl w:val="0"/>
              <w:jc w:val="both"/>
              <w:rPr>
                <w:rFonts w:ascii="Times New Roman" w:hAnsi="Times New Roman" w:eastAsia="宋体" w:cs="宋体"/>
                <w:color w:val="auto"/>
                <w:kern w:val="2"/>
                <w:sz w:val="21"/>
                <w:szCs w:val="21"/>
                <w:highlight w:val="none"/>
                <w:lang w:val="en-US" w:eastAsia="zh-CN" w:bidi="ar-SA"/>
              </w:rPr>
            </w:pPr>
            <w:r>
              <w:rPr>
                <w:rFonts w:hint="eastAsia" w:ascii="Times New Roman" w:hAnsi="Times New Roman" w:eastAsia="宋体" w:cs="宋体"/>
                <w:color w:val="auto"/>
                <w:kern w:val="2"/>
                <w:sz w:val="21"/>
                <w:szCs w:val="21"/>
                <w:highlight w:val="none"/>
                <w:lang w:val="en-US" w:eastAsia="zh-CN" w:bidi="ar-SA"/>
              </w:rPr>
              <w:t>防火门、钢质门性能指标参照或相当于飞云、步阳、群升、王力、美心等品牌质量标准。</w:t>
            </w:r>
          </w:p>
        </w:tc>
      </w:tr>
      <w:tr w14:paraId="4E2152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tcPr>
          <w:p w14:paraId="6AE4099D">
            <w:pPr>
              <w:widowControl w:val="0"/>
              <w:numPr>
                <w:ilvl w:val="0"/>
                <w:numId w:val="12"/>
              </w:numPr>
              <w:jc w:val="both"/>
              <w:rPr>
                <w:rFonts w:ascii="Times New Roman" w:hAnsi="Times New Roman" w:eastAsia="宋体" w:cs="Times New Roman"/>
                <w:color w:val="auto"/>
                <w:kern w:val="2"/>
                <w:sz w:val="21"/>
                <w:szCs w:val="24"/>
                <w:highlight w:val="none"/>
                <w:lang w:val="en-US" w:eastAsia="zh-CN" w:bidi="ar-SA"/>
              </w:rPr>
            </w:pPr>
          </w:p>
        </w:tc>
        <w:tc>
          <w:tcPr>
            <w:tcW w:w="7580" w:type="dxa"/>
          </w:tcPr>
          <w:p w14:paraId="6E47D346">
            <w:pPr>
              <w:widowControl w:val="0"/>
              <w:jc w:val="both"/>
              <w:rPr>
                <w:rFonts w:ascii="Times New Roman" w:hAnsi="Times New Roman" w:eastAsia="宋体" w:cs="宋体"/>
                <w:color w:val="auto"/>
                <w:kern w:val="2"/>
                <w:sz w:val="21"/>
                <w:szCs w:val="21"/>
                <w:highlight w:val="none"/>
                <w:lang w:val="en-US" w:eastAsia="zh-CN" w:bidi="ar-SA"/>
              </w:rPr>
            </w:pPr>
            <w:r>
              <w:rPr>
                <w:rFonts w:hint="eastAsia" w:ascii="Times New Roman" w:hAnsi="Times New Roman" w:eastAsia="宋体" w:cs="宋体"/>
                <w:color w:val="auto"/>
                <w:kern w:val="2"/>
                <w:sz w:val="21"/>
                <w:szCs w:val="21"/>
                <w:highlight w:val="none"/>
                <w:lang w:val="en-US" w:eastAsia="zh-CN" w:bidi="ar-SA"/>
              </w:rPr>
              <w:t>消防管件性能指标参照或相当于华盛、鼎梁、龙成等品牌质量标准。</w:t>
            </w:r>
          </w:p>
        </w:tc>
      </w:tr>
      <w:tr w14:paraId="12337F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tcPr>
          <w:p w14:paraId="331C2420">
            <w:pPr>
              <w:widowControl w:val="0"/>
              <w:numPr>
                <w:ilvl w:val="0"/>
                <w:numId w:val="12"/>
              </w:numPr>
              <w:jc w:val="both"/>
              <w:rPr>
                <w:rFonts w:ascii="Times New Roman" w:hAnsi="Times New Roman" w:eastAsia="宋体" w:cs="Times New Roman"/>
                <w:color w:val="auto"/>
                <w:kern w:val="2"/>
                <w:sz w:val="21"/>
                <w:szCs w:val="24"/>
                <w:highlight w:val="none"/>
                <w:lang w:val="en-US" w:eastAsia="zh-CN" w:bidi="ar-SA"/>
              </w:rPr>
            </w:pPr>
          </w:p>
        </w:tc>
        <w:tc>
          <w:tcPr>
            <w:tcW w:w="7580" w:type="dxa"/>
          </w:tcPr>
          <w:p w14:paraId="7A1FFA2A">
            <w:pPr>
              <w:widowControl w:val="0"/>
              <w:jc w:val="both"/>
              <w:rPr>
                <w:rFonts w:ascii="Times New Roman" w:hAnsi="Times New Roman" w:eastAsia="宋体" w:cs="宋体"/>
                <w:color w:val="auto"/>
                <w:kern w:val="2"/>
                <w:sz w:val="21"/>
                <w:szCs w:val="21"/>
                <w:highlight w:val="none"/>
                <w:lang w:val="en-US" w:eastAsia="zh-CN" w:bidi="ar-SA"/>
              </w:rPr>
            </w:pPr>
            <w:r>
              <w:rPr>
                <w:rFonts w:hint="eastAsia" w:ascii="Times New Roman" w:hAnsi="Times New Roman" w:eastAsia="宋体" w:cs="宋体"/>
                <w:color w:val="auto"/>
                <w:kern w:val="2"/>
                <w:sz w:val="21"/>
                <w:szCs w:val="21"/>
                <w:highlight w:val="none"/>
                <w:lang w:val="en-US" w:eastAsia="zh-CN" w:bidi="ar-SA"/>
              </w:rPr>
              <w:t>校园道路、市政道路维修改造所使用水泥稳定碎石、沥青混凝土、SBS改性沥青混凝土，性能不低于中大、泓嵘、和顺、国帅、新广路等品牌质量标准。</w:t>
            </w:r>
          </w:p>
        </w:tc>
      </w:tr>
      <w:tr w14:paraId="4B62A7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tcPr>
          <w:p w14:paraId="4BA17DF8">
            <w:pPr>
              <w:widowControl w:val="0"/>
              <w:numPr>
                <w:ilvl w:val="0"/>
                <w:numId w:val="12"/>
              </w:numPr>
              <w:jc w:val="both"/>
              <w:rPr>
                <w:rFonts w:ascii="Times New Roman" w:hAnsi="Times New Roman" w:eastAsia="宋体" w:cs="Times New Roman"/>
                <w:color w:val="auto"/>
                <w:kern w:val="2"/>
                <w:sz w:val="21"/>
                <w:szCs w:val="24"/>
                <w:highlight w:val="none"/>
                <w:lang w:val="en-US" w:eastAsia="zh-CN" w:bidi="ar-SA"/>
              </w:rPr>
            </w:pPr>
          </w:p>
        </w:tc>
        <w:tc>
          <w:tcPr>
            <w:tcW w:w="7580" w:type="dxa"/>
          </w:tcPr>
          <w:p w14:paraId="4908FDA8">
            <w:pPr>
              <w:widowControl w:val="0"/>
              <w:jc w:val="both"/>
              <w:rPr>
                <w:rFonts w:ascii="Times New Roman" w:hAnsi="Times New Roman" w:eastAsia="宋体" w:cs="宋体"/>
                <w:color w:val="auto"/>
                <w:kern w:val="2"/>
                <w:sz w:val="21"/>
                <w:szCs w:val="21"/>
                <w:highlight w:val="none"/>
                <w:lang w:val="en-US" w:eastAsia="zh-CN" w:bidi="ar-SA"/>
              </w:rPr>
            </w:pPr>
            <w:r>
              <w:rPr>
                <w:rFonts w:hint="eastAsia" w:ascii="Times New Roman" w:hAnsi="Times New Roman" w:eastAsia="宋体" w:cs="宋体"/>
                <w:color w:val="auto"/>
                <w:kern w:val="2"/>
                <w:sz w:val="21"/>
                <w:szCs w:val="21"/>
                <w:highlight w:val="none"/>
                <w:lang w:val="en-US" w:eastAsia="zh-CN" w:bidi="ar-SA"/>
              </w:rPr>
              <w:t>球墨铸铁井盖，性能指标参照或相当于金秋铸造、岳峰井盖、吉信金属等品牌质量标准。</w:t>
            </w:r>
          </w:p>
        </w:tc>
      </w:tr>
      <w:tr w14:paraId="499F69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tcPr>
          <w:p w14:paraId="4B293F8C">
            <w:pPr>
              <w:widowControl w:val="0"/>
              <w:numPr>
                <w:ilvl w:val="0"/>
                <w:numId w:val="12"/>
              </w:numPr>
              <w:jc w:val="both"/>
              <w:rPr>
                <w:rFonts w:ascii="Times New Roman" w:hAnsi="Times New Roman" w:eastAsia="宋体" w:cs="Times New Roman"/>
                <w:color w:val="auto"/>
                <w:kern w:val="2"/>
                <w:sz w:val="21"/>
                <w:szCs w:val="24"/>
                <w:highlight w:val="none"/>
                <w:lang w:val="en-US" w:eastAsia="zh-CN" w:bidi="ar-SA"/>
              </w:rPr>
            </w:pPr>
          </w:p>
        </w:tc>
        <w:tc>
          <w:tcPr>
            <w:tcW w:w="7580" w:type="dxa"/>
          </w:tcPr>
          <w:p w14:paraId="09359CC5">
            <w:pPr>
              <w:widowControl w:val="0"/>
              <w:jc w:val="both"/>
              <w:rPr>
                <w:rFonts w:ascii="Times New Roman" w:hAnsi="Times New Roman" w:eastAsia="宋体" w:cs="宋体"/>
                <w:color w:val="auto"/>
                <w:kern w:val="2"/>
                <w:sz w:val="21"/>
                <w:szCs w:val="21"/>
                <w:highlight w:val="none"/>
                <w:lang w:val="en-US" w:eastAsia="zh-CN" w:bidi="ar-SA"/>
              </w:rPr>
            </w:pPr>
            <w:r>
              <w:rPr>
                <w:rFonts w:hint="eastAsia" w:ascii="Times New Roman" w:hAnsi="Times New Roman" w:eastAsia="宋体" w:cs="宋体"/>
                <w:color w:val="auto"/>
                <w:kern w:val="2"/>
                <w:sz w:val="21"/>
                <w:szCs w:val="21"/>
                <w:highlight w:val="none"/>
                <w:lang w:val="en-US" w:eastAsia="zh-CN" w:bidi="ar-SA"/>
              </w:rPr>
              <w:t>钢筋混凝土预制井、86式雨排收水井、钢筋混凝土管，性能指标参照或相当于盛源、富源、宏大等品牌质量标准。</w:t>
            </w:r>
          </w:p>
        </w:tc>
      </w:tr>
      <w:tr w14:paraId="679223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tcPr>
          <w:p w14:paraId="712662EF">
            <w:pPr>
              <w:widowControl w:val="0"/>
              <w:numPr>
                <w:ilvl w:val="0"/>
                <w:numId w:val="12"/>
              </w:numPr>
              <w:jc w:val="both"/>
              <w:rPr>
                <w:rFonts w:ascii="Times New Roman" w:hAnsi="Times New Roman" w:eastAsia="宋体" w:cs="Times New Roman"/>
                <w:color w:val="auto"/>
                <w:kern w:val="2"/>
                <w:sz w:val="21"/>
                <w:szCs w:val="24"/>
                <w:highlight w:val="none"/>
                <w:lang w:val="en-US" w:eastAsia="zh-CN" w:bidi="ar-SA"/>
              </w:rPr>
            </w:pPr>
          </w:p>
        </w:tc>
        <w:tc>
          <w:tcPr>
            <w:tcW w:w="7580" w:type="dxa"/>
          </w:tcPr>
          <w:p w14:paraId="0A7175AF">
            <w:pPr>
              <w:widowControl w:val="0"/>
              <w:jc w:val="both"/>
              <w:rPr>
                <w:rFonts w:ascii="Times New Roman" w:hAnsi="Times New Roman" w:eastAsia="宋体" w:cs="宋体"/>
                <w:color w:val="auto"/>
                <w:kern w:val="2"/>
                <w:sz w:val="21"/>
                <w:szCs w:val="21"/>
                <w:highlight w:val="none"/>
                <w:lang w:val="en-US" w:eastAsia="zh-CN" w:bidi="ar-SA"/>
              </w:rPr>
            </w:pPr>
            <w:r>
              <w:rPr>
                <w:rFonts w:hint="eastAsia" w:ascii="Times New Roman" w:hAnsi="Times New Roman" w:eastAsia="宋体" w:cs="宋体"/>
                <w:color w:val="auto"/>
                <w:kern w:val="2"/>
                <w:sz w:val="21"/>
                <w:szCs w:val="21"/>
                <w:highlight w:val="none"/>
                <w:lang w:val="en-US" w:eastAsia="zh-CN" w:bidi="ar-SA"/>
              </w:rPr>
              <w:t>包覆钢管，性能指标参照或相当于华岐、巨龙、鞍钢等品牌质量标准。</w:t>
            </w:r>
          </w:p>
        </w:tc>
      </w:tr>
      <w:tr w14:paraId="6DA13D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tcPr>
          <w:p w14:paraId="1FC92C8A">
            <w:pPr>
              <w:widowControl w:val="0"/>
              <w:numPr>
                <w:ilvl w:val="0"/>
                <w:numId w:val="12"/>
              </w:numPr>
              <w:jc w:val="both"/>
              <w:rPr>
                <w:rFonts w:ascii="Times New Roman" w:hAnsi="Times New Roman" w:eastAsia="宋体" w:cs="Times New Roman"/>
                <w:color w:val="auto"/>
                <w:kern w:val="2"/>
                <w:sz w:val="21"/>
                <w:szCs w:val="24"/>
                <w:highlight w:val="none"/>
                <w:lang w:val="en-US" w:eastAsia="zh-CN" w:bidi="ar-SA"/>
              </w:rPr>
            </w:pPr>
          </w:p>
        </w:tc>
        <w:tc>
          <w:tcPr>
            <w:tcW w:w="7580" w:type="dxa"/>
          </w:tcPr>
          <w:p w14:paraId="7B1AE9A2">
            <w:pPr>
              <w:widowControl w:val="0"/>
              <w:jc w:val="both"/>
              <w:rPr>
                <w:rFonts w:ascii="Times New Roman" w:hAnsi="Times New Roman" w:eastAsia="宋体" w:cs="宋体"/>
                <w:color w:val="auto"/>
                <w:kern w:val="2"/>
                <w:sz w:val="21"/>
                <w:szCs w:val="21"/>
                <w:highlight w:val="none"/>
                <w:lang w:val="en-US" w:eastAsia="zh-CN" w:bidi="ar-SA"/>
              </w:rPr>
            </w:pPr>
            <w:r>
              <w:rPr>
                <w:rFonts w:hint="eastAsia" w:ascii="Times New Roman" w:hAnsi="Times New Roman" w:eastAsia="宋体" w:cs="宋体"/>
                <w:color w:val="auto"/>
                <w:kern w:val="2"/>
                <w:sz w:val="21"/>
                <w:szCs w:val="21"/>
                <w:highlight w:val="none"/>
                <w:lang w:val="en-US" w:eastAsia="zh-CN" w:bidi="ar-SA"/>
              </w:rPr>
              <w:t>PE双壁波纹管，性能指标参照或相当于联塑、保利管道、中财等品牌质量标准。</w:t>
            </w:r>
          </w:p>
        </w:tc>
      </w:tr>
    </w:tbl>
    <w:p w14:paraId="30138C6E">
      <w:pPr>
        <w:spacing w:line="400" w:lineRule="exact"/>
        <w:ind w:firstLine="420" w:firstLineChars="200"/>
        <w:rPr>
          <w:rFonts w:ascii="Times New Roman" w:hAnsi="Times New Roman" w:eastAsia="宋体" w:cs="宋体"/>
          <w:b/>
          <w:bCs/>
          <w:color w:val="auto"/>
          <w:sz w:val="21"/>
          <w:szCs w:val="21"/>
          <w:highlight w:val="none"/>
        </w:rPr>
      </w:pPr>
      <w:r>
        <w:rPr>
          <w:rFonts w:hint="eastAsia" w:ascii="Times New Roman" w:hAnsi="Times New Roman" w:eastAsia="宋体" w:cs="宋体"/>
          <w:color w:val="auto"/>
          <w:sz w:val="21"/>
          <w:szCs w:val="21"/>
          <w:highlight w:val="none"/>
        </w:rPr>
        <w:t>以上主要材料品牌厂商参考范围为采购人对于同类产品质量档次衡量标准，各供应商选用的材料性能指标参照或相当于此档次标准且应优先考虑参考范围内的品牌厂商。材料质量标准及性能指标是否“参照或相当于品牌质量标准”，在施工进场阶段须经采购人确认，如中标人所供材料不符合采购人质量档次要求，采购人将要求中标人更换材料品牌厂商直至满足采购人质量档次要求为止，</w:t>
      </w:r>
      <w:r>
        <w:rPr>
          <w:rFonts w:hint="eastAsia" w:ascii="Times New Roman" w:hAnsi="Times New Roman" w:eastAsia="宋体" w:cs="宋体"/>
          <w:b/>
          <w:bCs/>
          <w:color w:val="auto"/>
          <w:sz w:val="21"/>
          <w:szCs w:val="21"/>
          <w:highlight w:val="none"/>
        </w:rPr>
        <w:t>由此导致的工期延长责任由中标人承担。</w:t>
      </w:r>
    </w:p>
    <w:p w14:paraId="3679046A">
      <w:pPr>
        <w:widowControl w:val="0"/>
        <w:numPr>
          <w:ilvl w:val="0"/>
          <w:numId w:val="11"/>
        </w:numPr>
        <w:spacing w:line="400" w:lineRule="exact"/>
        <w:ind w:left="0" w:firstLine="420"/>
        <w:jc w:val="both"/>
        <w:rPr>
          <w:rFonts w:ascii="Times New Roman" w:hAnsi="Times New Roman" w:eastAsia="宋体" w:cs="宋体"/>
          <w:b/>
          <w:color w:val="auto"/>
          <w:kern w:val="2"/>
          <w:sz w:val="21"/>
          <w:szCs w:val="21"/>
          <w:highlight w:val="none"/>
          <w:lang w:val="en-US" w:eastAsia="zh-CN" w:bidi="ar-SA"/>
        </w:rPr>
      </w:pPr>
      <w:r>
        <w:rPr>
          <w:rFonts w:hint="eastAsia" w:ascii="Times New Roman" w:hAnsi="Times New Roman" w:eastAsia="宋体" w:cs="宋体"/>
          <w:b/>
          <w:color w:val="auto"/>
          <w:kern w:val="2"/>
          <w:sz w:val="21"/>
          <w:szCs w:val="21"/>
          <w:highlight w:val="none"/>
          <w:lang w:val="en-US" w:eastAsia="zh-CN" w:bidi="ar-SA"/>
        </w:rPr>
        <w:t>地板技术参数要求</w:t>
      </w:r>
    </w:p>
    <w:p w14:paraId="1341674D">
      <w:pPr>
        <w:spacing w:line="400" w:lineRule="exact"/>
        <w:ind w:firstLine="420" w:firstLineChars="200"/>
        <w:rPr>
          <w:rFonts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地板</w:t>
      </w:r>
      <w:r>
        <w:rPr>
          <w:rFonts w:ascii="Times New Roman" w:hAnsi="Times New Roman" w:eastAsia="宋体" w:cs="宋体"/>
          <w:color w:val="auto"/>
          <w:sz w:val="21"/>
          <w:szCs w:val="21"/>
          <w:highlight w:val="none"/>
        </w:rPr>
        <w:t>各项指标达到国家相关质量标准和环保要求，安装</w:t>
      </w:r>
      <w:r>
        <w:rPr>
          <w:rFonts w:hint="eastAsia" w:ascii="Times New Roman" w:hAnsi="Times New Roman" w:eastAsia="宋体" w:cs="宋体"/>
          <w:color w:val="auto"/>
          <w:sz w:val="21"/>
          <w:szCs w:val="21"/>
          <w:highlight w:val="none"/>
        </w:rPr>
        <w:t>质量</w:t>
      </w:r>
      <w:r>
        <w:rPr>
          <w:rFonts w:ascii="Times New Roman" w:hAnsi="Times New Roman" w:eastAsia="宋体" w:cs="宋体"/>
          <w:color w:val="auto"/>
          <w:sz w:val="21"/>
          <w:szCs w:val="21"/>
          <w:highlight w:val="none"/>
        </w:rPr>
        <w:t>必须</w:t>
      </w:r>
      <w:r>
        <w:rPr>
          <w:rFonts w:hint="eastAsia" w:ascii="Times New Roman" w:hAnsi="Times New Roman" w:eastAsia="宋体" w:cs="宋体"/>
          <w:color w:val="auto"/>
          <w:sz w:val="21"/>
          <w:szCs w:val="21"/>
          <w:highlight w:val="none"/>
        </w:rPr>
        <w:t>符合</w:t>
      </w:r>
      <w:r>
        <w:rPr>
          <w:rFonts w:ascii="Times New Roman" w:hAnsi="Times New Roman" w:eastAsia="宋体" w:cs="宋体"/>
          <w:color w:val="auto"/>
          <w:sz w:val="21"/>
          <w:szCs w:val="21"/>
          <w:highlight w:val="none"/>
        </w:rPr>
        <w:t>相关规范要求</w:t>
      </w:r>
      <w:r>
        <w:rPr>
          <w:rFonts w:hint="eastAsia" w:ascii="Times New Roman" w:hAnsi="Times New Roman" w:eastAsia="宋体" w:cs="宋体"/>
          <w:color w:val="auto"/>
          <w:sz w:val="21"/>
          <w:szCs w:val="21"/>
          <w:highlight w:val="none"/>
        </w:rPr>
        <w:t>。</w:t>
      </w:r>
      <w:r>
        <w:rPr>
          <w:rFonts w:ascii="Times New Roman" w:hAnsi="Times New Roman" w:eastAsia="宋体" w:cs="宋体"/>
          <w:color w:val="auto"/>
          <w:sz w:val="21"/>
          <w:szCs w:val="21"/>
          <w:highlight w:val="none"/>
        </w:rPr>
        <w:t>地板</w:t>
      </w:r>
      <w:r>
        <w:rPr>
          <w:rFonts w:hint="eastAsia" w:ascii="Times New Roman" w:hAnsi="Times New Roman" w:eastAsia="宋体" w:cs="宋体"/>
          <w:color w:val="auto"/>
          <w:sz w:val="21"/>
          <w:szCs w:val="21"/>
          <w:highlight w:val="none"/>
        </w:rPr>
        <w:t>耐磨值≥9000转</w:t>
      </w:r>
      <w:r>
        <w:rPr>
          <w:rFonts w:ascii="Times New Roman" w:hAnsi="Times New Roman" w:eastAsia="宋体" w:cs="宋体"/>
          <w:color w:val="auto"/>
          <w:sz w:val="21"/>
          <w:szCs w:val="21"/>
          <w:highlight w:val="none"/>
        </w:rPr>
        <w:t>、厚度</w:t>
      </w:r>
      <w:r>
        <w:rPr>
          <w:rFonts w:hint="eastAsia" w:ascii="Times New Roman" w:hAnsi="Times New Roman" w:eastAsia="宋体" w:cs="宋体"/>
          <w:color w:val="auto"/>
          <w:sz w:val="21"/>
          <w:szCs w:val="21"/>
          <w:highlight w:val="none"/>
        </w:rPr>
        <w:t>≥11</w:t>
      </w:r>
      <w:r>
        <w:rPr>
          <w:rFonts w:ascii="Times New Roman" w:hAnsi="Times New Roman" w:eastAsia="宋体" w:cs="宋体"/>
          <w:color w:val="auto"/>
          <w:sz w:val="21"/>
          <w:szCs w:val="21"/>
          <w:highlight w:val="none"/>
        </w:rPr>
        <w:t>mm</w:t>
      </w:r>
      <w:r>
        <w:rPr>
          <w:rFonts w:hint="eastAsia" w:ascii="Times New Roman" w:hAnsi="Times New Roman" w:eastAsia="宋体" w:cs="宋体"/>
          <w:color w:val="auto"/>
          <w:sz w:val="21"/>
          <w:szCs w:val="21"/>
          <w:highlight w:val="none"/>
        </w:rPr>
        <w:t>、</w:t>
      </w:r>
      <w:r>
        <w:rPr>
          <w:rFonts w:ascii="Times New Roman" w:hAnsi="Times New Roman" w:eastAsia="宋体" w:cs="宋体"/>
          <w:color w:val="auto"/>
          <w:sz w:val="21"/>
          <w:szCs w:val="21"/>
          <w:highlight w:val="none"/>
        </w:rPr>
        <w:t>长度</w:t>
      </w:r>
      <w:r>
        <w:rPr>
          <w:rFonts w:hint="eastAsia" w:ascii="Times New Roman" w:hAnsi="Times New Roman" w:eastAsia="宋体" w:cs="宋体"/>
          <w:color w:val="auto"/>
          <w:sz w:val="21"/>
          <w:szCs w:val="21"/>
          <w:highlight w:val="none"/>
        </w:rPr>
        <w:t>≥1200</w:t>
      </w:r>
      <w:r>
        <w:rPr>
          <w:rFonts w:ascii="Times New Roman" w:hAnsi="Times New Roman" w:eastAsia="宋体" w:cs="宋体"/>
          <w:color w:val="auto"/>
          <w:sz w:val="21"/>
          <w:szCs w:val="21"/>
          <w:highlight w:val="none"/>
        </w:rPr>
        <w:t>mm、</w:t>
      </w:r>
      <w:r>
        <w:rPr>
          <w:rFonts w:hint="eastAsia" w:ascii="Times New Roman" w:hAnsi="Times New Roman" w:eastAsia="宋体" w:cs="宋体"/>
          <w:color w:val="auto"/>
          <w:sz w:val="21"/>
          <w:szCs w:val="21"/>
          <w:highlight w:val="none"/>
        </w:rPr>
        <w:t>宽度≥150</w:t>
      </w:r>
      <w:r>
        <w:rPr>
          <w:rFonts w:ascii="Times New Roman" w:hAnsi="Times New Roman" w:eastAsia="宋体" w:cs="宋体"/>
          <w:color w:val="auto"/>
          <w:sz w:val="21"/>
          <w:szCs w:val="21"/>
          <w:highlight w:val="none"/>
        </w:rPr>
        <w:t>mm、地板平整不得有翘曲</w:t>
      </w:r>
      <w:r>
        <w:rPr>
          <w:rFonts w:hint="eastAsia" w:ascii="Times New Roman" w:hAnsi="Times New Roman" w:eastAsia="宋体" w:cs="宋体"/>
          <w:color w:val="auto"/>
          <w:sz w:val="21"/>
          <w:szCs w:val="21"/>
          <w:highlight w:val="none"/>
        </w:rPr>
        <w:t>，并在进场施工前提供检测报告供采购人查验。</w:t>
      </w:r>
    </w:p>
    <w:p w14:paraId="7C3AB34E">
      <w:pPr>
        <w:widowControl w:val="0"/>
        <w:numPr>
          <w:ilvl w:val="0"/>
          <w:numId w:val="11"/>
        </w:numPr>
        <w:spacing w:line="400" w:lineRule="exact"/>
        <w:ind w:left="0" w:firstLine="420"/>
        <w:jc w:val="both"/>
        <w:rPr>
          <w:rFonts w:ascii="Times New Roman" w:hAnsi="Times New Roman" w:eastAsia="宋体" w:cs="宋体"/>
          <w:b/>
          <w:color w:val="auto"/>
          <w:kern w:val="2"/>
          <w:sz w:val="21"/>
          <w:szCs w:val="21"/>
          <w:highlight w:val="none"/>
          <w:lang w:val="en-US" w:eastAsia="zh-CN" w:bidi="ar-SA"/>
        </w:rPr>
      </w:pPr>
      <w:r>
        <w:rPr>
          <w:rFonts w:hint="eastAsia" w:ascii="Times New Roman" w:hAnsi="Times New Roman" w:eastAsia="宋体" w:cs="宋体"/>
          <w:b/>
          <w:color w:val="auto"/>
          <w:kern w:val="2"/>
          <w:sz w:val="21"/>
          <w:szCs w:val="21"/>
          <w:highlight w:val="none"/>
          <w:lang w:val="en-US" w:eastAsia="zh-CN" w:bidi="ar-SA"/>
        </w:rPr>
        <w:t>铝塑窗技术参数要求</w:t>
      </w:r>
    </w:p>
    <w:p w14:paraId="3DD4125F">
      <w:pPr>
        <w:widowControl w:val="0"/>
        <w:numPr>
          <w:ilvl w:val="255"/>
          <w:numId w:val="0"/>
        </w:numPr>
        <w:spacing w:line="400" w:lineRule="exact"/>
        <w:ind w:firstLine="420" w:firstLineChars="200"/>
        <w:jc w:val="both"/>
        <w:rPr>
          <w:rFonts w:ascii="Times New Roman" w:hAnsi="Times New Roman" w:eastAsia="宋体" w:cs="宋体"/>
          <w:bCs/>
          <w:color w:val="auto"/>
          <w:kern w:val="2"/>
          <w:sz w:val="21"/>
          <w:szCs w:val="21"/>
          <w:highlight w:val="none"/>
          <w:lang w:val="en-US" w:eastAsia="zh-CN" w:bidi="ar-SA"/>
        </w:rPr>
      </w:pPr>
      <w:r>
        <w:rPr>
          <w:rFonts w:hint="eastAsia" w:ascii="Times New Roman" w:hAnsi="Times New Roman" w:eastAsia="宋体" w:cs="宋体"/>
          <w:bCs/>
          <w:color w:val="auto"/>
          <w:kern w:val="2"/>
          <w:sz w:val="21"/>
          <w:szCs w:val="21"/>
          <w:highlight w:val="none"/>
          <w:lang w:val="en-US" w:eastAsia="zh-CN" w:bidi="ar-SA"/>
        </w:rPr>
        <w:t>（1）性能要求：</w:t>
      </w:r>
    </w:p>
    <w:p w14:paraId="420B6291">
      <w:pPr>
        <w:widowControl w:val="0"/>
        <w:numPr>
          <w:ilvl w:val="255"/>
          <w:numId w:val="0"/>
        </w:numPr>
        <w:spacing w:line="400" w:lineRule="exact"/>
        <w:ind w:firstLine="420" w:firstLineChars="200"/>
        <w:jc w:val="both"/>
        <w:rPr>
          <w:rFonts w:ascii="Times New Roman" w:hAnsi="Times New Roman" w:eastAsia="宋体" w:cs="宋体"/>
          <w:bCs/>
          <w:color w:val="auto"/>
          <w:kern w:val="2"/>
          <w:sz w:val="21"/>
          <w:szCs w:val="21"/>
          <w:highlight w:val="none"/>
          <w:lang w:val="en-US" w:eastAsia="zh-CN" w:bidi="ar-SA"/>
        </w:rPr>
      </w:pPr>
      <w:r>
        <w:rPr>
          <w:rFonts w:hint="eastAsia" w:ascii="Times New Roman" w:hAnsi="Times New Roman" w:eastAsia="宋体" w:cs="宋体"/>
          <w:bCs/>
          <w:color w:val="auto"/>
          <w:kern w:val="2"/>
          <w:sz w:val="21"/>
          <w:szCs w:val="21"/>
          <w:highlight w:val="none"/>
          <w:lang w:val="en-US" w:eastAsia="zh-CN" w:bidi="ar-SA"/>
        </w:rPr>
        <w:t>①铝塑窗的物理耐用年限应不少于50年。</w:t>
      </w:r>
    </w:p>
    <w:p w14:paraId="73305191">
      <w:pPr>
        <w:widowControl w:val="0"/>
        <w:numPr>
          <w:ilvl w:val="255"/>
          <w:numId w:val="0"/>
        </w:numPr>
        <w:spacing w:line="400" w:lineRule="exact"/>
        <w:ind w:firstLine="420" w:firstLineChars="200"/>
        <w:jc w:val="both"/>
        <w:rPr>
          <w:rFonts w:ascii="Times New Roman" w:hAnsi="Times New Roman" w:eastAsia="宋体" w:cs="宋体"/>
          <w:bCs/>
          <w:color w:val="auto"/>
          <w:kern w:val="2"/>
          <w:sz w:val="21"/>
          <w:szCs w:val="21"/>
          <w:highlight w:val="none"/>
          <w:lang w:val="en-US" w:eastAsia="zh-CN" w:bidi="ar-SA"/>
        </w:rPr>
      </w:pPr>
      <w:r>
        <w:rPr>
          <w:rFonts w:hint="eastAsia" w:ascii="Times New Roman" w:hAnsi="Times New Roman" w:eastAsia="宋体" w:cs="宋体"/>
          <w:bCs/>
          <w:color w:val="auto"/>
          <w:kern w:val="2"/>
          <w:sz w:val="21"/>
          <w:szCs w:val="21"/>
          <w:highlight w:val="none"/>
          <w:lang w:val="en-US" w:eastAsia="zh-CN" w:bidi="ar-SA"/>
        </w:rPr>
        <w:t>②铝塑窗应满足使用功能的要求。</w:t>
      </w:r>
    </w:p>
    <w:p w14:paraId="4F28BA4C">
      <w:pPr>
        <w:widowControl w:val="0"/>
        <w:numPr>
          <w:ilvl w:val="255"/>
          <w:numId w:val="0"/>
        </w:numPr>
        <w:spacing w:line="400" w:lineRule="exact"/>
        <w:ind w:firstLine="420" w:firstLineChars="200"/>
        <w:jc w:val="both"/>
        <w:rPr>
          <w:rFonts w:ascii="Times New Roman" w:hAnsi="Times New Roman" w:eastAsia="宋体" w:cs="宋体"/>
          <w:bCs/>
          <w:color w:val="auto"/>
          <w:kern w:val="2"/>
          <w:sz w:val="21"/>
          <w:szCs w:val="21"/>
          <w:highlight w:val="none"/>
          <w:lang w:val="en-US" w:eastAsia="zh-CN" w:bidi="ar-SA"/>
        </w:rPr>
      </w:pPr>
      <w:r>
        <w:rPr>
          <w:rFonts w:hint="eastAsia" w:ascii="Times New Roman" w:hAnsi="Times New Roman" w:eastAsia="宋体" w:cs="宋体"/>
          <w:bCs/>
          <w:color w:val="auto"/>
          <w:kern w:val="2"/>
          <w:sz w:val="21"/>
          <w:szCs w:val="21"/>
          <w:highlight w:val="none"/>
          <w:lang w:val="en-US" w:eastAsia="zh-CN" w:bidi="ar-SA"/>
        </w:rPr>
        <w:t>③铝塑窗是综合性能良好的节能窗体系，要求结构合理，具有良好的承载力；整窗抗风压性能：其强度、平面内变形和窗与墙体连接的可靠性等必须符合有关规范所规定的要求。</w:t>
      </w:r>
    </w:p>
    <w:p w14:paraId="3E99EADB">
      <w:pPr>
        <w:widowControl w:val="0"/>
        <w:numPr>
          <w:ilvl w:val="255"/>
          <w:numId w:val="0"/>
        </w:numPr>
        <w:spacing w:line="400" w:lineRule="exact"/>
        <w:ind w:firstLine="420" w:firstLineChars="200"/>
        <w:jc w:val="both"/>
        <w:rPr>
          <w:rFonts w:ascii="Times New Roman" w:hAnsi="Times New Roman" w:eastAsia="宋体" w:cs="宋体"/>
          <w:bCs/>
          <w:color w:val="auto"/>
          <w:kern w:val="2"/>
          <w:sz w:val="21"/>
          <w:szCs w:val="21"/>
          <w:highlight w:val="none"/>
          <w:lang w:val="en-US" w:eastAsia="zh-CN" w:bidi="ar-SA"/>
        </w:rPr>
      </w:pPr>
      <w:r>
        <w:rPr>
          <w:rFonts w:hint="eastAsia" w:ascii="Times New Roman" w:hAnsi="Times New Roman" w:eastAsia="宋体" w:cs="宋体"/>
          <w:bCs/>
          <w:color w:val="auto"/>
          <w:kern w:val="2"/>
          <w:sz w:val="21"/>
          <w:szCs w:val="21"/>
          <w:highlight w:val="none"/>
          <w:lang w:val="en-US" w:eastAsia="zh-CN" w:bidi="ar-SA"/>
        </w:rPr>
        <w:t>④铝塑窗整窗的气密性、水密性、保温性和隔声性能必须符合有关规范所规定的要求。</w:t>
      </w:r>
    </w:p>
    <w:p w14:paraId="776F69AC">
      <w:pPr>
        <w:widowControl w:val="0"/>
        <w:numPr>
          <w:ilvl w:val="255"/>
          <w:numId w:val="0"/>
        </w:numPr>
        <w:spacing w:line="400" w:lineRule="exact"/>
        <w:ind w:firstLine="420" w:firstLineChars="200"/>
        <w:jc w:val="both"/>
        <w:rPr>
          <w:rFonts w:ascii="Times New Roman" w:hAnsi="Times New Roman" w:eastAsia="宋体" w:cs="宋体"/>
          <w:bCs/>
          <w:color w:val="auto"/>
          <w:kern w:val="2"/>
          <w:sz w:val="21"/>
          <w:szCs w:val="21"/>
          <w:highlight w:val="none"/>
          <w:lang w:val="en-US" w:eastAsia="zh-CN" w:bidi="ar-SA"/>
        </w:rPr>
      </w:pPr>
      <w:r>
        <w:rPr>
          <w:rFonts w:hint="eastAsia" w:ascii="Times New Roman" w:hAnsi="Times New Roman" w:eastAsia="宋体" w:cs="宋体"/>
          <w:bCs/>
          <w:color w:val="auto"/>
          <w:kern w:val="2"/>
          <w:sz w:val="21"/>
          <w:szCs w:val="21"/>
          <w:highlight w:val="none"/>
          <w:lang w:val="en-US" w:eastAsia="zh-CN" w:bidi="ar-SA"/>
        </w:rPr>
        <w:t>⑤铝塑窗保温性能要求整窗传热系数必须满足设计要求。</w:t>
      </w:r>
    </w:p>
    <w:p w14:paraId="5B17D9BD">
      <w:pPr>
        <w:widowControl w:val="0"/>
        <w:numPr>
          <w:ilvl w:val="255"/>
          <w:numId w:val="0"/>
        </w:numPr>
        <w:spacing w:line="400" w:lineRule="exact"/>
        <w:ind w:firstLine="420" w:firstLineChars="200"/>
        <w:jc w:val="both"/>
        <w:rPr>
          <w:rFonts w:ascii="Times New Roman" w:hAnsi="Times New Roman" w:eastAsia="宋体" w:cs="宋体"/>
          <w:bCs/>
          <w:color w:val="auto"/>
          <w:kern w:val="2"/>
          <w:sz w:val="21"/>
          <w:szCs w:val="21"/>
          <w:highlight w:val="none"/>
          <w:lang w:val="en-US" w:eastAsia="zh-CN" w:bidi="ar-SA"/>
        </w:rPr>
      </w:pPr>
      <w:r>
        <w:rPr>
          <w:rFonts w:hint="eastAsia" w:ascii="Times New Roman" w:hAnsi="Times New Roman" w:eastAsia="宋体" w:cs="宋体"/>
          <w:bCs/>
          <w:color w:val="auto"/>
          <w:kern w:val="2"/>
          <w:sz w:val="21"/>
          <w:szCs w:val="21"/>
          <w:highlight w:val="none"/>
          <w:lang w:val="en-US" w:eastAsia="zh-CN" w:bidi="ar-SA"/>
        </w:rPr>
        <w:t>（2）外观要求：</w:t>
      </w:r>
    </w:p>
    <w:p w14:paraId="5AE12AEB">
      <w:pPr>
        <w:widowControl w:val="0"/>
        <w:numPr>
          <w:ilvl w:val="255"/>
          <w:numId w:val="0"/>
        </w:numPr>
        <w:spacing w:line="400" w:lineRule="exact"/>
        <w:ind w:firstLine="420" w:firstLineChars="200"/>
        <w:jc w:val="both"/>
        <w:rPr>
          <w:rFonts w:ascii="Times New Roman" w:hAnsi="Times New Roman" w:eastAsia="宋体" w:cs="宋体"/>
          <w:bCs/>
          <w:color w:val="auto"/>
          <w:kern w:val="2"/>
          <w:sz w:val="21"/>
          <w:szCs w:val="21"/>
          <w:highlight w:val="none"/>
          <w:lang w:val="en-US" w:eastAsia="zh-CN" w:bidi="ar-SA"/>
        </w:rPr>
      </w:pPr>
      <w:r>
        <w:rPr>
          <w:rFonts w:hint="eastAsia" w:ascii="Times New Roman" w:hAnsi="Times New Roman" w:eastAsia="宋体" w:cs="宋体"/>
          <w:bCs/>
          <w:color w:val="auto"/>
          <w:kern w:val="2"/>
          <w:sz w:val="21"/>
          <w:szCs w:val="21"/>
          <w:highlight w:val="none"/>
          <w:lang w:val="en-US" w:eastAsia="zh-CN" w:bidi="ar-SA"/>
        </w:rPr>
        <w:t>①施工单位根据建筑效果图应向总务处推荐颜色并提供色卡备选，由总务处最终确定颜色。总务处拒绝施工单位以外观颜色为由提高合同价格，如发生此类情况总务处有权扣罚施工单位履约保证金。</w:t>
      </w:r>
    </w:p>
    <w:p w14:paraId="4FEED471">
      <w:pPr>
        <w:widowControl w:val="0"/>
        <w:numPr>
          <w:ilvl w:val="255"/>
          <w:numId w:val="0"/>
        </w:numPr>
        <w:spacing w:line="400" w:lineRule="exact"/>
        <w:ind w:firstLine="420" w:firstLineChars="200"/>
        <w:jc w:val="both"/>
        <w:rPr>
          <w:rFonts w:ascii="Times New Roman" w:hAnsi="Times New Roman" w:eastAsia="宋体" w:cs="宋体"/>
          <w:bCs/>
          <w:color w:val="auto"/>
          <w:kern w:val="2"/>
          <w:sz w:val="21"/>
          <w:szCs w:val="21"/>
          <w:highlight w:val="none"/>
          <w:lang w:val="en-US" w:eastAsia="zh-CN" w:bidi="ar-SA"/>
        </w:rPr>
      </w:pPr>
      <w:r>
        <w:rPr>
          <w:rFonts w:hint="eastAsia" w:ascii="Times New Roman" w:hAnsi="Times New Roman" w:eastAsia="宋体" w:cs="宋体"/>
          <w:bCs/>
          <w:color w:val="auto"/>
          <w:kern w:val="2"/>
          <w:sz w:val="21"/>
          <w:szCs w:val="21"/>
          <w:highlight w:val="none"/>
          <w:lang w:val="en-US" w:eastAsia="zh-CN" w:bidi="ar-SA"/>
        </w:rPr>
        <w:t>②铝塑窗外表应采用粉末静电喷涂工艺，外观质量应符合有关规范所规定的要求。</w:t>
      </w:r>
    </w:p>
    <w:p w14:paraId="1E4CB991">
      <w:pPr>
        <w:widowControl w:val="0"/>
        <w:numPr>
          <w:ilvl w:val="255"/>
          <w:numId w:val="0"/>
        </w:numPr>
        <w:spacing w:line="400" w:lineRule="exact"/>
        <w:ind w:firstLine="420" w:firstLineChars="200"/>
        <w:jc w:val="both"/>
        <w:rPr>
          <w:rFonts w:ascii="Times New Roman" w:hAnsi="Times New Roman" w:eastAsia="宋体" w:cs="宋体"/>
          <w:bCs/>
          <w:color w:val="auto"/>
          <w:kern w:val="2"/>
          <w:sz w:val="21"/>
          <w:szCs w:val="21"/>
          <w:highlight w:val="none"/>
          <w:lang w:val="en-US" w:eastAsia="zh-CN" w:bidi="ar-SA"/>
        </w:rPr>
      </w:pPr>
      <w:r>
        <w:rPr>
          <w:rFonts w:hint="eastAsia" w:ascii="Times New Roman" w:hAnsi="Times New Roman" w:eastAsia="宋体" w:cs="宋体"/>
          <w:bCs/>
          <w:color w:val="auto"/>
          <w:kern w:val="2"/>
          <w:sz w:val="21"/>
          <w:szCs w:val="21"/>
          <w:highlight w:val="none"/>
          <w:lang w:val="en-US" w:eastAsia="zh-CN" w:bidi="ar-SA"/>
        </w:rPr>
        <w:t>（3）构造要求：</w:t>
      </w:r>
    </w:p>
    <w:p w14:paraId="199D6FCD">
      <w:pPr>
        <w:widowControl w:val="0"/>
        <w:numPr>
          <w:ilvl w:val="255"/>
          <w:numId w:val="0"/>
        </w:numPr>
        <w:spacing w:line="400" w:lineRule="exact"/>
        <w:ind w:firstLine="420" w:firstLineChars="200"/>
        <w:jc w:val="both"/>
        <w:rPr>
          <w:rFonts w:ascii="Times New Roman" w:hAnsi="Times New Roman" w:eastAsia="宋体" w:cs="宋体"/>
          <w:bCs/>
          <w:color w:val="auto"/>
          <w:kern w:val="2"/>
          <w:sz w:val="21"/>
          <w:szCs w:val="21"/>
          <w:highlight w:val="none"/>
          <w:lang w:val="en-US" w:eastAsia="zh-CN" w:bidi="ar-SA"/>
        </w:rPr>
      </w:pPr>
      <w:r>
        <w:rPr>
          <w:rFonts w:hint="eastAsia" w:ascii="Times New Roman" w:hAnsi="Times New Roman" w:eastAsia="宋体" w:cs="宋体"/>
          <w:bCs/>
          <w:color w:val="auto"/>
          <w:kern w:val="2"/>
          <w:sz w:val="21"/>
          <w:szCs w:val="21"/>
          <w:highlight w:val="none"/>
          <w:lang w:val="en-US" w:eastAsia="zh-CN" w:bidi="ar-SA"/>
        </w:rPr>
        <w:t>①铝塑窗为铝塑铝复合三玻五腔平开窗。</w:t>
      </w:r>
    </w:p>
    <w:p w14:paraId="22E7EEBC">
      <w:pPr>
        <w:widowControl w:val="0"/>
        <w:numPr>
          <w:ilvl w:val="255"/>
          <w:numId w:val="0"/>
        </w:numPr>
        <w:spacing w:line="400" w:lineRule="exact"/>
        <w:ind w:firstLine="420" w:firstLineChars="200"/>
        <w:jc w:val="both"/>
        <w:rPr>
          <w:rFonts w:ascii="Times New Roman" w:hAnsi="Times New Roman" w:eastAsia="宋体" w:cs="宋体"/>
          <w:bCs/>
          <w:color w:val="auto"/>
          <w:kern w:val="2"/>
          <w:sz w:val="21"/>
          <w:szCs w:val="21"/>
          <w:highlight w:val="none"/>
          <w:lang w:val="en-US" w:eastAsia="zh-CN" w:bidi="ar-SA"/>
        </w:rPr>
      </w:pPr>
      <w:r>
        <w:rPr>
          <w:rFonts w:hint="eastAsia" w:ascii="Times New Roman" w:hAnsi="Times New Roman" w:eastAsia="宋体" w:cs="宋体"/>
          <w:bCs/>
          <w:color w:val="auto"/>
          <w:kern w:val="2"/>
          <w:sz w:val="21"/>
          <w:szCs w:val="21"/>
          <w:highlight w:val="none"/>
          <w:lang w:val="en-US" w:eastAsia="zh-CN" w:bidi="ar-SA"/>
        </w:rPr>
        <w:t>②铝型材与塑芯连接方式和连接处的抗拉强度、抗剪强度必须符合有关规范所规定的要求。</w:t>
      </w:r>
    </w:p>
    <w:p w14:paraId="3873A041">
      <w:pPr>
        <w:widowControl w:val="0"/>
        <w:numPr>
          <w:ilvl w:val="255"/>
          <w:numId w:val="0"/>
        </w:numPr>
        <w:spacing w:line="400" w:lineRule="exact"/>
        <w:ind w:firstLine="420" w:firstLineChars="200"/>
        <w:jc w:val="both"/>
        <w:rPr>
          <w:rFonts w:ascii="Times New Roman" w:hAnsi="Times New Roman" w:eastAsia="宋体" w:cs="宋体"/>
          <w:bCs/>
          <w:color w:val="auto"/>
          <w:kern w:val="2"/>
          <w:sz w:val="21"/>
          <w:szCs w:val="21"/>
          <w:highlight w:val="none"/>
          <w:lang w:val="en-US" w:eastAsia="zh-CN" w:bidi="ar-SA"/>
        </w:rPr>
      </w:pPr>
      <w:r>
        <w:rPr>
          <w:rFonts w:hint="eastAsia" w:ascii="Times New Roman" w:hAnsi="Times New Roman" w:eastAsia="宋体" w:cs="宋体"/>
          <w:bCs/>
          <w:color w:val="auto"/>
          <w:kern w:val="2"/>
          <w:sz w:val="21"/>
          <w:szCs w:val="21"/>
          <w:highlight w:val="none"/>
          <w:lang w:val="en-US" w:eastAsia="zh-CN" w:bidi="ar-SA"/>
        </w:rPr>
        <w:t>③窗框铝塑铝断面总厚度为65mm或66mm；窗扇铝塑铝型材断面总厚度为70mm或72mm，不得用别的尺寸型材代替：型材必须用铝角码组合，铝角码宽度必须≥10mm，且组角处45°切割，组角后缝隙严密、光滑平整和密封可靠。</w:t>
      </w:r>
    </w:p>
    <w:p w14:paraId="766FF680">
      <w:pPr>
        <w:widowControl w:val="0"/>
        <w:numPr>
          <w:ilvl w:val="255"/>
          <w:numId w:val="0"/>
        </w:numPr>
        <w:spacing w:line="400" w:lineRule="exact"/>
        <w:ind w:firstLine="420" w:firstLineChars="200"/>
        <w:jc w:val="both"/>
        <w:rPr>
          <w:rFonts w:ascii="Times New Roman" w:hAnsi="Times New Roman" w:eastAsia="宋体" w:cs="宋体"/>
          <w:bCs/>
          <w:color w:val="auto"/>
          <w:kern w:val="2"/>
          <w:sz w:val="21"/>
          <w:szCs w:val="21"/>
          <w:highlight w:val="none"/>
          <w:lang w:val="en-US" w:eastAsia="zh-CN" w:bidi="ar-SA"/>
        </w:rPr>
      </w:pPr>
      <w:r>
        <w:rPr>
          <w:rFonts w:hint="eastAsia" w:ascii="Times New Roman" w:hAnsi="Times New Roman" w:eastAsia="宋体" w:cs="宋体"/>
          <w:bCs/>
          <w:color w:val="auto"/>
          <w:kern w:val="2"/>
          <w:sz w:val="21"/>
          <w:szCs w:val="21"/>
          <w:highlight w:val="none"/>
          <w:lang w:val="en-US" w:eastAsia="zh-CN" w:bidi="ar-SA"/>
        </w:rPr>
        <w:t>④三层中空玻璃为：4mm+12Amm+4mm+12Amm+4mm，玻璃之间的空气层厚度不应小于12mm；玻璃采用1层LOW-E玻璃+2层普通玻璃；玻璃板与铝隔条之间采用丁基胶密封；中空玻璃暖边端部四边封边采用打胶机注聚硫胶密封，不得采用手工涂胶，也不得采用聚硫胶条或其他胶条；各层玻璃必须完整、清洁和干燥，否则乙方必须无偿更换。</w:t>
      </w:r>
    </w:p>
    <w:p w14:paraId="50130133">
      <w:pPr>
        <w:widowControl w:val="0"/>
        <w:numPr>
          <w:ilvl w:val="255"/>
          <w:numId w:val="0"/>
        </w:numPr>
        <w:spacing w:line="400" w:lineRule="exact"/>
        <w:ind w:firstLine="420" w:firstLineChars="200"/>
        <w:jc w:val="both"/>
        <w:rPr>
          <w:rFonts w:ascii="Times New Roman" w:hAnsi="Times New Roman" w:eastAsia="宋体" w:cs="宋体"/>
          <w:bCs/>
          <w:color w:val="auto"/>
          <w:kern w:val="2"/>
          <w:sz w:val="21"/>
          <w:szCs w:val="21"/>
          <w:highlight w:val="none"/>
          <w:lang w:val="en-US" w:eastAsia="zh-CN" w:bidi="ar-SA"/>
        </w:rPr>
      </w:pPr>
      <w:r>
        <w:rPr>
          <w:rFonts w:hint="eastAsia" w:ascii="Times New Roman" w:hAnsi="Times New Roman" w:eastAsia="宋体" w:cs="宋体"/>
          <w:bCs/>
          <w:color w:val="auto"/>
          <w:kern w:val="2"/>
          <w:sz w:val="21"/>
          <w:szCs w:val="21"/>
          <w:highlight w:val="none"/>
          <w:lang w:val="en-US" w:eastAsia="zh-CN" w:bidi="ar-SA"/>
        </w:rPr>
        <w:t>⑤铝塑窗窗框和窗扇之间周边必须设有三道及其以上三元乙丙橡胶密封条；窗扇与中空玻璃之间密封条采用三元乙丙橡胶密封条，不得采用其他品种胶条和现场注密封胶方式。</w:t>
      </w:r>
    </w:p>
    <w:p w14:paraId="0E6A6EDC">
      <w:pPr>
        <w:widowControl w:val="0"/>
        <w:numPr>
          <w:ilvl w:val="255"/>
          <w:numId w:val="0"/>
        </w:numPr>
        <w:spacing w:line="400" w:lineRule="exact"/>
        <w:ind w:firstLine="420" w:firstLineChars="200"/>
        <w:jc w:val="both"/>
        <w:rPr>
          <w:rFonts w:ascii="Times New Roman" w:hAnsi="Times New Roman" w:eastAsia="宋体" w:cs="宋体"/>
          <w:bCs/>
          <w:color w:val="auto"/>
          <w:kern w:val="2"/>
          <w:sz w:val="21"/>
          <w:szCs w:val="21"/>
          <w:highlight w:val="none"/>
          <w:lang w:val="en-US" w:eastAsia="zh-CN" w:bidi="ar-SA"/>
        </w:rPr>
      </w:pPr>
      <w:r>
        <w:rPr>
          <w:rFonts w:hint="eastAsia" w:ascii="Times New Roman" w:hAnsi="Times New Roman" w:eastAsia="宋体" w:cs="宋体"/>
          <w:bCs/>
          <w:color w:val="auto"/>
          <w:kern w:val="2"/>
          <w:sz w:val="21"/>
          <w:szCs w:val="21"/>
          <w:highlight w:val="none"/>
          <w:lang w:val="en-US" w:eastAsia="zh-CN" w:bidi="ar-SA"/>
        </w:rPr>
        <w:t>⑥铝塑铝型材构造必须考虑成窗后具有良好的排雨水措施，同时不得破坏整窗的气密性、水密性和保温性；</w:t>
      </w:r>
    </w:p>
    <w:p w14:paraId="1E71B126">
      <w:pPr>
        <w:widowControl w:val="0"/>
        <w:numPr>
          <w:ilvl w:val="255"/>
          <w:numId w:val="0"/>
        </w:numPr>
        <w:spacing w:line="400" w:lineRule="exact"/>
        <w:ind w:firstLine="420" w:firstLineChars="200"/>
        <w:jc w:val="both"/>
        <w:rPr>
          <w:rFonts w:ascii="Times New Roman" w:hAnsi="Times New Roman" w:eastAsia="宋体" w:cs="宋体"/>
          <w:bCs/>
          <w:color w:val="auto"/>
          <w:kern w:val="2"/>
          <w:sz w:val="21"/>
          <w:szCs w:val="21"/>
          <w:highlight w:val="none"/>
          <w:lang w:val="en-US" w:eastAsia="zh-CN" w:bidi="ar-SA"/>
        </w:rPr>
      </w:pPr>
      <w:r>
        <w:rPr>
          <w:rFonts w:hint="eastAsia" w:ascii="Times New Roman" w:hAnsi="Times New Roman" w:eastAsia="宋体" w:cs="宋体"/>
          <w:bCs/>
          <w:color w:val="auto"/>
          <w:kern w:val="2"/>
          <w:sz w:val="21"/>
          <w:szCs w:val="21"/>
          <w:highlight w:val="none"/>
          <w:lang w:val="en-US" w:eastAsia="zh-CN" w:bidi="ar-SA"/>
        </w:rPr>
        <w:t>⑦铝塑窗铰链采用普通平开窗用铰链，不采用角部铰链；铰链承载能力强、受力合理、连接可靠、转动灵活；锁紧器和传动器结构合理、连接可靠、转</w:t>
      </w:r>
      <w:bookmarkStart w:id="8" w:name="_Hlk169516321"/>
      <w:r>
        <w:rPr>
          <w:rFonts w:hint="eastAsia" w:ascii="Times New Roman" w:hAnsi="Times New Roman" w:eastAsia="宋体" w:cs="宋体"/>
          <w:bCs/>
          <w:color w:val="auto"/>
          <w:kern w:val="2"/>
          <w:sz w:val="21"/>
          <w:szCs w:val="21"/>
          <w:highlight w:val="none"/>
          <w:lang w:val="en-US" w:eastAsia="zh-CN" w:bidi="ar-SA"/>
        </w:rPr>
        <w:t>（传）</w:t>
      </w:r>
      <w:bookmarkEnd w:id="8"/>
      <w:r>
        <w:rPr>
          <w:rFonts w:hint="eastAsia" w:ascii="Times New Roman" w:hAnsi="Times New Roman" w:eastAsia="宋体" w:cs="宋体"/>
          <w:bCs/>
          <w:color w:val="auto"/>
          <w:kern w:val="2"/>
          <w:sz w:val="21"/>
          <w:szCs w:val="21"/>
          <w:highlight w:val="none"/>
          <w:lang w:val="en-US" w:eastAsia="zh-CN" w:bidi="ar-SA"/>
        </w:rPr>
        <w:t>动灵活。</w:t>
      </w:r>
    </w:p>
    <w:p w14:paraId="758C3A49">
      <w:pPr>
        <w:widowControl w:val="0"/>
        <w:numPr>
          <w:ilvl w:val="255"/>
          <w:numId w:val="0"/>
        </w:numPr>
        <w:spacing w:line="400" w:lineRule="exact"/>
        <w:ind w:firstLine="420" w:firstLineChars="200"/>
        <w:jc w:val="both"/>
        <w:rPr>
          <w:rFonts w:ascii="Times New Roman" w:hAnsi="Times New Roman" w:eastAsia="宋体" w:cs="宋体"/>
          <w:bCs/>
          <w:color w:val="auto"/>
          <w:kern w:val="2"/>
          <w:sz w:val="21"/>
          <w:szCs w:val="21"/>
          <w:highlight w:val="none"/>
          <w:lang w:val="en-US" w:eastAsia="zh-CN" w:bidi="ar-SA"/>
        </w:rPr>
      </w:pPr>
      <w:r>
        <w:rPr>
          <w:rFonts w:hint="eastAsia" w:ascii="Times New Roman" w:hAnsi="Times New Roman" w:eastAsia="宋体" w:cs="宋体"/>
          <w:bCs/>
          <w:color w:val="auto"/>
          <w:kern w:val="2"/>
          <w:sz w:val="21"/>
          <w:szCs w:val="21"/>
          <w:highlight w:val="none"/>
          <w:lang w:val="en-US" w:eastAsia="zh-CN" w:bidi="ar-SA"/>
        </w:rPr>
        <w:t>⑧铝塑窗窗框内表面宽度必须要考虑到与墙体连接后，因土建抹灰收口，可能会使铰链不能自由转动或使窗扇开启角度受到限制的现象必须避免。</w:t>
      </w:r>
    </w:p>
    <w:p w14:paraId="3F04E2FE">
      <w:pPr>
        <w:widowControl w:val="0"/>
        <w:numPr>
          <w:ilvl w:val="255"/>
          <w:numId w:val="0"/>
        </w:numPr>
        <w:spacing w:line="400" w:lineRule="exact"/>
        <w:ind w:firstLine="420" w:firstLineChars="200"/>
        <w:jc w:val="both"/>
        <w:rPr>
          <w:rFonts w:ascii="Times New Roman" w:hAnsi="Times New Roman" w:eastAsia="宋体" w:cs="宋体"/>
          <w:bCs/>
          <w:color w:val="auto"/>
          <w:kern w:val="2"/>
          <w:sz w:val="21"/>
          <w:szCs w:val="21"/>
          <w:highlight w:val="none"/>
          <w:lang w:val="en-US" w:eastAsia="zh-CN" w:bidi="ar-SA"/>
        </w:rPr>
      </w:pPr>
      <w:r>
        <w:rPr>
          <w:rFonts w:hint="eastAsia" w:ascii="Times New Roman" w:hAnsi="Times New Roman" w:eastAsia="宋体" w:cs="宋体"/>
          <w:bCs/>
          <w:color w:val="auto"/>
          <w:kern w:val="2"/>
          <w:sz w:val="21"/>
          <w:szCs w:val="21"/>
          <w:highlight w:val="none"/>
          <w:lang w:val="en-US" w:eastAsia="zh-CN" w:bidi="ar-SA"/>
        </w:rPr>
        <w:t>⑨消防救援铝塑铝窗的玻璃应易于破碎，并应设置可在室外识别的明显标志，窗口的净尺寸不得小于1.2m，窗口下沿距室内地面不宜大于1.2m。</w:t>
      </w:r>
    </w:p>
    <w:p w14:paraId="5D32C517">
      <w:pPr>
        <w:widowControl w:val="0"/>
        <w:numPr>
          <w:ilvl w:val="255"/>
          <w:numId w:val="0"/>
        </w:numPr>
        <w:spacing w:line="400" w:lineRule="exact"/>
        <w:ind w:firstLine="420" w:firstLineChars="200"/>
        <w:jc w:val="both"/>
        <w:rPr>
          <w:rFonts w:ascii="Times New Roman" w:hAnsi="Times New Roman" w:eastAsia="宋体" w:cs="宋体"/>
          <w:bCs/>
          <w:color w:val="auto"/>
          <w:kern w:val="2"/>
          <w:sz w:val="21"/>
          <w:szCs w:val="21"/>
          <w:highlight w:val="none"/>
          <w:lang w:val="en-US" w:eastAsia="zh-CN" w:bidi="ar-SA"/>
        </w:rPr>
      </w:pPr>
      <w:r>
        <w:rPr>
          <w:rFonts w:hint="eastAsia" w:ascii="Times New Roman" w:hAnsi="Times New Roman" w:eastAsia="宋体" w:cs="宋体"/>
          <w:bCs/>
          <w:color w:val="auto"/>
          <w:kern w:val="2"/>
          <w:sz w:val="21"/>
          <w:szCs w:val="21"/>
          <w:highlight w:val="none"/>
          <w:lang w:val="en-US" w:eastAsia="zh-CN" w:bidi="ar-SA"/>
        </w:rPr>
        <w:t>⑩电动排烟窗当遇到火灾发生时应能够自动开启，将室内的浓烟排出，达到通风排烟的目的，其消防联动电动开窗系统的具体要求见下述“材料要求”中相关内容。</w:t>
      </w:r>
    </w:p>
    <w:p w14:paraId="60C02A0D">
      <w:pPr>
        <w:widowControl w:val="0"/>
        <w:numPr>
          <w:ilvl w:val="255"/>
          <w:numId w:val="0"/>
        </w:numPr>
        <w:spacing w:line="400" w:lineRule="exact"/>
        <w:ind w:firstLine="420" w:firstLineChars="200"/>
        <w:jc w:val="both"/>
        <w:rPr>
          <w:rFonts w:ascii="Times New Roman" w:hAnsi="Times New Roman" w:eastAsia="宋体" w:cs="宋体"/>
          <w:bCs/>
          <w:color w:val="auto"/>
          <w:kern w:val="2"/>
          <w:sz w:val="21"/>
          <w:szCs w:val="21"/>
          <w:highlight w:val="none"/>
          <w:lang w:val="en-US" w:eastAsia="zh-CN" w:bidi="ar-SA"/>
        </w:rPr>
      </w:pPr>
      <w:r>
        <w:rPr>
          <w:rFonts w:hint="eastAsia" w:ascii="Times New Roman" w:hAnsi="Times New Roman" w:eastAsia="宋体" w:cs="宋体"/>
          <w:bCs/>
          <w:color w:val="auto"/>
          <w:kern w:val="2"/>
          <w:sz w:val="21"/>
          <w:szCs w:val="21"/>
          <w:highlight w:val="none"/>
          <w:lang w:val="en-US" w:eastAsia="zh-CN" w:bidi="ar-SA"/>
        </w:rPr>
        <w:t>（4）材料要求：</w:t>
      </w:r>
    </w:p>
    <w:p w14:paraId="3AD87148">
      <w:pPr>
        <w:widowControl w:val="0"/>
        <w:numPr>
          <w:ilvl w:val="255"/>
          <w:numId w:val="0"/>
        </w:numPr>
        <w:spacing w:line="400" w:lineRule="exact"/>
        <w:ind w:firstLine="420" w:firstLineChars="200"/>
        <w:jc w:val="both"/>
        <w:rPr>
          <w:rFonts w:ascii="Times New Roman" w:hAnsi="Times New Roman" w:eastAsia="宋体" w:cs="宋体"/>
          <w:bCs/>
          <w:color w:val="auto"/>
          <w:kern w:val="2"/>
          <w:sz w:val="21"/>
          <w:szCs w:val="21"/>
          <w:highlight w:val="none"/>
          <w:lang w:val="en-US" w:eastAsia="zh-CN" w:bidi="ar-SA"/>
        </w:rPr>
      </w:pPr>
      <w:r>
        <w:rPr>
          <w:rFonts w:hint="eastAsia" w:ascii="Times New Roman" w:hAnsi="Times New Roman" w:eastAsia="宋体" w:cs="宋体"/>
          <w:bCs/>
          <w:color w:val="auto"/>
          <w:kern w:val="2"/>
          <w:sz w:val="21"/>
          <w:szCs w:val="21"/>
          <w:highlight w:val="none"/>
          <w:lang w:val="en-US" w:eastAsia="zh-CN" w:bidi="ar-SA"/>
        </w:rPr>
        <w:t>1）硬聚乙烯塑芯型材</w:t>
      </w:r>
    </w:p>
    <w:p w14:paraId="50FD4054">
      <w:pPr>
        <w:widowControl w:val="0"/>
        <w:numPr>
          <w:ilvl w:val="255"/>
          <w:numId w:val="0"/>
        </w:numPr>
        <w:spacing w:line="400" w:lineRule="exact"/>
        <w:ind w:firstLine="420" w:firstLineChars="200"/>
        <w:jc w:val="both"/>
        <w:rPr>
          <w:rFonts w:ascii="Times New Roman" w:hAnsi="Times New Roman" w:eastAsia="宋体" w:cs="宋体"/>
          <w:bCs/>
          <w:color w:val="auto"/>
          <w:kern w:val="2"/>
          <w:sz w:val="21"/>
          <w:szCs w:val="21"/>
          <w:highlight w:val="none"/>
          <w:lang w:val="en-US" w:eastAsia="zh-CN" w:bidi="ar-SA"/>
        </w:rPr>
      </w:pPr>
      <w:r>
        <w:rPr>
          <w:rFonts w:hint="eastAsia" w:ascii="Times New Roman" w:hAnsi="Times New Roman" w:eastAsia="宋体" w:cs="宋体"/>
          <w:bCs/>
          <w:color w:val="auto"/>
          <w:kern w:val="2"/>
          <w:sz w:val="21"/>
          <w:szCs w:val="21"/>
          <w:highlight w:val="none"/>
          <w:lang w:val="en-US" w:eastAsia="zh-CN" w:bidi="ar-SA"/>
        </w:rPr>
        <w:t>①参照执行GB/T8814《门窗框用未增塑硬聚乙烯（PVC-U型材》以及相关国家标准、规范和规程的规定。</w:t>
      </w:r>
    </w:p>
    <w:p w14:paraId="5664073C">
      <w:pPr>
        <w:widowControl w:val="0"/>
        <w:numPr>
          <w:ilvl w:val="255"/>
          <w:numId w:val="0"/>
        </w:numPr>
        <w:spacing w:line="400" w:lineRule="exact"/>
        <w:ind w:firstLine="420" w:firstLineChars="200"/>
        <w:jc w:val="both"/>
        <w:rPr>
          <w:rFonts w:ascii="Times New Roman" w:hAnsi="Times New Roman" w:eastAsia="宋体" w:cs="宋体"/>
          <w:bCs/>
          <w:color w:val="auto"/>
          <w:kern w:val="2"/>
          <w:sz w:val="21"/>
          <w:szCs w:val="21"/>
          <w:highlight w:val="none"/>
          <w:lang w:val="en-US" w:eastAsia="zh-CN" w:bidi="ar-SA"/>
        </w:rPr>
      </w:pPr>
      <w:r>
        <w:rPr>
          <w:rFonts w:hint="eastAsia" w:ascii="Times New Roman" w:hAnsi="Times New Roman" w:eastAsia="宋体" w:cs="宋体"/>
          <w:bCs/>
          <w:color w:val="auto"/>
          <w:kern w:val="2"/>
          <w:sz w:val="21"/>
          <w:szCs w:val="21"/>
          <w:highlight w:val="none"/>
          <w:lang w:val="en-US" w:eastAsia="zh-CN" w:bidi="ar-SA"/>
        </w:rPr>
        <w:t>②硬聚乙烯塑芯型材可视断面上壁厚≥2.4mm，内筋壁厚≥0.9mm，尺寸允许偏差选用高精度级正差。</w:t>
      </w:r>
    </w:p>
    <w:p w14:paraId="1FF42910">
      <w:pPr>
        <w:widowControl w:val="0"/>
        <w:numPr>
          <w:ilvl w:val="255"/>
          <w:numId w:val="0"/>
        </w:numPr>
        <w:spacing w:line="400" w:lineRule="exact"/>
        <w:ind w:firstLine="420" w:firstLineChars="200"/>
        <w:jc w:val="both"/>
        <w:rPr>
          <w:rFonts w:ascii="Times New Roman" w:hAnsi="Times New Roman" w:eastAsia="宋体" w:cs="宋体"/>
          <w:bCs/>
          <w:color w:val="auto"/>
          <w:kern w:val="2"/>
          <w:sz w:val="21"/>
          <w:szCs w:val="21"/>
          <w:highlight w:val="none"/>
          <w:lang w:val="en-US" w:eastAsia="zh-CN" w:bidi="ar-SA"/>
        </w:rPr>
      </w:pPr>
      <w:r>
        <w:rPr>
          <w:rFonts w:hint="eastAsia" w:ascii="Times New Roman" w:hAnsi="Times New Roman" w:eastAsia="宋体" w:cs="宋体"/>
          <w:bCs/>
          <w:color w:val="auto"/>
          <w:kern w:val="2"/>
          <w:sz w:val="21"/>
          <w:szCs w:val="21"/>
          <w:highlight w:val="none"/>
          <w:lang w:val="en-US" w:eastAsia="zh-CN" w:bidi="ar-SA"/>
        </w:rPr>
        <w:t>③硬聚乙烯型材必须三腔，颜色为白色，对空腔构造的其它要求应符合相关国家标准、规范和规程的规定。</w:t>
      </w:r>
    </w:p>
    <w:p w14:paraId="79B3A2C5">
      <w:pPr>
        <w:widowControl w:val="0"/>
        <w:numPr>
          <w:ilvl w:val="255"/>
          <w:numId w:val="0"/>
        </w:numPr>
        <w:spacing w:line="400" w:lineRule="exact"/>
        <w:ind w:firstLine="420" w:firstLineChars="200"/>
        <w:jc w:val="both"/>
        <w:rPr>
          <w:rFonts w:ascii="Times New Roman" w:hAnsi="Times New Roman" w:eastAsia="宋体" w:cs="宋体"/>
          <w:bCs/>
          <w:color w:val="auto"/>
          <w:kern w:val="2"/>
          <w:sz w:val="21"/>
          <w:szCs w:val="21"/>
          <w:highlight w:val="none"/>
          <w:lang w:val="en-US" w:eastAsia="zh-CN" w:bidi="ar-SA"/>
        </w:rPr>
      </w:pPr>
      <w:r>
        <w:rPr>
          <w:rFonts w:hint="eastAsia" w:ascii="Times New Roman" w:hAnsi="Times New Roman" w:eastAsia="宋体" w:cs="宋体"/>
          <w:bCs/>
          <w:color w:val="auto"/>
          <w:kern w:val="2"/>
          <w:sz w:val="21"/>
          <w:szCs w:val="21"/>
          <w:highlight w:val="none"/>
          <w:lang w:val="en-US" w:eastAsia="zh-CN" w:bidi="ar-SA"/>
        </w:rPr>
        <w:t>④硬聚乙烯塑芯型材PVC原料为国产优质原料；钛白粉选用进口品牌；碳酸钙用量不大于8%。使硬聚乙烯塑芯型材成型后热熔效果稳定，塑化好；表面光洁，色泽稳定；既保证其型材的强度，又增加其韧性，保证使用寿命。不得采用再生料。</w:t>
      </w:r>
    </w:p>
    <w:p w14:paraId="5D9A2927">
      <w:pPr>
        <w:widowControl w:val="0"/>
        <w:numPr>
          <w:ilvl w:val="255"/>
          <w:numId w:val="0"/>
        </w:numPr>
        <w:spacing w:line="400" w:lineRule="exact"/>
        <w:ind w:firstLine="420" w:firstLineChars="200"/>
        <w:jc w:val="both"/>
        <w:rPr>
          <w:rFonts w:ascii="Times New Roman" w:hAnsi="Times New Roman" w:eastAsia="宋体" w:cs="宋体"/>
          <w:bCs/>
          <w:color w:val="auto"/>
          <w:kern w:val="2"/>
          <w:sz w:val="21"/>
          <w:szCs w:val="21"/>
          <w:highlight w:val="none"/>
          <w:lang w:val="en-US" w:eastAsia="zh-CN" w:bidi="ar-SA"/>
        </w:rPr>
      </w:pPr>
      <w:r>
        <w:rPr>
          <w:rFonts w:hint="eastAsia" w:ascii="Times New Roman" w:hAnsi="Times New Roman" w:eastAsia="宋体" w:cs="宋体"/>
          <w:bCs/>
          <w:color w:val="auto"/>
          <w:kern w:val="2"/>
          <w:sz w:val="21"/>
          <w:szCs w:val="21"/>
          <w:highlight w:val="none"/>
          <w:lang w:val="en-US" w:eastAsia="zh-CN" w:bidi="ar-SA"/>
        </w:rPr>
        <w:t>2）铝塑铝复合型材</w:t>
      </w:r>
    </w:p>
    <w:p w14:paraId="3C3337FD">
      <w:pPr>
        <w:widowControl w:val="0"/>
        <w:numPr>
          <w:ilvl w:val="255"/>
          <w:numId w:val="0"/>
        </w:numPr>
        <w:spacing w:line="400" w:lineRule="exact"/>
        <w:ind w:firstLine="420" w:firstLineChars="200"/>
        <w:jc w:val="both"/>
        <w:rPr>
          <w:rFonts w:ascii="Times New Roman" w:hAnsi="Times New Roman" w:eastAsia="宋体" w:cs="宋体"/>
          <w:bCs/>
          <w:color w:val="auto"/>
          <w:kern w:val="2"/>
          <w:sz w:val="21"/>
          <w:szCs w:val="21"/>
          <w:highlight w:val="none"/>
          <w:lang w:val="en-US" w:eastAsia="zh-CN" w:bidi="ar-SA"/>
        </w:rPr>
      </w:pPr>
      <w:r>
        <w:rPr>
          <w:rFonts w:hint="eastAsia" w:ascii="Times New Roman" w:hAnsi="Times New Roman" w:eastAsia="宋体" w:cs="宋体"/>
          <w:bCs/>
          <w:color w:val="auto"/>
          <w:kern w:val="2"/>
          <w:sz w:val="21"/>
          <w:szCs w:val="21"/>
          <w:highlight w:val="none"/>
          <w:lang w:val="en-US" w:eastAsia="zh-CN" w:bidi="ar-SA"/>
        </w:rPr>
        <w:t>①参照GB/T5237《铝合金型材》、GB/T881《门窗框用硬聚乙烯（PVC）型材》、</w:t>
      </w:r>
    </w:p>
    <w:p w14:paraId="6D2534BF">
      <w:pPr>
        <w:widowControl w:val="0"/>
        <w:numPr>
          <w:ilvl w:val="255"/>
          <w:numId w:val="0"/>
        </w:numPr>
        <w:spacing w:line="400" w:lineRule="exact"/>
        <w:ind w:firstLine="420" w:firstLineChars="200"/>
        <w:jc w:val="both"/>
        <w:rPr>
          <w:rFonts w:ascii="Times New Roman" w:hAnsi="Times New Roman" w:eastAsia="宋体" w:cs="宋体"/>
          <w:bCs/>
          <w:color w:val="auto"/>
          <w:kern w:val="2"/>
          <w:sz w:val="21"/>
          <w:szCs w:val="21"/>
          <w:highlight w:val="none"/>
          <w:lang w:val="en-US" w:eastAsia="zh-CN" w:bidi="ar-SA"/>
        </w:rPr>
      </w:pPr>
      <w:r>
        <w:rPr>
          <w:rFonts w:hint="eastAsia" w:ascii="Times New Roman" w:hAnsi="Times New Roman" w:eastAsia="宋体" w:cs="宋体"/>
          <w:bCs/>
          <w:color w:val="auto"/>
          <w:kern w:val="2"/>
          <w:sz w:val="21"/>
          <w:szCs w:val="21"/>
          <w:highlight w:val="none"/>
          <w:lang w:val="en-US" w:eastAsia="zh-CN" w:bidi="ar-SA"/>
        </w:rPr>
        <w:t>《铝塑复合节能窗》（DB23/T445）和哈尔滨市建设委员会“关于新建在建节能建筑中全面使用三玻外窗”的通知（哈建发〔2005〕25号）以及相关国家标准、规范、规程和规定执行。</w:t>
      </w:r>
    </w:p>
    <w:p w14:paraId="6AAD8CDD">
      <w:pPr>
        <w:widowControl w:val="0"/>
        <w:numPr>
          <w:ilvl w:val="255"/>
          <w:numId w:val="0"/>
        </w:numPr>
        <w:spacing w:line="400" w:lineRule="exact"/>
        <w:ind w:firstLine="420" w:firstLineChars="200"/>
        <w:jc w:val="both"/>
        <w:rPr>
          <w:rFonts w:ascii="Times New Roman" w:hAnsi="Times New Roman" w:eastAsia="宋体" w:cs="宋体"/>
          <w:bCs/>
          <w:color w:val="auto"/>
          <w:kern w:val="2"/>
          <w:sz w:val="21"/>
          <w:szCs w:val="21"/>
          <w:highlight w:val="none"/>
          <w:lang w:val="en-US" w:eastAsia="zh-CN" w:bidi="ar-SA"/>
        </w:rPr>
      </w:pPr>
      <w:r>
        <w:rPr>
          <w:rFonts w:hint="eastAsia" w:ascii="Times New Roman" w:hAnsi="Times New Roman" w:eastAsia="宋体" w:cs="宋体"/>
          <w:bCs/>
          <w:color w:val="auto"/>
          <w:kern w:val="2"/>
          <w:sz w:val="21"/>
          <w:szCs w:val="21"/>
          <w:highlight w:val="none"/>
          <w:lang w:val="en-US" w:eastAsia="zh-CN" w:bidi="ar-SA"/>
        </w:rPr>
        <w:t>②铝塑铝复合型材必须为五腔（铝塑铝燕尾槽连接处形成的空腔不得计入）。</w:t>
      </w:r>
    </w:p>
    <w:p w14:paraId="6E7CAE68">
      <w:pPr>
        <w:widowControl w:val="0"/>
        <w:numPr>
          <w:ilvl w:val="255"/>
          <w:numId w:val="0"/>
        </w:numPr>
        <w:spacing w:line="400" w:lineRule="exact"/>
        <w:ind w:firstLine="420" w:firstLineChars="200"/>
        <w:jc w:val="both"/>
        <w:rPr>
          <w:rFonts w:ascii="Times New Roman" w:hAnsi="Times New Roman" w:eastAsia="宋体" w:cs="宋体"/>
          <w:bCs/>
          <w:color w:val="auto"/>
          <w:kern w:val="2"/>
          <w:sz w:val="21"/>
          <w:szCs w:val="21"/>
          <w:highlight w:val="none"/>
          <w:lang w:val="en-US" w:eastAsia="zh-CN" w:bidi="ar-SA"/>
        </w:rPr>
      </w:pPr>
      <w:r>
        <w:rPr>
          <w:rFonts w:hint="eastAsia" w:ascii="Times New Roman" w:hAnsi="Times New Roman" w:eastAsia="宋体" w:cs="宋体"/>
          <w:bCs/>
          <w:color w:val="auto"/>
          <w:kern w:val="2"/>
          <w:sz w:val="21"/>
          <w:szCs w:val="21"/>
          <w:highlight w:val="none"/>
          <w:lang w:val="en-US" w:eastAsia="zh-CN" w:bidi="ar-SA"/>
        </w:rPr>
        <w:t>铝塑铝复合型材窗框可视断面总厚度为65mm或66mm：铝塑铝复合型材窗扇型材可视断面总厚度为70mm或72mm，避免使用“小铝大塑”断面。</w:t>
      </w:r>
    </w:p>
    <w:p w14:paraId="372B4F12">
      <w:pPr>
        <w:widowControl w:val="0"/>
        <w:numPr>
          <w:ilvl w:val="255"/>
          <w:numId w:val="0"/>
        </w:numPr>
        <w:spacing w:line="400" w:lineRule="exact"/>
        <w:ind w:firstLine="420" w:firstLineChars="200"/>
        <w:jc w:val="both"/>
        <w:rPr>
          <w:rFonts w:ascii="Times New Roman" w:hAnsi="Times New Roman" w:eastAsia="宋体" w:cs="宋体"/>
          <w:bCs/>
          <w:color w:val="auto"/>
          <w:kern w:val="2"/>
          <w:sz w:val="21"/>
          <w:szCs w:val="21"/>
          <w:highlight w:val="none"/>
          <w:lang w:val="en-US" w:eastAsia="zh-CN" w:bidi="ar-SA"/>
        </w:rPr>
      </w:pPr>
      <w:r>
        <w:rPr>
          <w:rFonts w:hint="eastAsia" w:ascii="Times New Roman" w:hAnsi="Times New Roman" w:eastAsia="宋体" w:cs="宋体"/>
          <w:bCs/>
          <w:color w:val="auto"/>
          <w:kern w:val="2"/>
          <w:sz w:val="21"/>
          <w:szCs w:val="21"/>
          <w:highlight w:val="none"/>
          <w:lang w:val="en-US" w:eastAsia="zh-CN" w:bidi="ar-SA"/>
        </w:rPr>
        <w:t>③铝塑铝复合型材中铝型材与塑芯型材必须采用双燕尾槽或多燕尾槽式结合。其中铝型材先开齿，然后与塑芯挤压复合。整个复合型材尺寸允许偏差选用高精度级。</w:t>
      </w:r>
    </w:p>
    <w:p w14:paraId="086A3E2D">
      <w:pPr>
        <w:widowControl w:val="0"/>
        <w:numPr>
          <w:ilvl w:val="255"/>
          <w:numId w:val="0"/>
        </w:numPr>
        <w:spacing w:line="400" w:lineRule="exact"/>
        <w:ind w:firstLine="420" w:firstLineChars="200"/>
        <w:jc w:val="both"/>
        <w:rPr>
          <w:rFonts w:ascii="Times New Roman" w:hAnsi="Times New Roman" w:eastAsia="宋体" w:cs="宋体"/>
          <w:bCs/>
          <w:color w:val="auto"/>
          <w:kern w:val="2"/>
          <w:sz w:val="21"/>
          <w:szCs w:val="21"/>
          <w:highlight w:val="none"/>
          <w:lang w:val="en-US" w:eastAsia="zh-CN" w:bidi="ar-SA"/>
        </w:rPr>
      </w:pPr>
      <w:r>
        <w:rPr>
          <w:rFonts w:hint="eastAsia" w:ascii="Times New Roman" w:hAnsi="Times New Roman" w:eastAsia="宋体" w:cs="宋体"/>
          <w:bCs/>
          <w:color w:val="auto"/>
          <w:kern w:val="2"/>
          <w:sz w:val="21"/>
          <w:szCs w:val="21"/>
          <w:highlight w:val="none"/>
          <w:lang w:val="en-US" w:eastAsia="zh-CN" w:bidi="ar-SA"/>
        </w:rPr>
        <w:t>3）玻璃</w:t>
      </w:r>
    </w:p>
    <w:p w14:paraId="50AD5845">
      <w:pPr>
        <w:widowControl w:val="0"/>
        <w:numPr>
          <w:ilvl w:val="255"/>
          <w:numId w:val="0"/>
        </w:numPr>
        <w:spacing w:line="400" w:lineRule="exact"/>
        <w:ind w:firstLine="420" w:firstLineChars="200"/>
        <w:jc w:val="both"/>
        <w:rPr>
          <w:rFonts w:ascii="Times New Roman" w:hAnsi="Times New Roman" w:eastAsia="宋体" w:cs="宋体"/>
          <w:bCs/>
          <w:color w:val="auto"/>
          <w:kern w:val="2"/>
          <w:sz w:val="21"/>
          <w:szCs w:val="21"/>
          <w:highlight w:val="none"/>
          <w:lang w:val="en-US" w:eastAsia="zh-CN" w:bidi="ar-SA"/>
        </w:rPr>
      </w:pPr>
      <w:r>
        <w:rPr>
          <w:rFonts w:hint="eastAsia" w:ascii="Times New Roman" w:hAnsi="Times New Roman" w:eastAsia="宋体" w:cs="宋体"/>
          <w:bCs/>
          <w:color w:val="auto"/>
          <w:kern w:val="2"/>
          <w:sz w:val="21"/>
          <w:szCs w:val="21"/>
          <w:highlight w:val="none"/>
          <w:lang w:val="en-US" w:eastAsia="zh-CN" w:bidi="ar-SA"/>
        </w:rPr>
        <w:t>①玻璃按照JGJ113《建筑玻璃应用技术规程》、GB/T11944《中空玻璃》以及相关国家标准、规范、规程和规定执行。</w:t>
      </w:r>
    </w:p>
    <w:p w14:paraId="33B8F182">
      <w:pPr>
        <w:widowControl w:val="0"/>
        <w:numPr>
          <w:ilvl w:val="255"/>
          <w:numId w:val="0"/>
        </w:numPr>
        <w:spacing w:line="400" w:lineRule="exact"/>
        <w:ind w:firstLine="420" w:firstLineChars="200"/>
        <w:jc w:val="both"/>
        <w:rPr>
          <w:rFonts w:ascii="Times New Roman" w:hAnsi="Times New Roman" w:eastAsia="宋体" w:cs="宋体"/>
          <w:bCs/>
          <w:color w:val="auto"/>
          <w:kern w:val="2"/>
          <w:sz w:val="21"/>
          <w:szCs w:val="21"/>
          <w:highlight w:val="none"/>
          <w:lang w:val="en-US" w:eastAsia="zh-CN" w:bidi="ar-SA"/>
        </w:rPr>
      </w:pPr>
      <w:r>
        <w:rPr>
          <w:rFonts w:hint="eastAsia" w:ascii="Times New Roman" w:hAnsi="Times New Roman" w:eastAsia="宋体" w:cs="宋体"/>
          <w:bCs/>
          <w:color w:val="auto"/>
          <w:kern w:val="2"/>
          <w:sz w:val="21"/>
          <w:szCs w:val="21"/>
          <w:highlight w:val="none"/>
          <w:lang w:val="en-US" w:eastAsia="zh-CN" w:bidi="ar-SA"/>
        </w:rPr>
        <w:t>②中空玻璃为三层，构造为： 4mm+12Amm+4mm+12Amm+4mm，且玻璃厚度为4mm，允许偏差按照国家有关标准执行；玻璃之间的空气层厚度不应小于12mm：玻璃采用1层LOW-E玻璃+2层普通玻璃。</w:t>
      </w:r>
    </w:p>
    <w:p w14:paraId="4C6BF0EE">
      <w:pPr>
        <w:widowControl w:val="0"/>
        <w:numPr>
          <w:ilvl w:val="255"/>
          <w:numId w:val="0"/>
        </w:numPr>
        <w:spacing w:line="400" w:lineRule="exact"/>
        <w:ind w:firstLine="420" w:firstLineChars="200"/>
        <w:jc w:val="both"/>
        <w:rPr>
          <w:rFonts w:ascii="Times New Roman" w:hAnsi="Times New Roman" w:eastAsia="宋体" w:cs="宋体"/>
          <w:bCs/>
          <w:color w:val="auto"/>
          <w:kern w:val="2"/>
          <w:sz w:val="21"/>
          <w:szCs w:val="21"/>
          <w:highlight w:val="none"/>
          <w:lang w:val="en-US" w:eastAsia="zh-CN" w:bidi="ar-SA"/>
        </w:rPr>
      </w:pPr>
      <w:r>
        <w:rPr>
          <w:rFonts w:hint="eastAsia" w:ascii="Times New Roman" w:hAnsi="Times New Roman" w:eastAsia="宋体" w:cs="宋体"/>
          <w:bCs/>
          <w:color w:val="auto"/>
          <w:kern w:val="2"/>
          <w:sz w:val="21"/>
          <w:szCs w:val="21"/>
          <w:highlight w:val="none"/>
          <w:lang w:val="en-US" w:eastAsia="zh-CN" w:bidi="ar-SA"/>
        </w:rPr>
        <w:t>4）密封材料</w:t>
      </w:r>
    </w:p>
    <w:p w14:paraId="720A71E6">
      <w:pPr>
        <w:widowControl w:val="0"/>
        <w:numPr>
          <w:ilvl w:val="255"/>
          <w:numId w:val="0"/>
        </w:numPr>
        <w:spacing w:line="400" w:lineRule="exact"/>
        <w:ind w:firstLine="420" w:firstLineChars="200"/>
        <w:jc w:val="both"/>
        <w:rPr>
          <w:rFonts w:ascii="Times New Roman" w:hAnsi="Times New Roman" w:eastAsia="宋体" w:cs="宋体"/>
          <w:bCs/>
          <w:color w:val="auto"/>
          <w:kern w:val="2"/>
          <w:sz w:val="21"/>
          <w:szCs w:val="21"/>
          <w:highlight w:val="none"/>
          <w:lang w:val="en-US" w:eastAsia="zh-CN" w:bidi="ar-SA"/>
        </w:rPr>
      </w:pPr>
      <w:r>
        <w:rPr>
          <w:rFonts w:hint="eastAsia" w:ascii="Times New Roman" w:hAnsi="Times New Roman" w:eastAsia="宋体" w:cs="宋体"/>
          <w:bCs/>
          <w:color w:val="auto"/>
          <w:kern w:val="2"/>
          <w:sz w:val="21"/>
          <w:szCs w:val="21"/>
          <w:highlight w:val="none"/>
          <w:lang w:val="en-US" w:eastAsia="zh-CN" w:bidi="ar-SA"/>
        </w:rPr>
        <w:t>①密封材料的使用参照GB12002《塑料门窗用密封条》以及相关国家标准、规范、规程和规定执行。</w:t>
      </w:r>
    </w:p>
    <w:p w14:paraId="0810378D">
      <w:pPr>
        <w:widowControl w:val="0"/>
        <w:numPr>
          <w:ilvl w:val="255"/>
          <w:numId w:val="0"/>
        </w:numPr>
        <w:spacing w:line="400" w:lineRule="exact"/>
        <w:ind w:firstLine="420" w:firstLineChars="200"/>
        <w:jc w:val="both"/>
        <w:rPr>
          <w:rFonts w:ascii="Times New Roman" w:hAnsi="Times New Roman" w:eastAsia="宋体" w:cs="宋体"/>
          <w:bCs/>
          <w:color w:val="auto"/>
          <w:kern w:val="2"/>
          <w:sz w:val="21"/>
          <w:szCs w:val="21"/>
          <w:highlight w:val="none"/>
          <w:lang w:val="en-US" w:eastAsia="zh-CN" w:bidi="ar-SA"/>
        </w:rPr>
      </w:pPr>
      <w:r>
        <w:rPr>
          <w:rFonts w:hint="eastAsia" w:ascii="Times New Roman" w:hAnsi="Times New Roman" w:eastAsia="宋体" w:cs="宋体"/>
          <w:bCs/>
          <w:color w:val="auto"/>
          <w:kern w:val="2"/>
          <w:sz w:val="21"/>
          <w:szCs w:val="21"/>
          <w:highlight w:val="none"/>
          <w:lang w:val="en-US" w:eastAsia="zh-CN" w:bidi="ar-SA"/>
        </w:rPr>
        <w:t>②中空玻璃合成过程中采用的丁基胶和聚硫胶产品必须为国内知名品牌，同时符合环保要求。</w:t>
      </w:r>
    </w:p>
    <w:p w14:paraId="058E4BD7">
      <w:pPr>
        <w:widowControl w:val="0"/>
        <w:numPr>
          <w:ilvl w:val="255"/>
          <w:numId w:val="0"/>
        </w:numPr>
        <w:spacing w:line="400" w:lineRule="exact"/>
        <w:ind w:firstLine="420" w:firstLineChars="200"/>
        <w:jc w:val="both"/>
        <w:rPr>
          <w:rFonts w:ascii="Times New Roman" w:hAnsi="Times New Roman" w:eastAsia="宋体" w:cs="宋体"/>
          <w:bCs/>
          <w:color w:val="auto"/>
          <w:kern w:val="2"/>
          <w:sz w:val="21"/>
          <w:szCs w:val="21"/>
          <w:highlight w:val="none"/>
          <w:lang w:val="en-US" w:eastAsia="zh-CN" w:bidi="ar-SA"/>
        </w:rPr>
      </w:pPr>
      <w:r>
        <w:rPr>
          <w:rFonts w:hint="eastAsia" w:ascii="Times New Roman" w:hAnsi="Times New Roman" w:eastAsia="宋体" w:cs="宋体"/>
          <w:bCs/>
          <w:color w:val="auto"/>
          <w:kern w:val="2"/>
          <w:sz w:val="21"/>
          <w:szCs w:val="21"/>
          <w:highlight w:val="none"/>
          <w:lang w:val="en-US" w:eastAsia="zh-CN" w:bidi="ar-SA"/>
        </w:rPr>
        <w:t>③窗框和窗扇之间周边必须设有三道及其以上的三元乙丙橡胶密封条；窗扇与中空玻璃之间密封条采用三元乙丙橡胶密封条或PVC密封胶条。</w:t>
      </w:r>
    </w:p>
    <w:p w14:paraId="482DE025">
      <w:pPr>
        <w:widowControl w:val="0"/>
        <w:numPr>
          <w:ilvl w:val="255"/>
          <w:numId w:val="0"/>
        </w:numPr>
        <w:spacing w:line="400" w:lineRule="exact"/>
        <w:ind w:firstLine="420" w:firstLineChars="200"/>
        <w:jc w:val="both"/>
        <w:rPr>
          <w:rFonts w:ascii="Times New Roman" w:hAnsi="Times New Roman" w:eastAsia="宋体" w:cs="宋体"/>
          <w:bCs/>
          <w:color w:val="auto"/>
          <w:kern w:val="2"/>
          <w:sz w:val="21"/>
          <w:szCs w:val="21"/>
          <w:highlight w:val="none"/>
          <w:lang w:val="en-US" w:eastAsia="zh-CN" w:bidi="ar-SA"/>
        </w:rPr>
      </w:pPr>
      <w:r>
        <w:rPr>
          <w:rFonts w:hint="eastAsia" w:ascii="Times New Roman" w:hAnsi="Times New Roman" w:eastAsia="宋体" w:cs="宋体"/>
          <w:bCs/>
          <w:color w:val="auto"/>
          <w:kern w:val="2"/>
          <w:sz w:val="21"/>
          <w:szCs w:val="21"/>
          <w:highlight w:val="none"/>
          <w:lang w:val="en-US" w:eastAsia="zh-CN" w:bidi="ar-SA"/>
        </w:rPr>
        <w:t>④铝塑窗安装时窗框与墙体之间空隙必须采用聚氨酯发泡填充剂密封。其聚氨酯发泡填充剂产品必须符合相关国家标准，同时符合环保要求。</w:t>
      </w:r>
    </w:p>
    <w:p w14:paraId="1A2BFE27">
      <w:pPr>
        <w:widowControl w:val="0"/>
        <w:numPr>
          <w:ilvl w:val="255"/>
          <w:numId w:val="0"/>
        </w:numPr>
        <w:spacing w:line="400" w:lineRule="exact"/>
        <w:ind w:firstLine="420" w:firstLineChars="200"/>
        <w:jc w:val="both"/>
        <w:rPr>
          <w:rFonts w:ascii="Times New Roman" w:hAnsi="Times New Roman" w:eastAsia="宋体" w:cs="宋体"/>
          <w:bCs/>
          <w:color w:val="auto"/>
          <w:kern w:val="2"/>
          <w:sz w:val="21"/>
          <w:szCs w:val="21"/>
          <w:highlight w:val="none"/>
          <w:lang w:val="en-US" w:eastAsia="zh-CN" w:bidi="ar-SA"/>
        </w:rPr>
      </w:pPr>
      <w:r>
        <w:rPr>
          <w:rFonts w:hint="eastAsia" w:ascii="Times New Roman" w:hAnsi="Times New Roman" w:eastAsia="宋体" w:cs="宋体"/>
          <w:bCs/>
          <w:color w:val="auto"/>
          <w:kern w:val="2"/>
          <w:sz w:val="21"/>
          <w:szCs w:val="21"/>
          <w:highlight w:val="none"/>
          <w:lang w:val="en-US" w:eastAsia="zh-CN" w:bidi="ar-SA"/>
        </w:rPr>
        <w:t>5）五金配件</w:t>
      </w:r>
    </w:p>
    <w:p w14:paraId="437F2BAF">
      <w:pPr>
        <w:widowControl w:val="0"/>
        <w:numPr>
          <w:ilvl w:val="255"/>
          <w:numId w:val="0"/>
        </w:numPr>
        <w:spacing w:line="400" w:lineRule="exact"/>
        <w:ind w:firstLine="420" w:firstLineChars="200"/>
        <w:jc w:val="both"/>
        <w:rPr>
          <w:rFonts w:ascii="Times New Roman" w:hAnsi="Times New Roman" w:eastAsia="宋体" w:cs="宋体"/>
          <w:bCs/>
          <w:color w:val="auto"/>
          <w:kern w:val="2"/>
          <w:sz w:val="21"/>
          <w:szCs w:val="21"/>
          <w:highlight w:val="none"/>
          <w:lang w:val="en-US" w:eastAsia="zh-CN" w:bidi="ar-SA"/>
        </w:rPr>
      </w:pPr>
      <w:r>
        <w:rPr>
          <w:rFonts w:hint="eastAsia" w:ascii="Times New Roman" w:hAnsi="Times New Roman" w:eastAsia="宋体" w:cs="宋体"/>
          <w:bCs/>
          <w:color w:val="auto"/>
          <w:kern w:val="2"/>
          <w:sz w:val="21"/>
          <w:szCs w:val="21"/>
          <w:highlight w:val="none"/>
          <w:lang w:val="en-US" w:eastAsia="zh-CN" w:bidi="ar-SA"/>
        </w:rPr>
        <w:t>①五金配件必须按照JG/T125、JG/T126以及相关国家标准、规范、规程和规定执行。</w:t>
      </w:r>
    </w:p>
    <w:p w14:paraId="5DD23BD0">
      <w:pPr>
        <w:widowControl w:val="0"/>
        <w:numPr>
          <w:ilvl w:val="255"/>
          <w:numId w:val="0"/>
        </w:numPr>
        <w:spacing w:line="400" w:lineRule="exact"/>
        <w:ind w:firstLine="420" w:firstLineChars="200"/>
        <w:jc w:val="both"/>
        <w:rPr>
          <w:rFonts w:ascii="Times New Roman" w:hAnsi="Times New Roman" w:eastAsia="宋体" w:cs="宋体"/>
          <w:bCs/>
          <w:color w:val="auto"/>
          <w:kern w:val="2"/>
          <w:sz w:val="21"/>
          <w:szCs w:val="21"/>
          <w:highlight w:val="none"/>
          <w:lang w:val="en-US" w:eastAsia="zh-CN" w:bidi="ar-SA"/>
        </w:rPr>
      </w:pPr>
      <w:r>
        <w:rPr>
          <w:rFonts w:hint="eastAsia" w:ascii="Times New Roman" w:hAnsi="Times New Roman" w:eastAsia="宋体" w:cs="宋体"/>
          <w:bCs/>
          <w:color w:val="auto"/>
          <w:kern w:val="2"/>
          <w:sz w:val="21"/>
          <w:szCs w:val="21"/>
          <w:highlight w:val="none"/>
          <w:lang w:val="en-US" w:eastAsia="zh-CN" w:bidi="ar-SA"/>
        </w:rPr>
        <w:t>②锁紧器（执手）、</w:t>
      </w:r>
    </w:p>
    <w:p w14:paraId="7DE65828">
      <w:pPr>
        <w:widowControl w:val="0"/>
        <w:numPr>
          <w:ilvl w:val="255"/>
          <w:numId w:val="0"/>
        </w:numPr>
        <w:spacing w:line="400" w:lineRule="exact"/>
        <w:ind w:firstLine="420" w:firstLineChars="200"/>
        <w:jc w:val="both"/>
        <w:rPr>
          <w:rFonts w:ascii="Times New Roman" w:hAnsi="Times New Roman" w:eastAsia="宋体" w:cs="宋体"/>
          <w:bCs/>
          <w:color w:val="auto"/>
          <w:kern w:val="2"/>
          <w:sz w:val="21"/>
          <w:szCs w:val="21"/>
          <w:highlight w:val="none"/>
          <w:lang w:val="en-US" w:eastAsia="zh-CN" w:bidi="ar-SA"/>
        </w:rPr>
      </w:pPr>
      <w:r>
        <w:rPr>
          <w:rFonts w:hint="eastAsia" w:ascii="Times New Roman" w:hAnsi="Times New Roman" w:eastAsia="宋体" w:cs="宋体"/>
          <w:bCs/>
          <w:color w:val="auto"/>
          <w:kern w:val="2"/>
          <w:sz w:val="21"/>
          <w:szCs w:val="21"/>
          <w:highlight w:val="none"/>
          <w:lang w:val="en-US" w:eastAsia="zh-CN" w:bidi="ar-SA"/>
        </w:rPr>
        <w:t>传动器和铰链以及其他五金件必须为铝塑窗配套产品且为金属制品，并且符合有关国家标准。</w:t>
      </w:r>
    </w:p>
    <w:p w14:paraId="0C74B64E">
      <w:pPr>
        <w:widowControl w:val="0"/>
        <w:numPr>
          <w:ilvl w:val="255"/>
          <w:numId w:val="0"/>
        </w:numPr>
        <w:spacing w:line="400" w:lineRule="exact"/>
        <w:ind w:firstLine="420" w:firstLineChars="200"/>
        <w:jc w:val="both"/>
        <w:rPr>
          <w:rFonts w:ascii="Times New Roman" w:hAnsi="Times New Roman" w:eastAsia="宋体" w:cs="宋体"/>
          <w:bCs/>
          <w:color w:val="auto"/>
          <w:kern w:val="2"/>
          <w:sz w:val="21"/>
          <w:szCs w:val="21"/>
          <w:highlight w:val="none"/>
          <w:lang w:val="en-US" w:eastAsia="zh-CN" w:bidi="ar-SA"/>
        </w:rPr>
      </w:pPr>
      <w:r>
        <w:rPr>
          <w:rFonts w:hint="eastAsia" w:ascii="Times New Roman" w:hAnsi="Times New Roman" w:eastAsia="宋体" w:cs="宋体"/>
          <w:bCs/>
          <w:color w:val="auto"/>
          <w:kern w:val="2"/>
          <w:sz w:val="21"/>
          <w:szCs w:val="21"/>
          <w:highlight w:val="none"/>
          <w:lang w:val="en-US" w:eastAsia="zh-CN" w:bidi="ar-SA"/>
        </w:rPr>
        <w:t>（2）铝塑窗安装要求</w:t>
      </w:r>
    </w:p>
    <w:p w14:paraId="5386C990">
      <w:pPr>
        <w:widowControl w:val="0"/>
        <w:numPr>
          <w:ilvl w:val="255"/>
          <w:numId w:val="0"/>
        </w:numPr>
        <w:spacing w:line="400" w:lineRule="exact"/>
        <w:ind w:firstLine="420" w:firstLineChars="200"/>
        <w:jc w:val="both"/>
        <w:rPr>
          <w:rFonts w:ascii="Times New Roman" w:hAnsi="Times New Roman" w:eastAsia="宋体" w:cs="宋体"/>
          <w:bCs/>
          <w:color w:val="auto"/>
          <w:kern w:val="2"/>
          <w:sz w:val="21"/>
          <w:szCs w:val="21"/>
          <w:highlight w:val="none"/>
          <w:lang w:val="en-US" w:eastAsia="zh-CN" w:bidi="ar-SA"/>
        </w:rPr>
      </w:pPr>
      <w:r>
        <w:rPr>
          <w:rFonts w:hint="eastAsia" w:ascii="Times New Roman" w:hAnsi="Times New Roman" w:eastAsia="宋体" w:cs="宋体"/>
          <w:bCs/>
          <w:color w:val="auto"/>
          <w:kern w:val="2"/>
          <w:sz w:val="21"/>
          <w:szCs w:val="21"/>
          <w:highlight w:val="none"/>
          <w:lang w:val="en-US" w:eastAsia="zh-CN" w:bidi="ar-SA"/>
        </w:rPr>
        <w:t>①铝塑窗安装时整窗及配件质量必须符合相关国家标准、规范、规程和规定；</w:t>
      </w:r>
    </w:p>
    <w:p w14:paraId="09F7E26E">
      <w:pPr>
        <w:widowControl w:val="0"/>
        <w:numPr>
          <w:ilvl w:val="255"/>
          <w:numId w:val="0"/>
        </w:numPr>
        <w:spacing w:line="400" w:lineRule="exact"/>
        <w:ind w:firstLine="420" w:firstLineChars="200"/>
        <w:jc w:val="both"/>
        <w:rPr>
          <w:rFonts w:ascii="Times New Roman" w:hAnsi="Times New Roman" w:eastAsia="宋体" w:cs="宋体"/>
          <w:bCs/>
          <w:color w:val="auto"/>
          <w:kern w:val="2"/>
          <w:sz w:val="21"/>
          <w:szCs w:val="21"/>
          <w:highlight w:val="none"/>
          <w:lang w:val="en-US" w:eastAsia="zh-CN" w:bidi="ar-SA"/>
        </w:rPr>
      </w:pPr>
      <w:r>
        <w:rPr>
          <w:rFonts w:hint="eastAsia" w:ascii="Times New Roman" w:hAnsi="Times New Roman" w:eastAsia="宋体" w:cs="宋体"/>
          <w:bCs/>
          <w:color w:val="auto"/>
          <w:kern w:val="2"/>
          <w:sz w:val="21"/>
          <w:szCs w:val="21"/>
          <w:highlight w:val="none"/>
          <w:lang w:val="en-US" w:eastAsia="zh-CN" w:bidi="ar-SA"/>
        </w:rPr>
        <w:t>②铝塑窗安装时其空间位置、分隔尺寸和开启方向必须符合建筑设计要求；</w:t>
      </w:r>
    </w:p>
    <w:p w14:paraId="1F512902">
      <w:pPr>
        <w:widowControl w:val="0"/>
        <w:numPr>
          <w:ilvl w:val="255"/>
          <w:numId w:val="0"/>
        </w:numPr>
        <w:spacing w:line="400" w:lineRule="exact"/>
        <w:ind w:firstLine="420" w:firstLineChars="200"/>
        <w:jc w:val="both"/>
        <w:rPr>
          <w:rFonts w:ascii="Times New Roman" w:hAnsi="Times New Roman" w:eastAsia="宋体" w:cs="宋体"/>
          <w:bCs/>
          <w:color w:val="auto"/>
          <w:kern w:val="2"/>
          <w:sz w:val="21"/>
          <w:szCs w:val="21"/>
          <w:highlight w:val="none"/>
          <w:lang w:val="en-US" w:eastAsia="zh-CN" w:bidi="ar-SA"/>
        </w:rPr>
      </w:pPr>
      <w:r>
        <w:rPr>
          <w:rFonts w:hint="eastAsia" w:ascii="Times New Roman" w:hAnsi="Times New Roman" w:eastAsia="宋体" w:cs="宋体"/>
          <w:bCs/>
          <w:color w:val="auto"/>
          <w:kern w:val="2"/>
          <w:sz w:val="21"/>
          <w:szCs w:val="21"/>
          <w:highlight w:val="none"/>
          <w:lang w:val="en-US" w:eastAsia="zh-CN" w:bidi="ar-SA"/>
        </w:rPr>
        <w:t>④铝塑窗安装时与墙体或拼樘连接必须牢固，连接件或预埋件的形式、数量、位置和埋设连接方法必须符合相关国家标准、规范、规程和规定；</w:t>
      </w:r>
    </w:p>
    <w:p w14:paraId="6C835819">
      <w:pPr>
        <w:widowControl w:val="0"/>
        <w:numPr>
          <w:ilvl w:val="255"/>
          <w:numId w:val="0"/>
        </w:numPr>
        <w:spacing w:line="400" w:lineRule="exact"/>
        <w:ind w:firstLine="420" w:firstLineChars="200"/>
        <w:jc w:val="both"/>
        <w:rPr>
          <w:rFonts w:ascii="Times New Roman" w:hAnsi="Times New Roman" w:eastAsia="宋体" w:cs="宋体"/>
          <w:bCs/>
          <w:color w:val="auto"/>
          <w:kern w:val="2"/>
          <w:sz w:val="21"/>
          <w:szCs w:val="21"/>
          <w:highlight w:val="none"/>
          <w:lang w:val="en-US" w:eastAsia="zh-CN" w:bidi="ar-SA"/>
        </w:rPr>
      </w:pPr>
      <w:r>
        <w:rPr>
          <w:rFonts w:hint="eastAsia" w:ascii="Times New Roman" w:hAnsi="Times New Roman" w:eastAsia="宋体" w:cs="宋体"/>
          <w:bCs/>
          <w:color w:val="auto"/>
          <w:kern w:val="2"/>
          <w:sz w:val="21"/>
          <w:szCs w:val="21"/>
          <w:highlight w:val="none"/>
          <w:lang w:val="en-US" w:eastAsia="zh-CN" w:bidi="ar-SA"/>
        </w:rPr>
        <w:t>⑤铝塑窗安装时窗框与墙体之间空隙必须采用聚氨酯发泡填充剂密封，严禁直接采用水泥砂浆填塞；</w:t>
      </w:r>
    </w:p>
    <w:p w14:paraId="386CA33C">
      <w:pPr>
        <w:widowControl w:val="0"/>
        <w:numPr>
          <w:ilvl w:val="255"/>
          <w:numId w:val="0"/>
        </w:numPr>
        <w:spacing w:line="400" w:lineRule="exact"/>
        <w:ind w:firstLine="420" w:firstLineChars="200"/>
        <w:jc w:val="both"/>
        <w:rPr>
          <w:rFonts w:ascii="Times New Roman" w:hAnsi="Times New Roman" w:eastAsia="宋体" w:cs="宋体"/>
          <w:bCs/>
          <w:color w:val="auto"/>
          <w:kern w:val="2"/>
          <w:sz w:val="21"/>
          <w:szCs w:val="21"/>
          <w:highlight w:val="none"/>
          <w:lang w:val="en-US" w:eastAsia="zh-CN" w:bidi="ar-SA"/>
        </w:rPr>
      </w:pPr>
      <w:r>
        <w:rPr>
          <w:rFonts w:hint="eastAsia" w:ascii="Times New Roman" w:hAnsi="Times New Roman" w:eastAsia="宋体" w:cs="宋体"/>
          <w:bCs/>
          <w:color w:val="auto"/>
          <w:kern w:val="2"/>
          <w:sz w:val="21"/>
          <w:szCs w:val="21"/>
          <w:highlight w:val="none"/>
          <w:lang w:val="en-US" w:eastAsia="zh-CN" w:bidi="ar-SA"/>
        </w:rPr>
        <w:t>⑥铝塑窗安装完毕，必须关闭严密、间隙均匀、开关灵活、便于维修和玻璃与五金配件的更换。</w:t>
      </w:r>
    </w:p>
    <w:p w14:paraId="126C4C48">
      <w:pPr>
        <w:widowControl w:val="0"/>
        <w:numPr>
          <w:ilvl w:val="0"/>
          <w:numId w:val="11"/>
        </w:numPr>
        <w:spacing w:line="400" w:lineRule="exact"/>
        <w:ind w:left="0" w:firstLine="420"/>
        <w:jc w:val="both"/>
        <w:rPr>
          <w:rFonts w:ascii="Times New Roman" w:hAnsi="Times New Roman" w:eastAsia="宋体" w:cs="宋体"/>
          <w:b/>
          <w:color w:val="auto"/>
          <w:kern w:val="2"/>
          <w:sz w:val="21"/>
          <w:szCs w:val="21"/>
          <w:highlight w:val="none"/>
          <w:lang w:val="en-US" w:eastAsia="zh-CN" w:bidi="ar-SA"/>
        </w:rPr>
      </w:pPr>
      <w:r>
        <w:rPr>
          <w:rFonts w:hint="eastAsia" w:ascii="Times New Roman" w:hAnsi="Times New Roman" w:eastAsia="宋体" w:cs="宋体"/>
          <w:b/>
          <w:color w:val="auto"/>
          <w:kern w:val="2"/>
          <w:sz w:val="21"/>
          <w:szCs w:val="21"/>
          <w:highlight w:val="none"/>
          <w:lang w:val="en-US" w:eastAsia="zh-CN" w:bidi="ar-SA"/>
        </w:rPr>
        <w:t>钢纱窗技术参数及质量要求</w:t>
      </w:r>
    </w:p>
    <w:p w14:paraId="4EFD3A52">
      <w:pPr>
        <w:numPr>
          <w:ilvl w:val="0"/>
          <w:numId w:val="13"/>
        </w:numPr>
        <w:spacing w:line="400" w:lineRule="exact"/>
        <w:ind w:firstLine="420" w:firstLineChars="200"/>
        <w:rPr>
          <w:rFonts w:ascii="Times New Roman" w:hAnsi="Times New Roman" w:eastAsia="宋体" w:cs="宋体"/>
          <w:bCs/>
          <w:color w:val="auto"/>
          <w:sz w:val="21"/>
          <w:szCs w:val="21"/>
          <w:highlight w:val="none"/>
        </w:rPr>
      </w:pPr>
      <w:r>
        <w:rPr>
          <w:rFonts w:hint="eastAsia" w:ascii="Times New Roman" w:hAnsi="Times New Roman" w:eastAsia="宋体" w:cs="宋体"/>
          <w:bCs/>
          <w:color w:val="auto"/>
          <w:sz w:val="21"/>
          <w:szCs w:val="21"/>
          <w:highlight w:val="none"/>
        </w:rPr>
        <w:t>符合国家有关标准、规范及相关的技术文件；</w:t>
      </w:r>
    </w:p>
    <w:p w14:paraId="614061FE">
      <w:pPr>
        <w:spacing w:line="400" w:lineRule="exact"/>
        <w:ind w:firstLine="420" w:firstLineChars="200"/>
        <w:rPr>
          <w:rFonts w:ascii="Times New Roman" w:hAnsi="Times New Roman" w:eastAsia="宋体" w:cs="宋体"/>
          <w:bCs/>
          <w:color w:val="auto"/>
          <w:sz w:val="21"/>
          <w:szCs w:val="21"/>
          <w:highlight w:val="none"/>
        </w:rPr>
      </w:pPr>
      <w:r>
        <w:rPr>
          <w:rFonts w:hint="eastAsia" w:ascii="Times New Roman" w:hAnsi="Times New Roman" w:eastAsia="宋体" w:cs="宋体"/>
          <w:bCs/>
          <w:color w:val="auto"/>
          <w:sz w:val="21"/>
          <w:szCs w:val="21"/>
          <w:highlight w:val="none"/>
        </w:rPr>
        <w:t>包括且不仅限于下列技术标准、文件</w:t>
      </w:r>
    </w:p>
    <w:p w14:paraId="596E99FD">
      <w:pPr>
        <w:spacing w:line="400" w:lineRule="exact"/>
        <w:ind w:firstLine="420" w:firstLineChars="200"/>
        <w:rPr>
          <w:rFonts w:ascii="Times New Roman" w:hAnsi="Times New Roman" w:eastAsia="宋体" w:cs="宋体"/>
          <w:bCs/>
          <w:color w:val="auto"/>
          <w:sz w:val="21"/>
          <w:szCs w:val="21"/>
          <w:highlight w:val="none"/>
        </w:rPr>
      </w:pPr>
      <w:r>
        <w:rPr>
          <w:rFonts w:hint="eastAsia" w:ascii="Times New Roman" w:hAnsi="Times New Roman" w:eastAsia="宋体" w:cs="宋体"/>
          <w:bCs/>
          <w:color w:val="auto"/>
          <w:sz w:val="21"/>
          <w:szCs w:val="21"/>
          <w:highlight w:val="none"/>
        </w:rPr>
        <w:t>《纱窗通用技术条件》（QB∕T4286-2012）</w:t>
      </w:r>
    </w:p>
    <w:p w14:paraId="4EDEDBFA">
      <w:pPr>
        <w:spacing w:line="400" w:lineRule="exact"/>
        <w:ind w:firstLine="420" w:firstLineChars="200"/>
        <w:rPr>
          <w:rFonts w:ascii="Times New Roman" w:hAnsi="Times New Roman" w:eastAsia="宋体" w:cs="宋体"/>
          <w:bCs/>
          <w:color w:val="auto"/>
          <w:sz w:val="21"/>
          <w:szCs w:val="21"/>
          <w:highlight w:val="none"/>
        </w:rPr>
      </w:pPr>
      <w:r>
        <w:rPr>
          <w:rFonts w:hint="eastAsia" w:ascii="Times New Roman" w:hAnsi="Times New Roman" w:eastAsia="宋体" w:cs="宋体"/>
          <w:bCs/>
          <w:color w:val="auto"/>
          <w:sz w:val="21"/>
          <w:szCs w:val="21"/>
          <w:highlight w:val="none"/>
        </w:rPr>
        <w:t>《铝合金建筑型材》（GB/T5237.1-2017）</w:t>
      </w:r>
    </w:p>
    <w:p w14:paraId="29BCDD5C">
      <w:pPr>
        <w:spacing w:line="400" w:lineRule="exact"/>
        <w:ind w:firstLine="420" w:firstLineChars="200"/>
        <w:rPr>
          <w:rFonts w:ascii="Times New Roman" w:hAnsi="Times New Roman" w:eastAsia="宋体" w:cs="宋体"/>
          <w:bCs/>
          <w:color w:val="auto"/>
          <w:sz w:val="21"/>
          <w:szCs w:val="21"/>
          <w:highlight w:val="none"/>
        </w:rPr>
      </w:pPr>
      <w:r>
        <w:rPr>
          <w:rFonts w:hint="eastAsia" w:ascii="Times New Roman" w:hAnsi="Times New Roman" w:eastAsia="宋体" w:cs="宋体"/>
          <w:bCs/>
          <w:color w:val="auto"/>
          <w:sz w:val="21"/>
          <w:szCs w:val="21"/>
          <w:highlight w:val="none"/>
        </w:rPr>
        <w:t>2、按照公寓现有窗户的规格进行设计，颜色与原有窗户一致，保证安装效果。</w:t>
      </w:r>
    </w:p>
    <w:p w14:paraId="250A0471">
      <w:pPr>
        <w:spacing w:line="400" w:lineRule="exact"/>
        <w:ind w:firstLine="420" w:firstLineChars="200"/>
        <w:rPr>
          <w:rFonts w:ascii="Times New Roman" w:hAnsi="Times New Roman" w:eastAsia="宋体" w:cs="宋体"/>
          <w:bCs/>
          <w:color w:val="auto"/>
          <w:sz w:val="21"/>
          <w:szCs w:val="21"/>
          <w:highlight w:val="none"/>
        </w:rPr>
      </w:pPr>
      <w:r>
        <w:rPr>
          <w:rFonts w:hint="eastAsia" w:ascii="Times New Roman" w:hAnsi="Times New Roman" w:eastAsia="宋体" w:cs="宋体"/>
          <w:bCs/>
          <w:color w:val="auto"/>
          <w:sz w:val="21"/>
          <w:szCs w:val="21"/>
          <w:highlight w:val="none"/>
        </w:rPr>
        <w:t>3、铝纱窗型材采用信诚品牌30系列铝合金型材（具体以甲方封样为准），基材可视面壁厚不低于0.6mm厚，实际测量厚度不得小于0.55mm，铝合金纱窗型材的材质采用6063-T5（执行《铝合金门窗》GB/T8478-2008）</w:t>
      </w:r>
    </w:p>
    <w:p w14:paraId="604D8614">
      <w:pPr>
        <w:spacing w:line="400" w:lineRule="exact"/>
        <w:ind w:firstLine="420" w:firstLineChars="200"/>
        <w:rPr>
          <w:rFonts w:ascii="Times New Roman" w:hAnsi="Times New Roman" w:eastAsia="宋体" w:cs="宋体"/>
          <w:bCs/>
          <w:color w:val="auto"/>
          <w:sz w:val="21"/>
          <w:szCs w:val="21"/>
          <w:highlight w:val="none"/>
        </w:rPr>
      </w:pPr>
      <w:r>
        <w:rPr>
          <w:rFonts w:hint="eastAsia" w:ascii="Times New Roman" w:hAnsi="Times New Roman" w:eastAsia="宋体" w:cs="宋体"/>
          <w:bCs/>
          <w:color w:val="auto"/>
          <w:sz w:val="21"/>
          <w:szCs w:val="21"/>
          <w:highlight w:val="none"/>
        </w:rPr>
        <w:t>4、外框铝型材厚度30mm，内框厚度24mm，内框宽度27mm；</w:t>
      </w:r>
    </w:p>
    <w:p w14:paraId="6E072131">
      <w:pPr>
        <w:spacing w:line="400" w:lineRule="exact"/>
        <w:ind w:firstLine="420" w:firstLineChars="200"/>
        <w:rPr>
          <w:rFonts w:ascii="Times New Roman" w:hAnsi="Times New Roman" w:eastAsia="宋体" w:cs="宋体"/>
          <w:bCs/>
          <w:color w:val="auto"/>
          <w:sz w:val="21"/>
          <w:szCs w:val="21"/>
          <w:highlight w:val="none"/>
        </w:rPr>
      </w:pPr>
      <w:r>
        <w:rPr>
          <w:rFonts w:hint="eastAsia" w:ascii="Times New Roman" w:hAnsi="Times New Roman" w:eastAsia="宋体" w:cs="宋体"/>
          <w:bCs/>
          <w:color w:val="auto"/>
          <w:sz w:val="21"/>
          <w:szCs w:val="21"/>
          <w:highlight w:val="none"/>
        </w:rPr>
        <w:t>5、铝型材外表面颜色与原有窗户一致，铝型材需进行粉末喷涂处理，涂层不得出现气泡、裂纹、斑点、条纹、分离等明显缺陷，颜色变化不大于5。</w:t>
      </w:r>
    </w:p>
    <w:p w14:paraId="5526997D">
      <w:pPr>
        <w:spacing w:line="400" w:lineRule="exact"/>
        <w:ind w:firstLine="420" w:firstLineChars="200"/>
        <w:rPr>
          <w:rFonts w:ascii="Times New Roman" w:hAnsi="Times New Roman" w:eastAsia="宋体" w:cs="宋体"/>
          <w:bCs/>
          <w:color w:val="auto"/>
          <w:sz w:val="21"/>
          <w:szCs w:val="21"/>
          <w:highlight w:val="none"/>
        </w:rPr>
      </w:pPr>
      <w:r>
        <w:rPr>
          <w:rFonts w:hint="eastAsia" w:ascii="Times New Roman" w:hAnsi="Times New Roman" w:eastAsia="宋体" w:cs="宋体"/>
          <w:bCs/>
          <w:color w:val="auto"/>
          <w:sz w:val="21"/>
          <w:szCs w:val="21"/>
          <w:highlight w:val="none"/>
        </w:rPr>
        <w:t>6、铝合金型材的材质采用国产优质铝锭加工而成，铝合金型材质量应符合现行国家标准《铝合金建筑型材》GB/T5237.1-2017的规定</w:t>
      </w:r>
    </w:p>
    <w:p w14:paraId="746CB97F">
      <w:pPr>
        <w:spacing w:line="400" w:lineRule="exact"/>
        <w:ind w:firstLine="420" w:firstLineChars="200"/>
        <w:jc w:val="left"/>
        <w:rPr>
          <w:rFonts w:ascii="Times New Roman" w:hAnsi="Times New Roman" w:eastAsia="宋体" w:cs="宋体"/>
          <w:bCs/>
          <w:color w:val="auto"/>
          <w:sz w:val="21"/>
          <w:szCs w:val="21"/>
          <w:highlight w:val="none"/>
        </w:rPr>
      </w:pPr>
      <w:r>
        <w:rPr>
          <w:rFonts w:hint="eastAsia" w:ascii="Times New Roman" w:hAnsi="Times New Roman" w:eastAsia="宋体" w:cs="宋体"/>
          <w:bCs/>
          <w:color w:val="auto"/>
          <w:sz w:val="21"/>
          <w:szCs w:val="21"/>
          <w:highlight w:val="none"/>
        </w:rPr>
        <w:t>7、金钢纱网配置：</w:t>
      </w:r>
    </w:p>
    <w:p w14:paraId="57E2AB52">
      <w:pPr>
        <w:spacing w:line="400" w:lineRule="exact"/>
        <w:ind w:firstLine="420" w:firstLineChars="200"/>
        <w:jc w:val="left"/>
        <w:rPr>
          <w:rFonts w:ascii="Times New Roman" w:hAnsi="Times New Roman" w:eastAsia="宋体" w:cs="宋体"/>
          <w:bCs/>
          <w:color w:val="auto"/>
          <w:sz w:val="21"/>
          <w:szCs w:val="21"/>
          <w:highlight w:val="none"/>
        </w:rPr>
      </w:pPr>
      <w:r>
        <w:rPr>
          <w:rFonts w:hint="eastAsia" w:ascii="Times New Roman" w:hAnsi="Times New Roman" w:eastAsia="宋体" w:cs="宋体"/>
          <w:bCs/>
          <w:color w:val="auto"/>
          <w:sz w:val="21"/>
          <w:szCs w:val="21"/>
          <w:highlight w:val="none"/>
        </w:rPr>
        <w:t>（1）采用品牌金钢纱网；</w:t>
      </w:r>
    </w:p>
    <w:p w14:paraId="241E200F">
      <w:pPr>
        <w:spacing w:line="400" w:lineRule="exact"/>
        <w:ind w:firstLine="420" w:firstLineChars="200"/>
        <w:rPr>
          <w:rFonts w:ascii="Times New Roman" w:hAnsi="Times New Roman" w:eastAsia="宋体" w:cs="宋体"/>
          <w:bCs/>
          <w:color w:val="auto"/>
          <w:sz w:val="21"/>
          <w:szCs w:val="21"/>
          <w:highlight w:val="none"/>
        </w:rPr>
      </w:pPr>
      <w:r>
        <w:rPr>
          <w:rFonts w:hint="eastAsia" w:ascii="Times New Roman" w:hAnsi="Times New Roman" w:eastAsia="宋体" w:cs="宋体"/>
          <w:bCs/>
          <w:color w:val="auto"/>
          <w:sz w:val="21"/>
          <w:szCs w:val="21"/>
          <w:highlight w:val="none"/>
        </w:rPr>
        <w:t>（2）纱网为304不锈钢，目数为13目，孔距0.6mm，拉断力不小于30KG</w:t>
      </w:r>
    </w:p>
    <w:p w14:paraId="536C4EE8">
      <w:pPr>
        <w:spacing w:line="400" w:lineRule="exact"/>
        <w:ind w:firstLine="420" w:firstLineChars="200"/>
        <w:jc w:val="left"/>
        <w:rPr>
          <w:rFonts w:ascii="Times New Roman" w:hAnsi="Times New Roman" w:eastAsia="宋体" w:cs="宋体"/>
          <w:bCs/>
          <w:color w:val="auto"/>
          <w:sz w:val="21"/>
          <w:szCs w:val="21"/>
          <w:highlight w:val="none"/>
        </w:rPr>
      </w:pPr>
      <w:r>
        <w:rPr>
          <w:rFonts w:hint="eastAsia" w:ascii="Times New Roman" w:hAnsi="Times New Roman" w:eastAsia="宋体" w:cs="宋体"/>
          <w:bCs/>
          <w:color w:val="auto"/>
          <w:sz w:val="21"/>
          <w:szCs w:val="21"/>
          <w:highlight w:val="none"/>
        </w:rPr>
        <w:t>8.锁具：</w:t>
      </w:r>
    </w:p>
    <w:p w14:paraId="5437D40E">
      <w:pPr>
        <w:spacing w:line="400" w:lineRule="exact"/>
        <w:ind w:firstLine="420" w:firstLineChars="200"/>
        <w:rPr>
          <w:rFonts w:ascii="Times New Roman" w:hAnsi="Times New Roman" w:eastAsia="宋体" w:cs="宋体"/>
          <w:bCs/>
          <w:color w:val="auto"/>
          <w:sz w:val="21"/>
          <w:szCs w:val="21"/>
          <w:highlight w:val="none"/>
        </w:rPr>
      </w:pPr>
      <w:r>
        <w:rPr>
          <w:rFonts w:hint="eastAsia" w:ascii="Times New Roman" w:hAnsi="Times New Roman" w:eastAsia="宋体" w:cs="宋体"/>
          <w:bCs/>
          <w:color w:val="auto"/>
          <w:sz w:val="21"/>
          <w:szCs w:val="21"/>
          <w:highlight w:val="none"/>
        </w:rPr>
        <w:t>采用可拆卸框中框式纱窗，配置红绿锁（带钥匙）式锁闭锁具；</w:t>
      </w:r>
    </w:p>
    <w:p w14:paraId="107DEE6E">
      <w:pPr>
        <w:spacing w:line="360" w:lineRule="auto"/>
        <w:jc w:val="center"/>
        <w:rPr>
          <w:rFonts w:ascii="Times New Roman" w:hAnsi="Times New Roman" w:eastAsia="微软雅黑" w:cs="宋体"/>
          <w:color w:val="auto"/>
          <w:sz w:val="24"/>
          <w:szCs w:val="24"/>
          <w:highlight w:val="none"/>
        </w:rPr>
      </w:pPr>
      <w:r>
        <w:rPr>
          <w:rFonts w:hint="eastAsia" w:ascii="Times New Roman" w:hAnsi="Times New Roman" w:eastAsia="微软雅黑" w:cs="宋体"/>
          <w:color w:val="auto"/>
          <w:sz w:val="24"/>
          <w:szCs w:val="24"/>
          <w:highlight w:val="none"/>
        </w:rPr>
        <w:drawing>
          <wp:inline distT="0" distB="0" distL="0" distR="0">
            <wp:extent cx="3168650" cy="2374265"/>
            <wp:effectExtent l="0" t="0" r="12700" b="6985"/>
            <wp:docPr id="10" name="图片 10" descr="3be5966fe2cf024d3d90abb0816aa8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3be5966fe2cf024d3d90abb0816aa8c"/>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174087" cy="2378596"/>
                    </a:xfrm>
                    <a:prstGeom prst="rect">
                      <a:avLst/>
                    </a:prstGeom>
                    <a:noFill/>
                    <a:ln>
                      <a:noFill/>
                    </a:ln>
                  </pic:spPr>
                </pic:pic>
              </a:graphicData>
            </a:graphic>
          </wp:inline>
        </w:drawing>
      </w:r>
    </w:p>
    <w:p w14:paraId="37E4AA0C">
      <w:pPr>
        <w:spacing w:line="400" w:lineRule="exact"/>
        <w:jc w:val="center"/>
        <w:rPr>
          <w:rFonts w:ascii="Times New Roman" w:hAnsi="Times New Roman" w:eastAsia="宋体" w:cs="宋体"/>
          <w:bCs/>
          <w:color w:val="auto"/>
          <w:sz w:val="21"/>
          <w:szCs w:val="21"/>
          <w:highlight w:val="none"/>
        </w:rPr>
      </w:pPr>
      <w:r>
        <w:rPr>
          <w:rFonts w:hint="eastAsia" w:ascii="Times New Roman" w:hAnsi="Times New Roman" w:eastAsia="宋体" w:cs="宋体"/>
          <w:bCs/>
          <w:color w:val="auto"/>
          <w:sz w:val="21"/>
          <w:szCs w:val="21"/>
          <w:highlight w:val="none"/>
        </w:rPr>
        <w:t>钢纱窗样式</w:t>
      </w:r>
    </w:p>
    <w:p w14:paraId="68BC6937">
      <w:pPr>
        <w:spacing w:line="400" w:lineRule="exact"/>
        <w:rPr>
          <w:rFonts w:ascii="Times New Roman" w:hAnsi="Times New Roman" w:eastAsia="宋体" w:cs="宋体"/>
          <w:bCs/>
          <w:color w:val="auto"/>
          <w:sz w:val="21"/>
          <w:szCs w:val="21"/>
          <w:highlight w:val="none"/>
        </w:rPr>
      </w:pPr>
      <w:r>
        <w:rPr>
          <w:rFonts w:hint="eastAsia" w:ascii="Times New Roman" w:hAnsi="Times New Roman" w:eastAsia="宋体" w:cs="宋体"/>
          <w:bCs/>
          <w:color w:val="auto"/>
          <w:sz w:val="21"/>
          <w:szCs w:val="21"/>
          <w:highlight w:val="none"/>
        </w:rPr>
        <w:t>9、加工要求：</w:t>
      </w:r>
    </w:p>
    <w:p w14:paraId="11ED9231">
      <w:pPr>
        <w:spacing w:line="400" w:lineRule="exact"/>
        <w:rPr>
          <w:rFonts w:ascii="Times New Roman" w:hAnsi="Times New Roman" w:eastAsia="宋体" w:cs="宋体"/>
          <w:bCs/>
          <w:color w:val="auto"/>
          <w:sz w:val="21"/>
          <w:szCs w:val="21"/>
          <w:highlight w:val="none"/>
        </w:rPr>
      </w:pPr>
      <w:r>
        <w:rPr>
          <w:rFonts w:hint="eastAsia" w:ascii="Times New Roman" w:hAnsi="Times New Roman" w:eastAsia="宋体" w:cs="宋体"/>
          <w:bCs/>
          <w:color w:val="auto"/>
          <w:sz w:val="21"/>
          <w:szCs w:val="21"/>
          <w:highlight w:val="none"/>
        </w:rPr>
        <w:t>（1）框角部组角配件采用成品铝质角码，避免扭拧变形及缝隙出现。</w:t>
      </w:r>
    </w:p>
    <w:p w14:paraId="1D67C4CD">
      <w:pPr>
        <w:spacing w:line="400" w:lineRule="exact"/>
        <w:rPr>
          <w:rFonts w:ascii="Times New Roman" w:hAnsi="Times New Roman" w:eastAsia="宋体" w:cs="宋体"/>
          <w:bCs/>
          <w:color w:val="auto"/>
          <w:sz w:val="21"/>
          <w:szCs w:val="21"/>
          <w:highlight w:val="none"/>
        </w:rPr>
      </w:pPr>
      <w:r>
        <w:rPr>
          <w:rFonts w:hint="eastAsia" w:ascii="Times New Roman" w:hAnsi="Times New Roman" w:eastAsia="宋体" w:cs="宋体"/>
          <w:bCs/>
          <w:color w:val="auto"/>
          <w:sz w:val="21"/>
          <w:szCs w:val="21"/>
          <w:highlight w:val="none"/>
        </w:rPr>
        <w:t>（2）纱窗角部采用铝角码组角工艺，框、扇角45度连接处的强度，保证角部强度要求，确保成品在运输、安装后无任何变形移位现象的出现。</w:t>
      </w:r>
    </w:p>
    <w:p w14:paraId="3258D54F">
      <w:pPr>
        <w:spacing w:line="400" w:lineRule="exact"/>
        <w:rPr>
          <w:rFonts w:ascii="Times New Roman" w:hAnsi="Times New Roman" w:eastAsia="宋体" w:cs="宋体"/>
          <w:bCs/>
          <w:color w:val="auto"/>
          <w:sz w:val="21"/>
          <w:szCs w:val="21"/>
          <w:highlight w:val="none"/>
        </w:rPr>
      </w:pPr>
      <w:r>
        <w:rPr>
          <w:rFonts w:hint="eastAsia" w:ascii="Times New Roman" w:hAnsi="Times New Roman" w:eastAsia="宋体" w:cs="宋体"/>
          <w:bCs/>
          <w:color w:val="auto"/>
          <w:sz w:val="21"/>
          <w:szCs w:val="21"/>
          <w:highlight w:val="none"/>
        </w:rPr>
        <w:t>（3）纱网挂网采用4*16自攻钉安装，每扇安装钉数量不少于16支。</w:t>
      </w:r>
    </w:p>
    <w:p w14:paraId="3E661512">
      <w:pPr>
        <w:spacing w:line="400" w:lineRule="exact"/>
        <w:rPr>
          <w:rFonts w:ascii="Times New Roman" w:hAnsi="Times New Roman" w:eastAsia="宋体" w:cs="宋体"/>
          <w:bCs/>
          <w:color w:val="auto"/>
          <w:sz w:val="21"/>
          <w:szCs w:val="21"/>
          <w:highlight w:val="none"/>
        </w:rPr>
      </w:pPr>
      <w:r>
        <w:rPr>
          <w:rFonts w:hint="eastAsia" w:ascii="Times New Roman" w:hAnsi="Times New Roman" w:eastAsia="宋体" w:cs="宋体"/>
          <w:bCs/>
          <w:color w:val="auto"/>
          <w:sz w:val="21"/>
          <w:szCs w:val="21"/>
          <w:highlight w:val="none"/>
        </w:rPr>
        <w:t>10、安装方式：</w:t>
      </w:r>
    </w:p>
    <w:p w14:paraId="56EE0C01">
      <w:pPr>
        <w:spacing w:line="400" w:lineRule="exact"/>
        <w:rPr>
          <w:rFonts w:ascii="Times New Roman" w:hAnsi="Times New Roman" w:eastAsia="宋体" w:cs="宋体"/>
          <w:bCs/>
          <w:color w:val="auto"/>
          <w:sz w:val="21"/>
          <w:szCs w:val="21"/>
          <w:highlight w:val="none"/>
        </w:rPr>
      </w:pPr>
      <w:r>
        <w:rPr>
          <w:rFonts w:hint="eastAsia" w:ascii="Times New Roman" w:hAnsi="Times New Roman" w:eastAsia="宋体" w:cs="宋体"/>
          <w:bCs/>
          <w:color w:val="auto"/>
          <w:sz w:val="21"/>
          <w:szCs w:val="21"/>
          <w:highlight w:val="none"/>
        </w:rPr>
        <w:t>（1）精确测量窗子安装位置的尺寸；</w:t>
      </w:r>
    </w:p>
    <w:p w14:paraId="43EB3E03">
      <w:pPr>
        <w:spacing w:line="400" w:lineRule="exact"/>
        <w:rPr>
          <w:rFonts w:ascii="Times New Roman" w:hAnsi="Times New Roman" w:eastAsia="宋体" w:cs="宋体"/>
          <w:bCs/>
          <w:color w:val="auto"/>
          <w:sz w:val="21"/>
          <w:szCs w:val="21"/>
          <w:highlight w:val="none"/>
        </w:rPr>
      </w:pPr>
      <w:r>
        <w:rPr>
          <w:rFonts w:hint="eastAsia" w:ascii="Times New Roman" w:hAnsi="Times New Roman" w:eastAsia="宋体" w:cs="宋体"/>
          <w:bCs/>
          <w:color w:val="auto"/>
          <w:sz w:val="21"/>
          <w:szCs w:val="21"/>
          <w:highlight w:val="none"/>
        </w:rPr>
        <w:t>（2）将铝材框对窗空摆放齐，依据测量的尺寸确认安装开孔位置。</w:t>
      </w:r>
    </w:p>
    <w:p w14:paraId="6C5BBB32">
      <w:pPr>
        <w:spacing w:line="400" w:lineRule="exact"/>
        <w:rPr>
          <w:rFonts w:ascii="Times New Roman" w:hAnsi="Times New Roman" w:eastAsia="宋体" w:cs="宋体"/>
          <w:bCs/>
          <w:color w:val="auto"/>
          <w:sz w:val="21"/>
          <w:szCs w:val="21"/>
          <w:highlight w:val="none"/>
        </w:rPr>
      </w:pPr>
      <w:r>
        <w:rPr>
          <w:rFonts w:hint="eastAsia" w:ascii="Times New Roman" w:hAnsi="Times New Roman" w:eastAsia="宋体" w:cs="宋体"/>
          <w:bCs/>
          <w:color w:val="auto"/>
          <w:sz w:val="21"/>
          <w:szCs w:val="21"/>
          <w:highlight w:val="none"/>
        </w:rPr>
        <w:t>（3）根据安装位置需要在窗框上钻4mm孔（孔的尺寸为所选用安装钉的直径）。采用4*40钻尾钉。</w:t>
      </w:r>
    </w:p>
    <w:p w14:paraId="29F37C36">
      <w:pPr>
        <w:spacing w:line="400" w:lineRule="exact"/>
        <w:rPr>
          <w:rFonts w:ascii="Times New Roman" w:hAnsi="Times New Roman" w:eastAsia="宋体" w:cs="宋体"/>
          <w:bCs/>
          <w:color w:val="auto"/>
          <w:sz w:val="21"/>
          <w:szCs w:val="21"/>
          <w:highlight w:val="none"/>
        </w:rPr>
      </w:pPr>
      <w:r>
        <w:rPr>
          <w:rFonts w:hint="eastAsia" w:ascii="Times New Roman" w:hAnsi="Times New Roman" w:eastAsia="宋体" w:cs="宋体"/>
          <w:bCs/>
          <w:color w:val="auto"/>
          <w:sz w:val="21"/>
          <w:szCs w:val="21"/>
          <w:highlight w:val="none"/>
        </w:rPr>
        <w:t>（4）根据窗的高度确定横向钻尾钉的数量，（一般以150cm间距）确保十字扣呈水平直线。</w:t>
      </w:r>
    </w:p>
    <w:p w14:paraId="55759765">
      <w:pPr>
        <w:numPr>
          <w:ilvl w:val="0"/>
          <w:numId w:val="9"/>
        </w:numPr>
        <w:spacing w:before="100" w:after="100" w:line="440" w:lineRule="exact"/>
        <w:ind w:left="840" w:hanging="420"/>
        <w:outlineLvl w:val="1"/>
        <w:rPr>
          <w:rFonts w:ascii="Times New Roman" w:hAnsi="Times New Roman" w:eastAsia="微软雅黑" w:cs="宋体"/>
          <w:b/>
          <w:color w:val="auto"/>
          <w:sz w:val="28"/>
          <w:szCs w:val="28"/>
          <w:highlight w:val="none"/>
        </w:rPr>
      </w:pPr>
      <w:bookmarkStart w:id="9" w:name="_Toc170372526"/>
      <w:r>
        <w:rPr>
          <w:rFonts w:hint="eastAsia" w:ascii="Times New Roman" w:hAnsi="Times New Roman" w:eastAsia="微软雅黑" w:cs="宋体"/>
          <w:b/>
          <w:color w:val="auto"/>
          <w:sz w:val="28"/>
          <w:szCs w:val="28"/>
          <w:highlight w:val="none"/>
        </w:rPr>
        <w:t>现场施工及安全文明施工要求</w:t>
      </w:r>
      <w:bookmarkEnd w:id="9"/>
    </w:p>
    <w:p w14:paraId="0F4BEBCD">
      <w:pPr>
        <w:widowControl w:val="0"/>
        <w:numPr>
          <w:ilvl w:val="0"/>
          <w:numId w:val="14"/>
        </w:numPr>
        <w:spacing w:line="400" w:lineRule="exact"/>
        <w:ind w:firstLine="420" w:firstLineChars="200"/>
        <w:jc w:val="both"/>
        <w:rPr>
          <w:rFonts w:ascii="Times New Roman" w:hAnsi="Times New Roman" w:eastAsia="宋体" w:cs="宋体"/>
          <w:color w:val="auto"/>
          <w:kern w:val="2"/>
          <w:sz w:val="21"/>
          <w:szCs w:val="21"/>
          <w:highlight w:val="none"/>
          <w:lang w:val="en-US" w:eastAsia="zh-CN" w:bidi="ar-SA"/>
        </w:rPr>
      </w:pPr>
      <w:r>
        <w:rPr>
          <w:rFonts w:hint="eastAsia" w:ascii="Times New Roman" w:hAnsi="Times New Roman" w:eastAsia="宋体" w:cs="宋体"/>
          <w:color w:val="auto"/>
          <w:kern w:val="2"/>
          <w:sz w:val="21"/>
          <w:szCs w:val="21"/>
          <w:highlight w:val="none"/>
          <w:lang w:val="en-US" w:eastAsia="zh-CN" w:bidi="ar-SA"/>
        </w:rPr>
        <w:t>场容场貌：现场明显处设立按建设主管</w:t>
      </w:r>
      <w:r>
        <w:rPr>
          <w:rFonts w:ascii="Times New Roman" w:hAnsi="Times New Roman" w:eastAsia="宋体" w:cs="宋体"/>
          <w:color w:val="auto"/>
          <w:kern w:val="2"/>
          <w:sz w:val="21"/>
          <w:szCs w:val="21"/>
          <w:highlight w:val="none"/>
          <w:lang w:val="en-US" w:eastAsia="zh-CN" w:bidi="ar-SA"/>
        </w:rPr>
        <w:t>部门</w:t>
      </w:r>
      <w:r>
        <w:rPr>
          <w:rFonts w:hint="eastAsia" w:ascii="Times New Roman" w:hAnsi="Times New Roman" w:eastAsia="宋体" w:cs="宋体"/>
          <w:color w:val="auto"/>
          <w:kern w:val="2"/>
          <w:sz w:val="21"/>
          <w:szCs w:val="21"/>
          <w:highlight w:val="none"/>
          <w:lang w:val="en-US" w:eastAsia="zh-CN" w:bidi="ar-SA"/>
        </w:rPr>
        <w:t>规定的五牌一图（施工现场平面布置图、工程概况牌，管理人员名单及监督电话牌，消防保卫，〈防火责任〉安全生产记录牌，文明施工牌），严格按施工组织设计平面布置图施工。</w:t>
      </w:r>
    </w:p>
    <w:p w14:paraId="6248F898">
      <w:pPr>
        <w:widowControl w:val="0"/>
        <w:numPr>
          <w:ilvl w:val="255"/>
          <w:numId w:val="0"/>
        </w:numPr>
        <w:spacing w:line="400" w:lineRule="exact"/>
        <w:ind w:firstLine="413" w:firstLineChars="196"/>
        <w:jc w:val="both"/>
        <w:rPr>
          <w:rFonts w:ascii="Times New Roman" w:hAnsi="Times New Roman" w:eastAsia="宋体" w:cs="宋体"/>
          <w:b/>
          <w:color w:val="auto"/>
          <w:kern w:val="2"/>
          <w:sz w:val="21"/>
          <w:szCs w:val="21"/>
          <w:highlight w:val="none"/>
          <w:u w:val="single"/>
          <w:lang w:val="en-US" w:eastAsia="zh-CN" w:bidi="ar-SA"/>
        </w:rPr>
      </w:pPr>
      <w:r>
        <w:rPr>
          <w:rFonts w:hint="eastAsia" w:ascii="Times New Roman" w:hAnsi="Times New Roman" w:eastAsia="宋体" w:cs="宋体"/>
          <w:b/>
          <w:color w:val="auto"/>
          <w:kern w:val="2"/>
          <w:sz w:val="21"/>
          <w:szCs w:val="21"/>
          <w:highlight w:val="none"/>
          <w:u w:val="single"/>
          <w:lang w:val="en-US" w:eastAsia="zh-CN" w:bidi="ar-SA"/>
        </w:rPr>
        <w:t>严格遵守《哈尔滨工业大学总务处工程施工现场管理办法》、《哈尔滨工业大学总务处工程施工现场管理细则》、《哈工大施工现场安全隐患处罚条例》、《施工企业校园管理承诺书》及学校有关规章制度，进场施工进入校区，严格按校保卫处进出校园管理及入校园收费的有关规定执行。（相关规章制度附合同后）。</w:t>
      </w:r>
    </w:p>
    <w:p w14:paraId="5CFCA273">
      <w:pPr>
        <w:widowControl w:val="0"/>
        <w:numPr>
          <w:ilvl w:val="0"/>
          <w:numId w:val="14"/>
        </w:numPr>
        <w:spacing w:line="400" w:lineRule="exact"/>
        <w:ind w:firstLine="420" w:firstLineChars="200"/>
        <w:jc w:val="both"/>
        <w:rPr>
          <w:rFonts w:ascii="Times New Roman" w:hAnsi="Times New Roman" w:eastAsia="宋体" w:cs="宋体"/>
          <w:color w:val="auto"/>
          <w:kern w:val="2"/>
          <w:sz w:val="21"/>
          <w:szCs w:val="21"/>
          <w:highlight w:val="none"/>
          <w:lang w:val="en-US" w:eastAsia="zh-CN" w:bidi="ar-SA"/>
        </w:rPr>
      </w:pPr>
      <w:r>
        <w:rPr>
          <w:rFonts w:hint="eastAsia" w:ascii="Times New Roman" w:hAnsi="Times New Roman" w:eastAsia="宋体" w:cs="宋体"/>
          <w:color w:val="auto"/>
          <w:kern w:val="2"/>
          <w:sz w:val="21"/>
          <w:szCs w:val="21"/>
          <w:highlight w:val="none"/>
          <w:lang w:val="en-US" w:eastAsia="zh-CN" w:bidi="ar-SA"/>
        </w:rPr>
        <w:t>施工计划安排须考虑周全，并经采购人、监理方审核后方可实施。</w:t>
      </w:r>
    </w:p>
    <w:p w14:paraId="75222EB8">
      <w:pPr>
        <w:widowControl w:val="0"/>
        <w:numPr>
          <w:ilvl w:val="0"/>
          <w:numId w:val="14"/>
        </w:numPr>
        <w:spacing w:line="400" w:lineRule="exact"/>
        <w:ind w:firstLine="420" w:firstLineChars="200"/>
        <w:jc w:val="both"/>
        <w:rPr>
          <w:rFonts w:ascii="Times New Roman" w:hAnsi="Times New Roman" w:eastAsia="宋体" w:cs="宋体"/>
          <w:color w:val="auto"/>
          <w:kern w:val="2"/>
          <w:sz w:val="21"/>
          <w:szCs w:val="21"/>
          <w:highlight w:val="none"/>
          <w:lang w:val="en-US" w:eastAsia="zh-CN" w:bidi="ar-SA"/>
        </w:rPr>
      </w:pPr>
      <w:r>
        <w:rPr>
          <w:rFonts w:hint="eastAsia" w:ascii="Times New Roman" w:hAnsi="Times New Roman" w:eastAsia="宋体" w:cs="宋体"/>
          <w:color w:val="auto"/>
          <w:kern w:val="2"/>
          <w:sz w:val="21"/>
          <w:szCs w:val="21"/>
          <w:highlight w:val="none"/>
          <w:lang w:val="en-US" w:eastAsia="zh-CN" w:bidi="ar-SA"/>
        </w:rPr>
        <w:t>本工程施工管理，供应商应严格遵守国家及地方政府颁发的安全施工、文明施工等规范、条例，遵守采购人的现场管理规定。达不到文明工地标准，采购人即可勒令供应商停工整改。</w:t>
      </w:r>
    </w:p>
    <w:p w14:paraId="450C8659">
      <w:pPr>
        <w:widowControl w:val="0"/>
        <w:numPr>
          <w:ilvl w:val="0"/>
          <w:numId w:val="14"/>
        </w:numPr>
        <w:spacing w:line="400" w:lineRule="exact"/>
        <w:ind w:firstLine="420" w:firstLineChars="200"/>
        <w:jc w:val="both"/>
        <w:rPr>
          <w:rFonts w:ascii="Times New Roman" w:hAnsi="Times New Roman" w:eastAsia="宋体" w:cs="宋体"/>
          <w:bCs/>
          <w:color w:val="auto"/>
          <w:kern w:val="2"/>
          <w:sz w:val="21"/>
          <w:szCs w:val="21"/>
          <w:highlight w:val="none"/>
          <w:lang w:val="en-US" w:eastAsia="zh-CN" w:bidi="ar-SA"/>
        </w:rPr>
      </w:pPr>
      <w:r>
        <w:rPr>
          <w:rFonts w:hint="eastAsia" w:ascii="Times New Roman" w:hAnsi="Times New Roman" w:eastAsia="宋体" w:cs="宋体"/>
          <w:color w:val="auto"/>
          <w:kern w:val="2"/>
          <w:sz w:val="21"/>
          <w:szCs w:val="21"/>
          <w:highlight w:val="none"/>
          <w:lang w:val="en-US" w:eastAsia="zh-CN" w:bidi="ar-SA"/>
        </w:rPr>
        <w:t>供应商现场办公室应配置齐全、完好的办公设备。</w:t>
      </w:r>
      <w:r>
        <w:rPr>
          <w:rFonts w:hint="eastAsia" w:ascii="Times New Roman" w:hAnsi="Times New Roman" w:eastAsia="宋体" w:cs="宋体"/>
          <w:bCs/>
          <w:color w:val="auto"/>
          <w:kern w:val="2"/>
          <w:sz w:val="21"/>
          <w:szCs w:val="21"/>
          <w:highlight w:val="none"/>
          <w:lang w:val="en-US" w:eastAsia="zh-CN" w:bidi="ar-SA"/>
        </w:rPr>
        <w:t>为建设单位代表及监理工程师提供独立办公场所。</w:t>
      </w:r>
    </w:p>
    <w:p w14:paraId="5B86CAA2">
      <w:pPr>
        <w:widowControl w:val="0"/>
        <w:numPr>
          <w:ilvl w:val="0"/>
          <w:numId w:val="14"/>
        </w:numPr>
        <w:spacing w:line="400" w:lineRule="exact"/>
        <w:ind w:firstLine="420" w:firstLineChars="200"/>
        <w:jc w:val="both"/>
        <w:rPr>
          <w:rFonts w:ascii="Times New Roman" w:hAnsi="Times New Roman" w:eastAsia="宋体" w:cs="宋体"/>
          <w:color w:val="auto"/>
          <w:kern w:val="2"/>
          <w:sz w:val="21"/>
          <w:szCs w:val="21"/>
          <w:highlight w:val="none"/>
          <w:lang w:val="en-US" w:eastAsia="zh-CN" w:bidi="ar-SA"/>
        </w:rPr>
      </w:pPr>
      <w:r>
        <w:rPr>
          <w:rFonts w:hint="eastAsia" w:ascii="Times New Roman" w:hAnsi="Times New Roman" w:eastAsia="宋体" w:cs="宋体"/>
          <w:color w:val="auto"/>
          <w:kern w:val="2"/>
          <w:sz w:val="21"/>
          <w:szCs w:val="21"/>
          <w:highlight w:val="none"/>
          <w:lang w:val="en-US" w:eastAsia="zh-CN" w:bidi="ar-SA"/>
        </w:rPr>
        <w:t>供应商在危险环境下施工之前，应制订完善的安全保护措施，经采购人及监理批准后实施。</w:t>
      </w:r>
    </w:p>
    <w:p w14:paraId="6E591099">
      <w:pPr>
        <w:widowControl w:val="0"/>
        <w:numPr>
          <w:ilvl w:val="0"/>
          <w:numId w:val="14"/>
        </w:numPr>
        <w:spacing w:line="400" w:lineRule="exact"/>
        <w:ind w:firstLine="422" w:firstLineChars="200"/>
        <w:jc w:val="both"/>
        <w:rPr>
          <w:rFonts w:ascii="Times New Roman" w:hAnsi="Times New Roman" w:eastAsia="宋体" w:cs="宋体"/>
          <w:b/>
          <w:bCs/>
          <w:color w:val="auto"/>
          <w:kern w:val="2"/>
          <w:sz w:val="21"/>
          <w:szCs w:val="21"/>
          <w:highlight w:val="none"/>
          <w:u w:val="single"/>
          <w:lang w:val="en-US" w:eastAsia="zh-CN" w:bidi="ar-SA"/>
        </w:rPr>
      </w:pPr>
      <w:r>
        <w:rPr>
          <w:rFonts w:hint="eastAsia" w:ascii="Times New Roman" w:hAnsi="Times New Roman" w:eastAsia="宋体" w:cs="宋体"/>
          <w:b/>
          <w:bCs/>
          <w:color w:val="auto"/>
          <w:kern w:val="2"/>
          <w:sz w:val="21"/>
          <w:szCs w:val="21"/>
          <w:highlight w:val="none"/>
          <w:u w:val="single"/>
          <w:lang w:val="en-US" w:eastAsia="zh-CN" w:bidi="ar-SA"/>
        </w:rPr>
        <w:t>施工期间，供应商应及时整理和安排所有机械、工具、材料等，工程建设的多余材料、建筑垃圾必须及时清理。否则，每次扣工程款</w:t>
      </w:r>
      <w:r>
        <w:rPr>
          <w:rFonts w:ascii="Times New Roman" w:hAnsi="Times New Roman" w:eastAsia="宋体" w:cs="宋体"/>
          <w:b/>
          <w:bCs/>
          <w:color w:val="auto"/>
          <w:kern w:val="2"/>
          <w:sz w:val="21"/>
          <w:szCs w:val="21"/>
          <w:highlight w:val="none"/>
          <w:u w:val="single"/>
          <w:lang w:val="en-US" w:eastAsia="zh-CN" w:bidi="ar-SA"/>
        </w:rPr>
        <w:t>1000</w:t>
      </w:r>
      <w:r>
        <w:rPr>
          <w:rFonts w:hint="eastAsia" w:ascii="Times New Roman" w:hAnsi="Times New Roman" w:eastAsia="宋体" w:cs="宋体"/>
          <w:b/>
          <w:bCs/>
          <w:color w:val="auto"/>
          <w:kern w:val="2"/>
          <w:sz w:val="21"/>
          <w:szCs w:val="21"/>
          <w:highlight w:val="none"/>
          <w:u w:val="single"/>
          <w:lang w:val="en-US" w:eastAsia="zh-CN" w:bidi="ar-SA"/>
        </w:rPr>
        <w:t>元。</w:t>
      </w:r>
    </w:p>
    <w:p w14:paraId="0D47B29C">
      <w:pPr>
        <w:widowControl w:val="0"/>
        <w:numPr>
          <w:ilvl w:val="0"/>
          <w:numId w:val="14"/>
        </w:numPr>
        <w:spacing w:line="400" w:lineRule="exact"/>
        <w:ind w:firstLine="420" w:firstLineChars="200"/>
        <w:jc w:val="both"/>
        <w:rPr>
          <w:rFonts w:ascii="Times New Roman" w:hAnsi="Times New Roman" w:eastAsia="宋体" w:cs="宋体"/>
          <w:color w:val="auto"/>
          <w:kern w:val="2"/>
          <w:sz w:val="21"/>
          <w:szCs w:val="21"/>
          <w:highlight w:val="none"/>
          <w:lang w:val="en-US" w:eastAsia="zh-CN" w:bidi="ar-SA"/>
        </w:rPr>
      </w:pPr>
      <w:r>
        <w:rPr>
          <w:rFonts w:hint="eastAsia" w:ascii="Times New Roman" w:hAnsi="Times New Roman" w:eastAsia="宋体" w:cs="宋体"/>
          <w:color w:val="auto"/>
          <w:kern w:val="2"/>
          <w:sz w:val="21"/>
          <w:szCs w:val="21"/>
          <w:highlight w:val="none"/>
          <w:lang w:val="en-US" w:eastAsia="zh-CN" w:bidi="ar-SA"/>
        </w:rPr>
        <w:t>遵守建设方对施工场地交通、施工噪声、施工现场环境卫生和场外污染管理规定并办理有关手续，供应商造成的罚款等全部责任由供应商自行承担。</w:t>
      </w:r>
    </w:p>
    <w:p w14:paraId="0A3DEAA1">
      <w:pPr>
        <w:widowControl w:val="0"/>
        <w:numPr>
          <w:ilvl w:val="0"/>
          <w:numId w:val="14"/>
        </w:numPr>
        <w:spacing w:line="400" w:lineRule="exact"/>
        <w:ind w:firstLine="420" w:firstLineChars="200"/>
        <w:jc w:val="both"/>
        <w:rPr>
          <w:rFonts w:ascii="Times New Roman" w:hAnsi="Times New Roman" w:eastAsia="宋体" w:cs="宋体"/>
          <w:color w:val="auto"/>
          <w:kern w:val="2"/>
          <w:sz w:val="21"/>
          <w:szCs w:val="21"/>
          <w:highlight w:val="none"/>
          <w:lang w:val="en-US" w:eastAsia="zh-CN" w:bidi="ar-SA"/>
        </w:rPr>
      </w:pPr>
      <w:r>
        <w:rPr>
          <w:rFonts w:hint="eastAsia" w:ascii="Times New Roman" w:hAnsi="Times New Roman" w:eastAsia="宋体" w:cs="宋体"/>
          <w:color w:val="auto"/>
          <w:kern w:val="2"/>
          <w:sz w:val="21"/>
          <w:szCs w:val="21"/>
          <w:highlight w:val="none"/>
          <w:lang w:val="en-US" w:eastAsia="zh-CN" w:bidi="ar-SA"/>
        </w:rPr>
        <w:t>施工中发生的一切安全事故，除系因采购人过错造成的外，均由供应商承担全部责任。</w:t>
      </w:r>
    </w:p>
    <w:p w14:paraId="68AB0DAA">
      <w:pPr>
        <w:widowControl w:val="0"/>
        <w:numPr>
          <w:ilvl w:val="0"/>
          <w:numId w:val="14"/>
        </w:numPr>
        <w:spacing w:line="400" w:lineRule="exact"/>
        <w:ind w:firstLine="420" w:firstLineChars="200"/>
        <w:jc w:val="both"/>
        <w:rPr>
          <w:rFonts w:ascii="Times New Roman" w:hAnsi="Times New Roman" w:eastAsia="宋体" w:cs="宋体"/>
          <w:color w:val="auto"/>
          <w:kern w:val="2"/>
          <w:sz w:val="21"/>
          <w:szCs w:val="21"/>
          <w:highlight w:val="none"/>
          <w:lang w:val="en-US" w:eastAsia="zh-CN" w:bidi="ar-SA"/>
        </w:rPr>
      </w:pPr>
      <w:r>
        <w:rPr>
          <w:rFonts w:hint="eastAsia" w:ascii="Times New Roman" w:hAnsi="Times New Roman" w:eastAsia="宋体" w:cs="宋体"/>
          <w:color w:val="auto"/>
          <w:kern w:val="2"/>
          <w:sz w:val="21"/>
          <w:szCs w:val="21"/>
          <w:highlight w:val="none"/>
          <w:lang w:val="en-US" w:eastAsia="zh-CN" w:bidi="ar-SA"/>
        </w:rPr>
        <w:t>本项目将按照《建筑工人实名制管理办法（试行）》（建市</w:t>
      </w:r>
      <w:r>
        <w:rPr>
          <w:rFonts w:hint="eastAsia" w:ascii="Times New Roman" w:hAnsi="Times New Roman" w:eastAsia="宋体" w:cs="宋体"/>
          <w:bCs/>
          <w:color w:val="auto"/>
          <w:kern w:val="2"/>
          <w:sz w:val="21"/>
          <w:szCs w:val="21"/>
          <w:highlight w:val="none"/>
          <w:lang w:val="en-US" w:eastAsia="zh-CN" w:bidi="ar-SA"/>
        </w:rPr>
        <w:t>〔2019〕</w:t>
      </w:r>
      <w:r>
        <w:rPr>
          <w:rFonts w:ascii="Times New Roman" w:hAnsi="Times New Roman" w:eastAsia="宋体" w:cs="宋体"/>
          <w:color w:val="auto"/>
          <w:kern w:val="2"/>
          <w:sz w:val="21"/>
          <w:szCs w:val="21"/>
          <w:highlight w:val="none"/>
          <w:lang w:val="en-US" w:eastAsia="zh-CN" w:bidi="ar-SA"/>
        </w:rPr>
        <w:t>18</w:t>
      </w:r>
      <w:r>
        <w:rPr>
          <w:rFonts w:hint="eastAsia" w:ascii="Times New Roman" w:hAnsi="Times New Roman" w:eastAsia="宋体" w:cs="宋体"/>
          <w:color w:val="auto"/>
          <w:kern w:val="2"/>
          <w:sz w:val="21"/>
          <w:szCs w:val="21"/>
          <w:highlight w:val="none"/>
          <w:lang w:val="en-US" w:eastAsia="zh-CN" w:bidi="ar-SA"/>
        </w:rPr>
        <w:t>号）文件要求，对项目管理人员及施工现场建筑工人进行实名制管理。</w:t>
      </w:r>
    </w:p>
    <w:p w14:paraId="6180CFDD">
      <w:pPr>
        <w:widowControl w:val="0"/>
        <w:numPr>
          <w:ilvl w:val="0"/>
          <w:numId w:val="14"/>
        </w:numPr>
        <w:spacing w:line="400" w:lineRule="exact"/>
        <w:ind w:firstLine="422" w:firstLineChars="200"/>
        <w:jc w:val="both"/>
        <w:rPr>
          <w:rFonts w:ascii="Times New Roman" w:hAnsi="Times New Roman" w:eastAsia="宋体" w:cs="宋体"/>
          <w:b/>
          <w:bCs/>
          <w:color w:val="auto"/>
          <w:kern w:val="2"/>
          <w:sz w:val="21"/>
          <w:szCs w:val="21"/>
          <w:highlight w:val="none"/>
          <w:u w:val="single"/>
          <w:lang w:val="en-US" w:eastAsia="zh-CN" w:bidi="ar-SA"/>
        </w:rPr>
      </w:pPr>
      <w:r>
        <w:rPr>
          <w:rFonts w:hint="eastAsia" w:ascii="Times New Roman" w:hAnsi="Times New Roman" w:eastAsia="宋体" w:cs="宋体"/>
          <w:b/>
          <w:bCs/>
          <w:color w:val="auto"/>
          <w:kern w:val="2"/>
          <w:sz w:val="21"/>
          <w:szCs w:val="21"/>
          <w:highlight w:val="none"/>
          <w:u w:val="single"/>
          <w:lang w:val="en-US" w:eastAsia="zh-CN" w:bidi="ar-SA"/>
        </w:rPr>
        <w:t>报名、投标时拟派的项目班子成员必须一致，且不能中途更换，项目经理每天务必到施工现场严格管理，未经采购人同意不到施工现场每次罚款1</w:t>
      </w:r>
      <w:r>
        <w:rPr>
          <w:rFonts w:ascii="Times New Roman" w:hAnsi="Times New Roman" w:eastAsia="宋体" w:cs="宋体"/>
          <w:b/>
          <w:bCs/>
          <w:color w:val="auto"/>
          <w:kern w:val="2"/>
          <w:sz w:val="21"/>
          <w:szCs w:val="21"/>
          <w:highlight w:val="none"/>
          <w:u w:val="single"/>
          <w:lang w:val="en-US" w:eastAsia="zh-CN" w:bidi="ar-SA"/>
        </w:rPr>
        <w:t>000</w:t>
      </w:r>
      <w:r>
        <w:rPr>
          <w:rFonts w:hint="eastAsia" w:ascii="Times New Roman" w:hAnsi="Times New Roman" w:eastAsia="宋体" w:cs="宋体"/>
          <w:b/>
          <w:bCs/>
          <w:color w:val="auto"/>
          <w:kern w:val="2"/>
          <w:sz w:val="21"/>
          <w:szCs w:val="21"/>
          <w:highlight w:val="none"/>
          <w:u w:val="single"/>
          <w:lang w:val="en-US" w:eastAsia="zh-CN" w:bidi="ar-SA"/>
        </w:rPr>
        <w:t>元。</w:t>
      </w:r>
    </w:p>
    <w:p w14:paraId="53C0C068">
      <w:pPr>
        <w:widowControl w:val="0"/>
        <w:numPr>
          <w:ilvl w:val="0"/>
          <w:numId w:val="14"/>
        </w:numPr>
        <w:spacing w:line="400" w:lineRule="exact"/>
        <w:ind w:firstLine="420" w:firstLineChars="200"/>
        <w:jc w:val="both"/>
        <w:rPr>
          <w:rFonts w:ascii="Times New Roman" w:hAnsi="Times New Roman" w:eastAsia="宋体" w:cs="宋体"/>
          <w:color w:val="auto"/>
          <w:kern w:val="2"/>
          <w:sz w:val="21"/>
          <w:szCs w:val="21"/>
          <w:highlight w:val="none"/>
          <w:lang w:val="en-US" w:eastAsia="zh-CN" w:bidi="ar-SA"/>
        </w:rPr>
      </w:pPr>
      <w:r>
        <w:rPr>
          <w:rFonts w:hint="eastAsia" w:ascii="Times New Roman" w:hAnsi="Times New Roman" w:eastAsia="宋体" w:cs="宋体"/>
          <w:color w:val="auto"/>
          <w:kern w:val="2"/>
          <w:sz w:val="21"/>
          <w:szCs w:val="21"/>
          <w:highlight w:val="none"/>
          <w:lang w:val="en-US" w:eastAsia="zh-CN" w:bidi="ar-SA"/>
        </w:rPr>
        <w:t>严格遵守建设方的招标要求，工程质量合格。在工程施工过程中，要充分考虑到学校的实际情况和学的日常作息问题，做好安全文明施工。尽量减少粉尘和噪音，安全文明施工要严格按照建设方的管理要求，采取必要的措施。若供应商达到以上规定，则采购人按相关文件规定之安全文明施工费全额给予供应商，若供应商未达到以上规定，则采购人按相关文件规定之安全文明施工费的</w:t>
      </w:r>
      <w:r>
        <w:rPr>
          <w:rFonts w:ascii="Times New Roman" w:hAnsi="Times New Roman" w:eastAsia="宋体" w:cs="宋体"/>
          <w:color w:val="auto"/>
          <w:kern w:val="2"/>
          <w:sz w:val="21"/>
          <w:szCs w:val="21"/>
          <w:highlight w:val="none"/>
          <w:lang w:val="en-US" w:eastAsia="zh-CN" w:bidi="ar-SA"/>
        </w:rPr>
        <w:t>50%</w:t>
      </w:r>
      <w:r>
        <w:rPr>
          <w:rFonts w:hint="eastAsia" w:ascii="Times New Roman" w:hAnsi="Times New Roman" w:eastAsia="宋体" w:cs="宋体"/>
          <w:color w:val="auto"/>
          <w:kern w:val="2"/>
          <w:sz w:val="21"/>
          <w:szCs w:val="21"/>
          <w:highlight w:val="none"/>
          <w:lang w:val="en-US" w:eastAsia="zh-CN" w:bidi="ar-SA"/>
        </w:rPr>
        <w:t>给予扣除。安全文明施工费的取费标准按照黑龙江省建设行政主管部门颁发的相关文件执行。</w:t>
      </w:r>
    </w:p>
    <w:p w14:paraId="5D048BBE">
      <w:pPr>
        <w:widowControl w:val="0"/>
        <w:spacing w:line="400" w:lineRule="exact"/>
        <w:ind w:firstLine="422" w:firstLineChars="200"/>
        <w:jc w:val="both"/>
        <w:rPr>
          <w:rFonts w:ascii="Times New Roman" w:hAnsi="Times New Roman" w:eastAsia="宋体" w:cs="宋体"/>
          <w:b/>
          <w:bCs/>
          <w:color w:val="auto"/>
          <w:kern w:val="2"/>
          <w:sz w:val="21"/>
          <w:szCs w:val="21"/>
          <w:highlight w:val="none"/>
          <w:u w:val="single"/>
          <w:lang w:val="en-US" w:eastAsia="zh-CN" w:bidi="ar-SA"/>
        </w:rPr>
      </w:pPr>
      <w:r>
        <w:rPr>
          <w:rFonts w:hint="eastAsia" w:ascii="Times New Roman" w:hAnsi="Times New Roman" w:eastAsia="宋体" w:cs="宋体"/>
          <w:b/>
          <w:bCs/>
          <w:color w:val="auto"/>
          <w:kern w:val="2"/>
          <w:sz w:val="21"/>
          <w:szCs w:val="21"/>
          <w:highlight w:val="none"/>
          <w:u w:val="single"/>
          <w:lang w:val="en-US" w:eastAsia="zh-CN" w:bidi="ar-SA"/>
        </w:rPr>
        <w:t>原则上每天施工时间为上午</w:t>
      </w:r>
      <w:r>
        <w:rPr>
          <w:rFonts w:ascii="Times New Roman" w:hAnsi="Times New Roman" w:eastAsia="宋体" w:cs="宋体"/>
          <w:b/>
          <w:bCs/>
          <w:color w:val="auto"/>
          <w:kern w:val="2"/>
          <w:sz w:val="21"/>
          <w:szCs w:val="21"/>
          <w:highlight w:val="none"/>
          <w:u w:val="single"/>
          <w:lang w:val="en-US" w:eastAsia="zh-CN" w:bidi="ar-SA"/>
        </w:rPr>
        <w:t>8：00~12：00</w:t>
      </w:r>
      <w:r>
        <w:rPr>
          <w:rFonts w:hint="eastAsia" w:ascii="Times New Roman" w:hAnsi="Times New Roman" w:eastAsia="宋体" w:cs="宋体"/>
          <w:b/>
          <w:bCs/>
          <w:color w:val="auto"/>
          <w:kern w:val="2"/>
          <w:sz w:val="21"/>
          <w:szCs w:val="21"/>
          <w:highlight w:val="none"/>
          <w:u w:val="single"/>
          <w:lang w:val="en-US" w:eastAsia="zh-CN" w:bidi="ar-SA"/>
        </w:rPr>
        <w:t>，下午</w:t>
      </w:r>
      <w:r>
        <w:rPr>
          <w:rFonts w:ascii="Times New Roman" w:hAnsi="Times New Roman" w:eastAsia="宋体" w:cs="宋体"/>
          <w:b/>
          <w:bCs/>
          <w:color w:val="auto"/>
          <w:kern w:val="2"/>
          <w:sz w:val="21"/>
          <w:szCs w:val="21"/>
          <w:highlight w:val="none"/>
          <w:u w:val="single"/>
          <w:lang w:val="en-US" w:eastAsia="zh-CN" w:bidi="ar-SA"/>
        </w:rPr>
        <w:t>13：30~19：00</w:t>
      </w:r>
      <w:r>
        <w:rPr>
          <w:rFonts w:hint="eastAsia" w:ascii="Times New Roman" w:hAnsi="Times New Roman" w:eastAsia="宋体" w:cs="宋体"/>
          <w:b/>
          <w:bCs/>
          <w:color w:val="auto"/>
          <w:kern w:val="2"/>
          <w:sz w:val="21"/>
          <w:szCs w:val="21"/>
          <w:highlight w:val="none"/>
          <w:u w:val="single"/>
          <w:lang w:val="en-US" w:eastAsia="zh-CN" w:bidi="ar-SA"/>
        </w:rPr>
        <w:t>。特殊情况下，经工程管理部批准才可超出时间段施工。施工单位违反规定，每次罚款</w:t>
      </w:r>
      <w:r>
        <w:rPr>
          <w:rFonts w:ascii="Times New Roman" w:hAnsi="Times New Roman" w:eastAsia="宋体" w:cs="宋体"/>
          <w:b/>
          <w:bCs/>
          <w:color w:val="auto"/>
          <w:kern w:val="2"/>
          <w:sz w:val="21"/>
          <w:szCs w:val="21"/>
          <w:highlight w:val="none"/>
          <w:u w:val="single"/>
          <w:lang w:val="en-US" w:eastAsia="zh-CN" w:bidi="ar-SA"/>
        </w:rPr>
        <w:t>1000</w:t>
      </w:r>
      <w:r>
        <w:rPr>
          <w:rFonts w:hint="eastAsia" w:ascii="Times New Roman" w:hAnsi="Times New Roman" w:eastAsia="宋体" w:cs="宋体"/>
          <w:b/>
          <w:bCs/>
          <w:color w:val="auto"/>
          <w:kern w:val="2"/>
          <w:sz w:val="21"/>
          <w:szCs w:val="21"/>
          <w:highlight w:val="none"/>
          <w:u w:val="single"/>
          <w:lang w:val="en-US" w:eastAsia="zh-CN" w:bidi="ar-SA"/>
        </w:rPr>
        <w:t>元。遭到师生投诉，视情节每次罚款2</w:t>
      </w:r>
      <w:r>
        <w:rPr>
          <w:rFonts w:ascii="Times New Roman" w:hAnsi="Times New Roman" w:eastAsia="宋体" w:cs="宋体"/>
          <w:b/>
          <w:bCs/>
          <w:color w:val="auto"/>
          <w:kern w:val="2"/>
          <w:sz w:val="21"/>
          <w:szCs w:val="21"/>
          <w:highlight w:val="none"/>
          <w:u w:val="single"/>
          <w:lang w:val="en-US" w:eastAsia="zh-CN" w:bidi="ar-SA"/>
        </w:rPr>
        <w:t>000~</w:t>
      </w:r>
      <w:r>
        <w:rPr>
          <w:rFonts w:hint="eastAsia" w:ascii="Times New Roman" w:hAnsi="Times New Roman" w:eastAsia="宋体" w:cs="宋体"/>
          <w:b/>
          <w:bCs/>
          <w:color w:val="auto"/>
          <w:kern w:val="2"/>
          <w:sz w:val="21"/>
          <w:szCs w:val="21"/>
          <w:highlight w:val="none"/>
          <w:u w:val="single"/>
          <w:lang w:val="en-US" w:eastAsia="zh-CN" w:bidi="ar-SA"/>
        </w:rPr>
        <w:t>1</w:t>
      </w:r>
      <w:r>
        <w:rPr>
          <w:rFonts w:ascii="Times New Roman" w:hAnsi="Times New Roman" w:eastAsia="宋体" w:cs="宋体"/>
          <w:b/>
          <w:bCs/>
          <w:color w:val="auto"/>
          <w:kern w:val="2"/>
          <w:sz w:val="21"/>
          <w:szCs w:val="21"/>
          <w:highlight w:val="none"/>
          <w:u w:val="single"/>
          <w:lang w:val="en-US" w:eastAsia="zh-CN" w:bidi="ar-SA"/>
        </w:rPr>
        <w:t>0000</w:t>
      </w:r>
      <w:r>
        <w:rPr>
          <w:rFonts w:hint="eastAsia" w:ascii="Times New Roman" w:hAnsi="Times New Roman" w:eastAsia="宋体" w:cs="宋体"/>
          <w:b/>
          <w:bCs/>
          <w:color w:val="auto"/>
          <w:kern w:val="2"/>
          <w:sz w:val="21"/>
          <w:szCs w:val="21"/>
          <w:highlight w:val="none"/>
          <w:u w:val="single"/>
          <w:lang w:val="en-US" w:eastAsia="zh-CN" w:bidi="ar-SA"/>
        </w:rPr>
        <w:t>元。</w:t>
      </w:r>
    </w:p>
    <w:p w14:paraId="7A48BBA7">
      <w:pPr>
        <w:widowControl w:val="0"/>
        <w:numPr>
          <w:ilvl w:val="0"/>
          <w:numId w:val="14"/>
        </w:numPr>
        <w:spacing w:line="400" w:lineRule="exact"/>
        <w:ind w:firstLine="420" w:firstLineChars="200"/>
        <w:jc w:val="both"/>
        <w:rPr>
          <w:rFonts w:ascii="Times New Roman" w:hAnsi="Times New Roman" w:eastAsia="宋体" w:cs="宋体"/>
          <w:color w:val="auto"/>
          <w:kern w:val="2"/>
          <w:sz w:val="21"/>
          <w:szCs w:val="21"/>
          <w:highlight w:val="none"/>
          <w:lang w:val="en-US" w:eastAsia="zh-CN" w:bidi="ar-SA"/>
        </w:rPr>
      </w:pPr>
      <w:r>
        <w:rPr>
          <w:rFonts w:hint="eastAsia" w:ascii="Times New Roman" w:hAnsi="Times New Roman" w:eastAsia="宋体" w:cs="宋体"/>
          <w:color w:val="auto"/>
          <w:kern w:val="2"/>
          <w:sz w:val="21"/>
          <w:szCs w:val="21"/>
          <w:highlight w:val="none"/>
          <w:lang w:val="en-US" w:eastAsia="zh-CN" w:bidi="ar-SA"/>
        </w:rPr>
        <w:t>供应商施工人员进入校园内</w:t>
      </w:r>
      <w:r>
        <w:rPr>
          <w:rFonts w:ascii="Times New Roman" w:hAnsi="Times New Roman" w:eastAsia="宋体" w:cs="宋体"/>
          <w:color w:val="auto"/>
          <w:kern w:val="2"/>
          <w:sz w:val="21"/>
          <w:szCs w:val="21"/>
          <w:highlight w:val="none"/>
          <w:lang w:val="en-US" w:eastAsia="zh-CN" w:bidi="ar-SA"/>
        </w:rPr>
        <w:t>需</w:t>
      </w:r>
      <w:r>
        <w:rPr>
          <w:rFonts w:hint="eastAsia" w:ascii="Times New Roman" w:hAnsi="Times New Roman" w:eastAsia="宋体" w:cs="宋体"/>
          <w:color w:val="auto"/>
          <w:kern w:val="2"/>
          <w:sz w:val="21"/>
          <w:szCs w:val="21"/>
          <w:highlight w:val="none"/>
          <w:lang w:val="en-US" w:eastAsia="zh-CN" w:bidi="ar-SA"/>
        </w:rPr>
        <w:t>统一</w:t>
      </w:r>
      <w:r>
        <w:rPr>
          <w:rFonts w:ascii="Times New Roman" w:hAnsi="Times New Roman" w:eastAsia="宋体" w:cs="宋体"/>
          <w:color w:val="auto"/>
          <w:kern w:val="2"/>
          <w:sz w:val="21"/>
          <w:szCs w:val="21"/>
          <w:highlight w:val="none"/>
          <w:lang w:val="en-US" w:eastAsia="zh-CN" w:bidi="ar-SA"/>
        </w:rPr>
        <w:t>着装，佩戴能够表明人员身份的胸卡，</w:t>
      </w:r>
      <w:r>
        <w:rPr>
          <w:rFonts w:hint="eastAsia" w:ascii="Times New Roman" w:hAnsi="Times New Roman" w:eastAsia="宋体" w:cs="宋体"/>
          <w:color w:val="auto"/>
          <w:kern w:val="2"/>
          <w:sz w:val="21"/>
          <w:szCs w:val="21"/>
          <w:highlight w:val="none"/>
          <w:lang w:val="en-US" w:eastAsia="zh-CN" w:bidi="ar-SA"/>
        </w:rPr>
        <w:t>集中</w:t>
      </w:r>
      <w:r>
        <w:rPr>
          <w:rFonts w:ascii="Times New Roman" w:hAnsi="Times New Roman" w:eastAsia="宋体" w:cs="宋体"/>
          <w:color w:val="auto"/>
          <w:kern w:val="2"/>
          <w:sz w:val="21"/>
          <w:szCs w:val="21"/>
          <w:highlight w:val="none"/>
          <w:lang w:val="en-US" w:eastAsia="zh-CN" w:bidi="ar-SA"/>
        </w:rPr>
        <w:t>进出校园</w:t>
      </w:r>
      <w:r>
        <w:rPr>
          <w:rFonts w:hint="eastAsia" w:ascii="Times New Roman" w:hAnsi="Times New Roman" w:eastAsia="宋体" w:cs="宋体"/>
          <w:color w:val="auto"/>
          <w:kern w:val="2"/>
          <w:sz w:val="21"/>
          <w:szCs w:val="21"/>
          <w:highlight w:val="none"/>
          <w:lang w:val="en-US" w:eastAsia="zh-CN" w:bidi="ar-SA"/>
        </w:rPr>
        <w:t>和工地</w:t>
      </w:r>
      <w:r>
        <w:rPr>
          <w:rFonts w:ascii="Times New Roman" w:hAnsi="Times New Roman" w:eastAsia="宋体" w:cs="宋体"/>
          <w:color w:val="auto"/>
          <w:kern w:val="2"/>
          <w:sz w:val="21"/>
          <w:szCs w:val="21"/>
          <w:highlight w:val="none"/>
          <w:lang w:val="en-US" w:eastAsia="zh-CN" w:bidi="ar-SA"/>
        </w:rPr>
        <w:t>。</w:t>
      </w:r>
      <w:r>
        <w:rPr>
          <w:rFonts w:hint="eastAsia" w:ascii="Times New Roman" w:hAnsi="Times New Roman" w:eastAsia="宋体" w:cs="宋体"/>
          <w:color w:val="auto"/>
          <w:kern w:val="2"/>
          <w:sz w:val="21"/>
          <w:szCs w:val="21"/>
          <w:highlight w:val="none"/>
          <w:lang w:val="en-US" w:eastAsia="zh-CN" w:bidi="ar-SA"/>
        </w:rPr>
        <w:t>供应商</w:t>
      </w:r>
      <w:r>
        <w:rPr>
          <w:rFonts w:ascii="Times New Roman" w:hAnsi="Times New Roman" w:eastAsia="宋体" w:cs="宋体"/>
          <w:color w:val="auto"/>
          <w:kern w:val="2"/>
          <w:sz w:val="21"/>
          <w:szCs w:val="21"/>
          <w:highlight w:val="none"/>
          <w:lang w:val="en-US" w:eastAsia="zh-CN" w:bidi="ar-SA"/>
        </w:rPr>
        <w:t>施工期间</w:t>
      </w:r>
      <w:r>
        <w:rPr>
          <w:rFonts w:hint="eastAsia" w:ascii="Times New Roman" w:hAnsi="Times New Roman" w:eastAsia="宋体" w:cs="宋体"/>
          <w:color w:val="auto"/>
          <w:kern w:val="2"/>
          <w:sz w:val="21"/>
          <w:szCs w:val="21"/>
          <w:highlight w:val="none"/>
          <w:lang w:val="en-US" w:eastAsia="zh-CN" w:bidi="ar-SA"/>
        </w:rPr>
        <w:t>应</w:t>
      </w:r>
      <w:r>
        <w:rPr>
          <w:rFonts w:ascii="Times New Roman" w:hAnsi="Times New Roman" w:eastAsia="宋体" w:cs="宋体"/>
          <w:color w:val="auto"/>
          <w:kern w:val="2"/>
          <w:sz w:val="21"/>
          <w:szCs w:val="21"/>
          <w:highlight w:val="none"/>
          <w:lang w:val="en-US" w:eastAsia="zh-CN" w:bidi="ar-SA"/>
        </w:rPr>
        <w:t>严格按照学生公寓管理要求进行施工</w:t>
      </w:r>
      <w:r>
        <w:rPr>
          <w:rFonts w:hint="eastAsia" w:ascii="Times New Roman" w:hAnsi="Times New Roman" w:eastAsia="宋体" w:cs="宋体"/>
          <w:color w:val="auto"/>
          <w:kern w:val="2"/>
          <w:sz w:val="21"/>
          <w:szCs w:val="21"/>
          <w:highlight w:val="none"/>
          <w:lang w:val="en-US" w:eastAsia="zh-CN" w:bidi="ar-SA"/>
        </w:rPr>
        <w:t>，</w:t>
      </w:r>
      <w:r>
        <w:rPr>
          <w:rFonts w:ascii="Times New Roman" w:hAnsi="Times New Roman" w:eastAsia="宋体" w:cs="宋体"/>
          <w:color w:val="auto"/>
          <w:kern w:val="2"/>
          <w:sz w:val="21"/>
          <w:szCs w:val="21"/>
          <w:highlight w:val="none"/>
          <w:lang w:val="en-US" w:eastAsia="zh-CN" w:bidi="ar-SA"/>
        </w:rPr>
        <w:t>严禁</w:t>
      </w:r>
      <w:r>
        <w:rPr>
          <w:rFonts w:hint="eastAsia" w:ascii="Times New Roman" w:hAnsi="Times New Roman" w:eastAsia="宋体" w:cs="宋体"/>
          <w:color w:val="auto"/>
          <w:kern w:val="2"/>
          <w:sz w:val="21"/>
          <w:szCs w:val="21"/>
          <w:highlight w:val="none"/>
          <w:lang w:val="en-US" w:eastAsia="zh-CN" w:bidi="ar-SA"/>
        </w:rPr>
        <w:t>偷盗</w:t>
      </w:r>
      <w:r>
        <w:rPr>
          <w:rFonts w:ascii="Times New Roman" w:hAnsi="Times New Roman" w:eastAsia="宋体" w:cs="宋体"/>
          <w:color w:val="auto"/>
          <w:kern w:val="2"/>
          <w:sz w:val="21"/>
          <w:szCs w:val="21"/>
          <w:highlight w:val="none"/>
          <w:lang w:val="en-US" w:eastAsia="zh-CN" w:bidi="ar-SA"/>
        </w:rPr>
        <w:t>，</w:t>
      </w:r>
      <w:r>
        <w:rPr>
          <w:rFonts w:hint="eastAsia" w:ascii="Times New Roman" w:hAnsi="Times New Roman" w:eastAsia="宋体" w:cs="宋体"/>
          <w:color w:val="auto"/>
          <w:kern w:val="2"/>
          <w:sz w:val="21"/>
          <w:szCs w:val="21"/>
          <w:highlight w:val="none"/>
          <w:lang w:val="en-US" w:eastAsia="zh-CN" w:bidi="ar-SA"/>
        </w:rPr>
        <w:t>如</w:t>
      </w:r>
      <w:r>
        <w:rPr>
          <w:rFonts w:ascii="Times New Roman" w:hAnsi="Times New Roman" w:eastAsia="宋体" w:cs="宋体"/>
          <w:color w:val="auto"/>
          <w:kern w:val="2"/>
          <w:sz w:val="21"/>
          <w:szCs w:val="21"/>
          <w:highlight w:val="none"/>
          <w:lang w:val="en-US" w:eastAsia="zh-CN" w:bidi="ar-SA"/>
        </w:rPr>
        <w:t>发现</w:t>
      </w:r>
      <w:r>
        <w:rPr>
          <w:rFonts w:hint="eastAsia" w:ascii="Times New Roman" w:hAnsi="Times New Roman" w:eastAsia="宋体" w:cs="宋体"/>
          <w:color w:val="auto"/>
          <w:kern w:val="2"/>
          <w:sz w:val="21"/>
          <w:szCs w:val="21"/>
          <w:highlight w:val="none"/>
          <w:lang w:val="en-US" w:eastAsia="zh-CN" w:bidi="ar-SA"/>
        </w:rPr>
        <w:t>供应商</w:t>
      </w:r>
      <w:r>
        <w:rPr>
          <w:rFonts w:ascii="Times New Roman" w:hAnsi="Times New Roman" w:eastAsia="宋体" w:cs="宋体"/>
          <w:color w:val="auto"/>
          <w:kern w:val="2"/>
          <w:sz w:val="21"/>
          <w:szCs w:val="21"/>
          <w:highlight w:val="none"/>
          <w:lang w:val="en-US" w:eastAsia="zh-CN" w:bidi="ar-SA"/>
        </w:rPr>
        <w:t>施工人员有</w:t>
      </w:r>
      <w:r>
        <w:rPr>
          <w:rFonts w:hint="eastAsia" w:ascii="Times New Roman" w:hAnsi="Times New Roman" w:eastAsia="宋体" w:cs="宋体"/>
          <w:color w:val="auto"/>
          <w:kern w:val="2"/>
          <w:sz w:val="21"/>
          <w:szCs w:val="21"/>
          <w:highlight w:val="none"/>
          <w:lang w:val="en-US" w:eastAsia="zh-CN" w:bidi="ar-SA"/>
        </w:rPr>
        <w:t>偷盗行为</w:t>
      </w:r>
      <w:r>
        <w:rPr>
          <w:rFonts w:ascii="Times New Roman" w:hAnsi="Times New Roman" w:eastAsia="宋体" w:cs="宋体"/>
          <w:color w:val="auto"/>
          <w:kern w:val="2"/>
          <w:sz w:val="21"/>
          <w:szCs w:val="21"/>
          <w:highlight w:val="none"/>
          <w:lang w:val="en-US" w:eastAsia="zh-CN" w:bidi="ar-SA"/>
        </w:rPr>
        <w:t>的，</w:t>
      </w:r>
      <w:r>
        <w:rPr>
          <w:rFonts w:hint="eastAsia" w:ascii="Times New Roman" w:hAnsi="Times New Roman" w:eastAsia="宋体" w:cs="宋体"/>
          <w:color w:val="auto"/>
          <w:kern w:val="2"/>
          <w:sz w:val="21"/>
          <w:szCs w:val="21"/>
          <w:highlight w:val="none"/>
          <w:lang w:val="en-US" w:eastAsia="zh-CN" w:bidi="ar-SA"/>
        </w:rPr>
        <w:t>供应商负责全额赔偿</w:t>
      </w:r>
      <w:r>
        <w:rPr>
          <w:rFonts w:ascii="Times New Roman" w:hAnsi="Times New Roman" w:eastAsia="宋体" w:cs="宋体"/>
          <w:color w:val="auto"/>
          <w:kern w:val="2"/>
          <w:sz w:val="21"/>
          <w:szCs w:val="21"/>
          <w:highlight w:val="none"/>
          <w:lang w:val="en-US" w:eastAsia="zh-CN" w:bidi="ar-SA"/>
        </w:rPr>
        <w:t>，</w:t>
      </w:r>
      <w:r>
        <w:rPr>
          <w:rFonts w:hint="eastAsia" w:ascii="Times New Roman" w:hAnsi="Times New Roman" w:eastAsia="宋体" w:cs="宋体"/>
          <w:color w:val="auto"/>
          <w:kern w:val="2"/>
          <w:sz w:val="21"/>
          <w:szCs w:val="21"/>
          <w:highlight w:val="none"/>
          <w:lang w:val="en-US" w:eastAsia="zh-CN" w:bidi="ar-SA"/>
        </w:rPr>
        <w:t>同时学校将对</w:t>
      </w:r>
      <w:r>
        <w:rPr>
          <w:rFonts w:ascii="Times New Roman" w:hAnsi="Times New Roman" w:eastAsia="宋体" w:cs="宋体"/>
          <w:color w:val="auto"/>
          <w:kern w:val="2"/>
          <w:sz w:val="21"/>
          <w:szCs w:val="21"/>
          <w:highlight w:val="none"/>
          <w:lang w:val="en-US" w:eastAsia="zh-CN" w:bidi="ar-SA"/>
        </w:rPr>
        <w:t>供应商处以罚款1</w:t>
      </w:r>
      <w:r>
        <w:rPr>
          <w:rFonts w:hint="eastAsia" w:ascii="Times New Roman" w:hAnsi="Times New Roman" w:eastAsia="宋体" w:cs="宋体"/>
          <w:color w:val="auto"/>
          <w:kern w:val="2"/>
          <w:sz w:val="21"/>
          <w:szCs w:val="21"/>
          <w:highlight w:val="none"/>
          <w:lang w:val="en-US" w:eastAsia="zh-CN" w:bidi="ar-SA"/>
        </w:rPr>
        <w:t>万元</w:t>
      </w:r>
      <w:r>
        <w:rPr>
          <w:rFonts w:ascii="Times New Roman" w:hAnsi="Times New Roman" w:eastAsia="宋体" w:cs="宋体"/>
          <w:color w:val="auto"/>
          <w:kern w:val="2"/>
          <w:sz w:val="21"/>
          <w:szCs w:val="21"/>
          <w:highlight w:val="none"/>
          <w:lang w:val="en-US" w:eastAsia="zh-CN" w:bidi="ar-SA"/>
        </w:rPr>
        <w:t>/</w:t>
      </w:r>
      <w:r>
        <w:rPr>
          <w:rFonts w:hint="eastAsia" w:ascii="Times New Roman" w:hAnsi="Times New Roman" w:eastAsia="宋体" w:cs="宋体"/>
          <w:color w:val="auto"/>
          <w:kern w:val="2"/>
          <w:sz w:val="21"/>
          <w:szCs w:val="21"/>
          <w:highlight w:val="none"/>
          <w:lang w:val="en-US" w:eastAsia="zh-CN" w:bidi="ar-SA"/>
        </w:rPr>
        <w:t>次</w:t>
      </w:r>
      <w:r>
        <w:rPr>
          <w:rFonts w:ascii="Times New Roman" w:hAnsi="Times New Roman" w:eastAsia="宋体" w:cs="宋体"/>
          <w:color w:val="auto"/>
          <w:kern w:val="2"/>
          <w:sz w:val="21"/>
          <w:szCs w:val="21"/>
          <w:highlight w:val="none"/>
          <w:lang w:val="en-US" w:eastAsia="zh-CN" w:bidi="ar-SA"/>
        </w:rPr>
        <w:t>。</w:t>
      </w:r>
    </w:p>
    <w:p w14:paraId="712AFE0C">
      <w:pPr>
        <w:widowControl w:val="0"/>
        <w:numPr>
          <w:ilvl w:val="0"/>
          <w:numId w:val="14"/>
        </w:numPr>
        <w:spacing w:line="400" w:lineRule="exact"/>
        <w:ind w:firstLine="420" w:firstLineChars="200"/>
        <w:jc w:val="both"/>
        <w:rPr>
          <w:rFonts w:ascii="Times New Roman" w:hAnsi="Times New Roman" w:eastAsia="宋体" w:cs="宋体"/>
          <w:color w:val="auto"/>
          <w:kern w:val="2"/>
          <w:sz w:val="21"/>
          <w:szCs w:val="21"/>
          <w:highlight w:val="none"/>
          <w:lang w:val="en-US" w:eastAsia="zh-CN" w:bidi="ar-SA"/>
        </w:rPr>
      </w:pPr>
      <w:r>
        <w:rPr>
          <w:rFonts w:hint="eastAsia" w:ascii="Times New Roman" w:hAnsi="Times New Roman" w:eastAsia="宋体" w:cs="宋体"/>
          <w:color w:val="auto"/>
          <w:kern w:val="2"/>
          <w:sz w:val="21"/>
          <w:szCs w:val="21"/>
          <w:highlight w:val="none"/>
          <w:lang w:val="en-US" w:eastAsia="zh-CN" w:bidi="ar-SA"/>
        </w:rPr>
        <w:t>承包人需按时支付工人劳动报酬，履约期内因承包人原因引起投诉、上访等群体事件，每次承包人须向采购人支违约金1</w:t>
      </w:r>
      <w:r>
        <w:rPr>
          <w:rFonts w:ascii="Times New Roman" w:hAnsi="Times New Roman" w:eastAsia="宋体" w:cs="宋体"/>
          <w:color w:val="auto"/>
          <w:kern w:val="2"/>
          <w:sz w:val="21"/>
          <w:szCs w:val="21"/>
          <w:highlight w:val="none"/>
          <w:lang w:val="en-US" w:eastAsia="zh-CN" w:bidi="ar-SA"/>
        </w:rPr>
        <w:t>0000</w:t>
      </w:r>
      <w:r>
        <w:rPr>
          <w:rFonts w:hint="eastAsia" w:ascii="Times New Roman" w:hAnsi="Times New Roman" w:eastAsia="宋体" w:cs="宋体"/>
          <w:color w:val="auto"/>
          <w:kern w:val="2"/>
          <w:sz w:val="21"/>
          <w:szCs w:val="21"/>
          <w:highlight w:val="none"/>
          <w:lang w:val="en-US" w:eastAsia="zh-CN" w:bidi="ar-SA"/>
        </w:rPr>
        <w:t>元，同时采购人保留解除合同的权利。</w:t>
      </w:r>
    </w:p>
    <w:p w14:paraId="7EAF95CE">
      <w:pPr>
        <w:widowControl w:val="0"/>
        <w:numPr>
          <w:ilvl w:val="0"/>
          <w:numId w:val="14"/>
        </w:numPr>
        <w:spacing w:line="400" w:lineRule="exact"/>
        <w:ind w:firstLine="420" w:firstLineChars="200"/>
        <w:jc w:val="both"/>
        <w:rPr>
          <w:rFonts w:ascii="Times New Roman" w:hAnsi="Times New Roman" w:eastAsia="宋体" w:cs="宋体"/>
          <w:color w:val="auto"/>
          <w:kern w:val="2"/>
          <w:sz w:val="21"/>
          <w:szCs w:val="21"/>
          <w:highlight w:val="none"/>
          <w:lang w:val="en-US" w:eastAsia="zh-CN" w:bidi="ar-SA"/>
        </w:rPr>
      </w:pPr>
      <w:r>
        <w:rPr>
          <w:rFonts w:hint="eastAsia" w:ascii="Times New Roman" w:hAnsi="Times New Roman" w:eastAsia="宋体" w:cs="宋体"/>
          <w:color w:val="auto"/>
          <w:kern w:val="2"/>
          <w:sz w:val="21"/>
          <w:szCs w:val="21"/>
          <w:highlight w:val="none"/>
          <w:lang w:val="en-US" w:eastAsia="zh-CN" w:bidi="ar-SA"/>
        </w:rPr>
        <w:t>承包人应按有关规范、设计要求及采购人代表和监理的指令进行施工，随时接受检查，为检查提供便利条件，及时根据要求向采购人代表及监理提供与工程质量有关的技术资料；并按检查结果进行整改。</w:t>
      </w:r>
    </w:p>
    <w:p w14:paraId="782CC705">
      <w:pPr>
        <w:widowControl w:val="0"/>
        <w:numPr>
          <w:ilvl w:val="0"/>
          <w:numId w:val="14"/>
        </w:numPr>
        <w:spacing w:line="400" w:lineRule="exact"/>
        <w:ind w:firstLine="420" w:firstLineChars="200"/>
        <w:jc w:val="both"/>
        <w:rPr>
          <w:rFonts w:ascii="Times New Roman" w:hAnsi="Times New Roman" w:eastAsia="宋体" w:cs="宋体"/>
          <w:color w:val="auto"/>
          <w:kern w:val="2"/>
          <w:sz w:val="21"/>
          <w:szCs w:val="21"/>
          <w:highlight w:val="none"/>
          <w:lang w:val="en-US" w:eastAsia="zh-CN" w:bidi="ar-SA"/>
        </w:rPr>
      </w:pPr>
      <w:r>
        <w:rPr>
          <w:rFonts w:hint="eastAsia" w:ascii="Times New Roman" w:hAnsi="Times New Roman" w:eastAsia="宋体" w:cs="宋体"/>
          <w:color w:val="auto"/>
          <w:kern w:val="2"/>
          <w:sz w:val="21"/>
          <w:szCs w:val="21"/>
          <w:highlight w:val="none"/>
          <w:lang w:val="en-US" w:eastAsia="zh-CN" w:bidi="ar-SA"/>
        </w:rPr>
        <w:t>分部分项工程达到隐蔽验收时，承包人自检合格后，于验收前</w:t>
      </w:r>
      <w:r>
        <w:rPr>
          <w:rFonts w:ascii="Times New Roman" w:hAnsi="Times New Roman" w:eastAsia="宋体" w:cs="宋体"/>
          <w:color w:val="auto"/>
          <w:kern w:val="2"/>
          <w:sz w:val="21"/>
          <w:szCs w:val="21"/>
          <w:highlight w:val="none"/>
          <w:lang w:val="en-US" w:eastAsia="zh-CN" w:bidi="ar-SA"/>
        </w:rPr>
        <w:t>24</w:t>
      </w:r>
      <w:r>
        <w:rPr>
          <w:rFonts w:hint="eastAsia" w:ascii="Times New Roman" w:hAnsi="Times New Roman" w:eastAsia="宋体" w:cs="宋体"/>
          <w:color w:val="auto"/>
          <w:kern w:val="2"/>
          <w:sz w:val="21"/>
          <w:szCs w:val="21"/>
          <w:highlight w:val="none"/>
          <w:lang w:val="en-US" w:eastAsia="zh-CN" w:bidi="ar-SA"/>
        </w:rPr>
        <w:t>小时通知采购人代表和监理，并提供有关合格资料，经验收合格并签字后方可进行隐蔽。如果发现承包人在验收合格后到隐蔽施工前，对合格部分做任何改动，应重新进行验收；重要的工程隐蔽验收应通知质量监督及设计单位共同参加验收。隐蔽工程无论采购人是否进行验收，当其要求对已经隐蔽的工程重新检验时，承包人应按要求进行剥离或开孔，并在检验后重新覆盖或修复。检验合格，采购人承担由此发生的全部费用并相应顺延工期。检验不合格的，承包人承担发生的全部费用，工期不予顺延。关键工序施工完毕后，须经监理、采购人代表验收合格签字后（承包人应在验收前向采购人及监理提交三检记录、施工交底记录等资料），方可进行下道工序施工，否则每次承包人支付违约金</w:t>
      </w:r>
      <w:r>
        <w:rPr>
          <w:rFonts w:ascii="Times New Roman" w:hAnsi="Times New Roman" w:eastAsia="宋体" w:cs="宋体"/>
          <w:color w:val="auto"/>
          <w:kern w:val="2"/>
          <w:sz w:val="21"/>
          <w:szCs w:val="21"/>
          <w:highlight w:val="none"/>
          <w:lang w:val="en-US" w:eastAsia="zh-CN" w:bidi="ar-SA"/>
        </w:rPr>
        <w:t>1000</w:t>
      </w:r>
      <w:r>
        <w:rPr>
          <w:rFonts w:hint="eastAsia" w:ascii="Times New Roman" w:hAnsi="Times New Roman" w:eastAsia="宋体" w:cs="宋体"/>
          <w:color w:val="auto"/>
          <w:kern w:val="2"/>
          <w:sz w:val="21"/>
          <w:szCs w:val="21"/>
          <w:highlight w:val="none"/>
          <w:lang w:val="en-US" w:eastAsia="zh-CN" w:bidi="ar-SA"/>
        </w:rPr>
        <w:t>元，并且采购人有权暂停支付该部分进度款，直至确认该部分工程合格为止。</w:t>
      </w:r>
    </w:p>
    <w:p w14:paraId="5F7AEC57">
      <w:pPr>
        <w:widowControl w:val="0"/>
        <w:numPr>
          <w:ilvl w:val="0"/>
          <w:numId w:val="14"/>
        </w:numPr>
        <w:spacing w:line="400" w:lineRule="exact"/>
        <w:ind w:firstLine="420" w:firstLineChars="200"/>
        <w:jc w:val="both"/>
        <w:rPr>
          <w:rFonts w:ascii="Times New Roman" w:hAnsi="Times New Roman" w:eastAsia="宋体" w:cs="宋体"/>
          <w:color w:val="auto"/>
          <w:kern w:val="2"/>
          <w:sz w:val="21"/>
          <w:szCs w:val="21"/>
          <w:highlight w:val="none"/>
          <w:lang w:val="en-US" w:eastAsia="zh-CN" w:bidi="ar-SA"/>
        </w:rPr>
      </w:pPr>
      <w:r>
        <w:rPr>
          <w:rFonts w:hint="eastAsia" w:ascii="Times New Roman" w:hAnsi="Times New Roman" w:eastAsia="宋体" w:cs="宋体"/>
          <w:color w:val="auto"/>
          <w:kern w:val="2"/>
          <w:sz w:val="21"/>
          <w:szCs w:val="21"/>
          <w:highlight w:val="none"/>
          <w:lang w:val="en-US" w:eastAsia="zh-CN" w:bidi="ar-SA"/>
        </w:rPr>
        <w:t>现场用水用电管理：</w:t>
      </w:r>
    </w:p>
    <w:p w14:paraId="341598E5">
      <w:pPr>
        <w:widowControl w:val="0"/>
        <w:spacing w:line="400" w:lineRule="exact"/>
        <w:ind w:firstLine="420" w:firstLineChars="200"/>
        <w:jc w:val="both"/>
        <w:rPr>
          <w:rFonts w:ascii="Times New Roman" w:hAnsi="Times New Roman" w:eastAsia="宋体" w:cs="宋体"/>
          <w:color w:val="auto"/>
          <w:kern w:val="2"/>
          <w:sz w:val="21"/>
          <w:szCs w:val="21"/>
          <w:highlight w:val="none"/>
          <w:lang w:val="en-US" w:eastAsia="zh-CN" w:bidi="ar-SA"/>
        </w:rPr>
      </w:pPr>
      <w:r>
        <w:rPr>
          <w:rFonts w:hint="eastAsia" w:ascii="Times New Roman" w:hAnsi="Times New Roman" w:eastAsia="宋体" w:cs="宋体"/>
          <w:color w:val="auto"/>
          <w:kern w:val="2"/>
          <w:sz w:val="21"/>
          <w:szCs w:val="21"/>
          <w:highlight w:val="none"/>
          <w:lang w:val="en-US" w:eastAsia="zh-CN" w:bidi="ar-SA"/>
        </w:rPr>
        <w:t>承包人应严格遵循《总务处</w:t>
      </w:r>
      <w:r>
        <w:rPr>
          <w:rFonts w:ascii="Times New Roman" w:hAnsi="Times New Roman" w:eastAsia="宋体" w:cs="宋体"/>
          <w:color w:val="auto"/>
          <w:kern w:val="2"/>
          <w:sz w:val="21"/>
          <w:szCs w:val="21"/>
          <w:highlight w:val="none"/>
          <w:lang w:val="en-US" w:eastAsia="zh-CN" w:bidi="ar-SA"/>
        </w:rPr>
        <w:t>/</w:t>
      </w:r>
      <w:r>
        <w:rPr>
          <w:rFonts w:hint="eastAsia" w:ascii="Times New Roman" w:hAnsi="Times New Roman" w:eastAsia="宋体" w:cs="宋体"/>
          <w:color w:val="auto"/>
          <w:kern w:val="2"/>
          <w:sz w:val="21"/>
          <w:szCs w:val="21"/>
          <w:highlight w:val="none"/>
          <w:lang w:val="en-US" w:eastAsia="zh-CN" w:bidi="ar-SA"/>
        </w:rPr>
        <w:t>后勤集团校园修缮工程代收水、电费会签制度》、《哈尔滨工业大学用电管理制度》。</w:t>
      </w:r>
    </w:p>
    <w:p w14:paraId="790AF32D">
      <w:pPr>
        <w:widowControl w:val="0"/>
        <w:spacing w:line="400" w:lineRule="exact"/>
        <w:ind w:firstLine="420" w:firstLineChars="200"/>
        <w:jc w:val="both"/>
        <w:rPr>
          <w:rFonts w:ascii="Times New Roman" w:hAnsi="Times New Roman" w:eastAsia="宋体" w:cs="宋体"/>
          <w:color w:val="auto"/>
          <w:kern w:val="2"/>
          <w:sz w:val="21"/>
          <w:szCs w:val="21"/>
          <w:highlight w:val="none"/>
          <w:lang w:val="en-US" w:eastAsia="zh-CN" w:bidi="ar-SA"/>
        </w:rPr>
      </w:pPr>
      <w:r>
        <w:rPr>
          <w:rFonts w:ascii="Times New Roman" w:hAnsi="Times New Roman" w:eastAsia="宋体" w:cs="宋体"/>
          <w:color w:val="auto"/>
          <w:kern w:val="2"/>
          <w:sz w:val="21"/>
          <w:szCs w:val="21"/>
          <w:highlight w:val="none"/>
          <w:lang w:val="en-US" w:eastAsia="zh-CN" w:bidi="ar-SA"/>
        </w:rPr>
        <w:t>1</w:t>
      </w:r>
      <w:r>
        <w:rPr>
          <w:rFonts w:hint="eastAsia" w:ascii="Times New Roman" w:hAnsi="Times New Roman" w:eastAsia="宋体" w:cs="宋体"/>
          <w:color w:val="auto"/>
          <w:kern w:val="2"/>
          <w:sz w:val="21"/>
          <w:szCs w:val="21"/>
          <w:highlight w:val="none"/>
          <w:lang w:val="en-US" w:eastAsia="zh-CN" w:bidi="ar-SA"/>
        </w:rPr>
        <w:t>、费用计量及收取</w:t>
      </w:r>
    </w:p>
    <w:p w14:paraId="69D972C2">
      <w:pPr>
        <w:widowControl w:val="0"/>
        <w:spacing w:line="400" w:lineRule="exact"/>
        <w:ind w:firstLine="420" w:firstLineChars="200"/>
        <w:jc w:val="both"/>
        <w:rPr>
          <w:rFonts w:ascii="Times New Roman" w:hAnsi="Times New Roman" w:eastAsia="宋体" w:cs="宋体"/>
          <w:color w:val="auto"/>
          <w:kern w:val="2"/>
          <w:sz w:val="21"/>
          <w:szCs w:val="21"/>
          <w:highlight w:val="none"/>
          <w:lang w:val="en-US" w:eastAsia="zh-CN" w:bidi="ar-SA"/>
        </w:rPr>
      </w:pPr>
      <w:r>
        <w:rPr>
          <w:rFonts w:hint="eastAsia" w:ascii="Times New Roman" w:hAnsi="Times New Roman" w:eastAsia="宋体" w:cs="宋体"/>
          <w:color w:val="auto"/>
          <w:kern w:val="2"/>
          <w:sz w:val="21"/>
          <w:szCs w:val="21"/>
          <w:highlight w:val="none"/>
          <w:lang w:val="en-US" w:eastAsia="zh-CN" w:bidi="ar-SA"/>
        </w:rPr>
        <w:t>（</w:t>
      </w:r>
      <w:r>
        <w:rPr>
          <w:rFonts w:ascii="Times New Roman" w:hAnsi="Times New Roman" w:eastAsia="宋体" w:cs="宋体"/>
          <w:color w:val="auto"/>
          <w:kern w:val="2"/>
          <w:sz w:val="21"/>
          <w:szCs w:val="21"/>
          <w:highlight w:val="none"/>
          <w:lang w:val="en-US" w:eastAsia="zh-CN" w:bidi="ar-SA"/>
        </w:rPr>
        <w:t>1</w:t>
      </w:r>
      <w:r>
        <w:rPr>
          <w:rFonts w:hint="eastAsia" w:ascii="Times New Roman" w:hAnsi="Times New Roman" w:eastAsia="宋体" w:cs="宋体"/>
          <w:color w:val="auto"/>
          <w:kern w:val="2"/>
          <w:sz w:val="21"/>
          <w:szCs w:val="21"/>
          <w:highlight w:val="none"/>
          <w:lang w:val="en-US" w:eastAsia="zh-CN" w:bidi="ar-SA"/>
        </w:rPr>
        <w:t>）承包人用电、用水须安装电表、水表计量，承包人水表电表安装及移位须报采购人同意，安装完成后双方共同抄底度数，并签字认可，电表及水表须经过有关部门检测；</w:t>
      </w:r>
    </w:p>
    <w:p w14:paraId="57072462">
      <w:pPr>
        <w:widowControl w:val="0"/>
        <w:spacing w:line="400" w:lineRule="exact"/>
        <w:ind w:firstLine="420" w:firstLineChars="200"/>
        <w:jc w:val="both"/>
        <w:rPr>
          <w:rFonts w:ascii="Times New Roman" w:hAnsi="Times New Roman" w:eastAsia="宋体" w:cs="宋体"/>
          <w:color w:val="auto"/>
          <w:kern w:val="2"/>
          <w:sz w:val="21"/>
          <w:szCs w:val="21"/>
          <w:highlight w:val="none"/>
          <w:lang w:val="en-US" w:eastAsia="zh-CN" w:bidi="ar-SA"/>
        </w:rPr>
      </w:pPr>
      <w:r>
        <w:rPr>
          <w:rFonts w:hint="eastAsia" w:ascii="Times New Roman" w:hAnsi="Times New Roman" w:eastAsia="宋体" w:cs="宋体"/>
          <w:color w:val="auto"/>
          <w:kern w:val="2"/>
          <w:sz w:val="21"/>
          <w:szCs w:val="21"/>
          <w:highlight w:val="none"/>
          <w:lang w:val="en-US" w:eastAsia="zh-CN" w:bidi="ar-SA"/>
        </w:rPr>
        <w:t>（</w:t>
      </w:r>
      <w:r>
        <w:rPr>
          <w:rFonts w:ascii="Times New Roman" w:hAnsi="Times New Roman" w:eastAsia="宋体" w:cs="宋体"/>
          <w:color w:val="auto"/>
          <w:kern w:val="2"/>
          <w:sz w:val="21"/>
          <w:szCs w:val="21"/>
          <w:highlight w:val="none"/>
          <w:lang w:val="en-US" w:eastAsia="zh-CN" w:bidi="ar-SA"/>
        </w:rPr>
        <w:t>2</w:t>
      </w:r>
      <w:r>
        <w:rPr>
          <w:rFonts w:hint="eastAsia" w:ascii="Times New Roman" w:hAnsi="Times New Roman" w:eastAsia="宋体" w:cs="宋体"/>
          <w:color w:val="auto"/>
          <w:kern w:val="2"/>
          <w:sz w:val="21"/>
          <w:szCs w:val="21"/>
          <w:highlight w:val="none"/>
          <w:lang w:val="en-US" w:eastAsia="zh-CN" w:bidi="ar-SA"/>
        </w:rPr>
        <w:t>）承包人用电、用水未挂表计量的，采购人在竣工结算时扣除水电费，金额按签约合同价格的</w:t>
      </w:r>
      <w:r>
        <w:rPr>
          <w:rFonts w:ascii="Times New Roman" w:hAnsi="Times New Roman" w:eastAsia="宋体" w:cs="宋体"/>
          <w:color w:val="auto"/>
          <w:kern w:val="2"/>
          <w:sz w:val="21"/>
          <w:szCs w:val="21"/>
          <w:highlight w:val="none"/>
          <w:lang w:val="en-US" w:eastAsia="zh-CN" w:bidi="ar-SA"/>
        </w:rPr>
        <w:t>1.05%</w:t>
      </w:r>
      <w:r>
        <w:rPr>
          <w:rFonts w:hint="eastAsia" w:ascii="Times New Roman" w:hAnsi="Times New Roman" w:eastAsia="宋体" w:cs="宋体"/>
          <w:color w:val="auto"/>
          <w:kern w:val="2"/>
          <w:sz w:val="21"/>
          <w:szCs w:val="21"/>
          <w:highlight w:val="none"/>
          <w:lang w:val="en-US" w:eastAsia="zh-CN" w:bidi="ar-SA"/>
        </w:rPr>
        <w:t>计算。</w:t>
      </w:r>
    </w:p>
    <w:p w14:paraId="29219210">
      <w:pPr>
        <w:widowControl w:val="0"/>
        <w:spacing w:line="400" w:lineRule="exact"/>
        <w:ind w:firstLine="420" w:firstLineChars="200"/>
        <w:jc w:val="both"/>
        <w:rPr>
          <w:rFonts w:ascii="Times New Roman" w:hAnsi="Times New Roman" w:eastAsia="宋体" w:cs="宋体"/>
          <w:color w:val="auto"/>
          <w:kern w:val="2"/>
          <w:sz w:val="21"/>
          <w:szCs w:val="21"/>
          <w:highlight w:val="none"/>
          <w:lang w:val="en-US" w:eastAsia="zh-CN" w:bidi="ar-SA"/>
        </w:rPr>
      </w:pPr>
      <w:r>
        <w:rPr>
          <w:rFonts w:ascii="Times New Roman" w:hAnsi="Times New Roman" w:eastAsia="宋体" w:cs="宋体"/>
          <w:color w:val="auto"/>
          <w:kern w:val="2"/>
          <w:sz w:val="21"/>
          <w:szCs w:val="21"/>
          <w:highlight w:val="none"/>
          <w:lang w:val="en-US" w:eastAsia="zh-CN" w:bidi="ar-SA"/>
        </w:rPr>
        <w:t>2</w:t>
      </w:r>
      <w:r>
        <w:rPr>
          <w:rFonts w:hint="eastAsia" w:ascii="Times New Roman" w:hAnsi="Times New Roman" w:eastAsia="宋体" w:cs="宋体"/>
          <w:color w:val="auto"/>
          <w:kern w:val="2"/>
          <w:sz w:val="21"/>
          <w:szCs w:val="21"/>
          <w:highlight w:val="none"/>
          <w:lang w:val="en-US" w:eastAsia="zh-CN" w:bidi="ar-SA"/>
        </w:rPr>
        <w:t>、承包人负责从采购人指定的水电接驳点装箱、接表、敷管、敷线至用水用电地点，费用由承包人承担（注：距离施工部位外边线水平距离</w:t>
      </w:r>
      <w:r>
        <w:rPr>
          <w:rFonts w:ascii="Times New Roman" w:hAnsi="Times New Roman" w:eastAsia="宋体" w:cs="宋体"/>
          <w:color w:val="auto"/>
          <w:kern w:val="2"/>
          <w:sz w:val="21"/>
          <w:szCs w:val="21"/>
          <w:highlight w:val="none"/>
          <w:lang w:val="en-US" w:eastAsia="zh-CN" w:bidi="ar-SA"/>
        </w:rPr>
        <w:t>150</w:t>
      </w:r>
      <w:r>
        <w:rPr>
          <w:rFonts w:hint="eastAsia" w:ascii="Times New Roman" w:hAnsi="Times New Roman" w:eastAsia="宋体" w:cs="宋体"/>
          <w:color w:val="auto"/>
          <w:kern w:val="2"/>
          <w:sz w:val="21"/>
          <w:szCs w:val="21"/>
          <w:highlight w:val="none"/>
          <w:lang w:val="en-US" w:eastAsia="zh-CN" w:bidi="ar-SA"/>
        </w:rPr>
        <w:t>米范围内为承包人承担范围）。</w:t>
      </w:r>
    </w:p>
    <w:p w14:paraId="6440B0F3">
      <w:pPr>
        <w:widowControl w:val="0"/>
        <w:spacing w:line="400" w:lineRule="exact"/>
        <w:ind w:firstLine="420" w:firstLineChars="200"/>
        <w:jc w:val="both"/>
        <w:rPr>
          <w:rFonts w:ascii="Times New Roman" w:hAnsi="Times New Roman" w:eastAsia="宋体" w:cs="宋体"/>
          <w:color w:val="auto"/>
          <w:kern w:val="2"/>
          <w:sz w:val="21"/>
          <w:szCs w:val="21"/>
          <w:highlight w:val="none"/>
          <w:lang w:val="en-US" w:eastAsia="zh-CN" w:bidi="ar-SA"/>
        </w:rPr>
      </w:pPr>
      <w:r>
        <w:rPr>
          <w:rFonts w:ascii="Times New Roman" w:hAnsi="Times New Roman" w:eastAsia="宋体" w:cs="宋体"/>
          <w:color w:val="auto"/>
          <w:kern w:val="2"/>
          <w:sz w:val="21"/>
          <w:szCs w:val="21"/>
          <w:highlight w:val="none"/>
          <w:lang w:val="en-US" w:eastAsia="zh-CN" w:bidi="ar-SA"/>
        </w:rPr>
        <w:t>3</w:t>
      </w:r>
      <w:r>
        <w:rPr>
          <w:rFonts w:hint="eastAsia" w:ascii="Times New Roman" w:hAnsi="Times New Roman" w:eastAsia="宋体" w:cs="宋体"/>
          <w:color w:val="auto"/>
          <w:kern w:val="2"/>
          <w:sz w:val="21"/>
          <w:szCs w:val="21"/>
          <w:highlight w:val="none"/>
          <w:lang w:val="en-US" w:eastAsia="zh-CN" w:bidi="ar-SA"/>
        </w:rPr>
        <w:t>、对计量计费的水、电费的支付由承包人向学校收费部门交付，保留收据，工程结算时提供。</w:t>
      </w:r>
    </w:p>
    <w:p w14:paraId="5C84D7FD">
      <w:pPr>
        <w:widowControl w:val="0"/>
        <w:spacing w:line="400" w:lineRule="exact"/>
        <w:ind w:firstLine="420" w:firstLineChars="200"/>
        <w:jc w:val="both"/>
        <w:rPr>
          <w:rFonts w:ascii="Times New Roman" w:hAnsi="Times New Roman" w:eastAsia="宋体" w:cs="宋体"/>
          <w:color w:val="auto"/>
          <w:kern w:val="2"/>
          <w:sz w:val="21"/>
          <w:szCs w:val="21"/>
          <w:highlight w:val="none"/>
          <w:lang w:val="en-US" w:eastAsia="zh-CN" w:bidi="ar-SA"/>
        </w:rPr>
      </w:pPr>
      <w:r>
        <w:rPr>
          <w:rFonts w:ascii="Times New Roman" w:hAnsi="Times New Roman" w:eastAsia="宋体" w:cs="宋体"/>
          <w:color w:val="auto"/>
          <w:kern w:val="2"/>
          <w:sz w:val="21"/>
          <w:szCs w:val="21"/>
          <w:highlight w:val="none"/>
          <w:lang w:val="en-US" w:eastAsia="zh-CN" w:bidi="ar-SA"/>
        </w:rPr>
        <w:t>4.</w:t>
      </w:r>
      <w:r>
        <w:rPr>
          <w:rFonts w:hint="eastAsia" w:ascii="Times New Roman" w:hAnsi="Times New Roman" w:eastAsia="宋体" w:cs="宋体"/>
          <w:color w:val="auto"/>
          <w:kern w:val="2"/>
          <w:sz w:val="21"/>
          <w:szCs w:val="21"/>
          <w:highlight w:val="none"/>
          <w:lang w:val="en-US" w:eastAsia="zh-CN" w:bidi="ar-SA"/>
        </w:rPr>
        <w:t>承包人在施工过程的临时用水用电违反相关规定，采购人有权进行处罚；</w:t>
      </w:r>
    </w:p>
    <w:p w14:paraId="6DD454C7">
      <w:pPr>
        <w:widowControl w:val="0"/>
        <w:numPr>
          <w:ilvl w:val="0"/>
          <w:numId w:val="15"/>
        </w:numPr>
        <w:spacing w:line="400" w:lineRule="exact"/>
        <w:ind w:firstLine="420" w:firstLineChars="200"/>
        <w:jc w:val="both"/>
        <w:rPr>
          <w:rFonts w:ascii="Times New Roman" w:hAnsi="Times New Roman" w:eastAsia="宋体" w:cs="宋体"/>
          <w:color w:val="auto"/>
          <w:kern w:val="2"/>
          <w:sz w:val="21"/>
          <w:szCs w:val="21"/>
          <w:highlight w:val="none"/>
          <w:lang w:val="en-US" w:eastAsia="zh-CN" w:bidi="ar-SA"/>
        </w:rPr>
      </w:pPr>
      <w:r>
        <w:rPr>
          <w:rFonts w:hint="eastAsia" w:ascii="Times New Roman" w:hAnsi="Times New Roman" w:eastAsia="宋体" w:cs="宋体"/>
          <w:color w:val="auto"/>
          <w:kern w:val="2"/>
          <w:sz w:val="21"/>
          <w:szCs w:val="21"/>
          <w:highlight w:val="none"/>
          <w:lang w:val="en-US" w:eastAsia="zh-CN" w:bidi="ar-SA"/>
        </w:rPr>
        <w:t>承包人有义务接受监管部门监督，不得阻碍持证监管人员检查水、电使用情况。</w:t>
      </w:r>
    </w:p>
    <w:p w14:paraId="7DE09A23">
      <w:pPr>
        <w:widowControl w:val="0"/>
        <w:numPr>
          <w:ilvl w:val="0"/>
          <w:numId w:val="15"/>
        </w:numPr>
        <w:spacing w:line="400" w:lineRule="exact"/>
        <w:ind w:firstLine="420" w:firstLineChars="200"/>
        <w:jc w:val="both"/>
        <w:rPr>
          <w:rFonts w:ascii="Times New Roman" w:hAnsi="Times New Roman" w:eastAsia="宋体" w:cs="宋体"/>
          <w:color w:val="auto"/>
          <w:kern w:val="2"/>
          <w:sz w:val="21"/>
          <w:szCs w:val="21"/>
          <w:highlight w:val="none"/>
          <w:lang w:val="en-US" w:eastAsia="zh-CN" w:bidi="ar-SA"/>
        </w:rPr>
      </w:pPr>
      <w:r>
        <w:rPr>
          <w:rFonts w:hint="eastAsia" w:ascii="Times New Roman" w:hAnsi="Times New Roman" w:eastAsia="宋体" w:cs="宋体"/>
          <w:color w:val="auto"/>
          <w:kern w:val="2"/>
          <w:sz w:val="21"/>
          <w:szCs w:val="21"/>
          <w:highlight w:val="none"/>
          <w:lang w:val="en-US" w:eastAsia="zh-CN" w:bidi="ar-SA"/>
        </w:rPr>
        <w:t>承包人未按学校临时用水用电程序办理审批手续、未通过审批或审批程序未完成即私自用水用电的，采购人扣罚签约合同价的</w:t>
      </w:r>
      <w:r>
        <w:rPr>
          <w:rFonts w:ascii="Times New Roman" w:hAnsi="Times New Roman" w:eastAsia="宋体" w:cs="宋体"/>
          <w:color w:val="auto"/>
          <w:kern w:val="2"/>
          <w:sz w:val="21"/>
          <w:szCs w:val="21"/>
          <w:highlight w:val="none"/>
          <w:lang w:val="en-US" w:eastAsia="zh-CN" w:bidi="ar-SA"/>
        </w:rPr>
        <w:t>2%</w:t>
      </w:r>
      <w:r>
        <w:rPr>
          <w:rFonts w:hint="eastAsia" w:ascii="Times New Roman" w:hAnsi="Times New Roman" w:eastAsia="宋体" w:cs="宋体"/>
          <w:color w:val="auto"/>
          <w:kern w:val="2"/>
          <w:sz w:val="21"/>
          <w:szCs w:val="21"/>
          <w:highlight w:val="none"/>
          <w:lang w:val="en-US" w:eastAsia="zh-CN" w:bidi="ar-SA"/>
        </w:rPr>
        <w:t>作为违约金。</w:t>
      </w:r>
    </w:p>
    <w:p w14:paraId="059ED4B1">
      <w:pPr>
        <w:widowControl w:val="0"/>
        <w:numPr>
          <w:ilvl w:val="0"/>
          <w:numId w:val="15"/>
        </w:numPr>
        <w:spacing w:line="400" w:lineRule="exact"/>
        <w:ind w:firstLine="420" w:firstLineChars="200"/>
        <w:jc w:val="both"/>
        <w:rPr>
          <w:rFonts w:ascii="Times New Roman" w:hAnsi="Times New Roman" w:eastAsia="宋体" w:cs="宋体"/>
          <w:color w:val="auto"/>
          <w:kern w:val="2"/>
          <w:sz w:val="21"/>
          <w:szCs w:val="21"/>
          <w:highlight w:val="none"/>
          <w:lang w:val="en-US" w:eastAsia="zh-CN" w:bidi="ar-SA"/>
        </w:rPr>
      </w:pPr>
      <w:r>
        <w:rPr>
          <w:rFonts w:hint="eastAsia" w:ascii="Times New Roman" w:hAnsi="Times New Roman" w:eastAsia="宋体" w:cs="宋体"/>
          <w:color w:val="auto"/>
          <w:kern w:val="2"/>
          <w:sz w:val="21"/>
          <w:szCs w:val="21"/>
          <w:highlight w:val="none"/>
          <w:lang w:val="en-US" w:eastAsia="zh-CN" w:bidi="ar-SA"/>
        </w:rPr>
        <w:t>采用挂表计量方式用水用电的，水表电表需由学校能源动力中心统一安装和移动。承包人未经能源动力中心许可私自安装表具用水用电的，私自移动、改装或改动计量表具的，每发现一次将处以</w:t>
      </w:r>
      <w:r>
        <w:rPr>
          <w:rFonts w:ascii="Times New Roman" w:hAnsi="Times New Roman" w:eastAsia="宋体" w:cs="宋体"/>
          <w:color w:val="auto"/>
          <w:kern w:val="2"/>
          <w:sz w:val="21"/>
          <w:szCs w:val="21"/>
          <w:highlight w:val="none"/>
          <w:lang w:val="en-US" w:eastAsia="zh-CN" w:bidi="ar-SA"/>
        </w:rPr>
        <w:t>5000</w:t>
      </w:r>
      <w:r>
        <w:rPr>
          <w:rFonts w:hint="eastAsia" w:ascii="Times New Roman" w:hAnsi="Times New Roman" w:eastAsia="宋体" w:cs="宋体"/>
          <w:color w:val="auto"/>
          <w:kern w:val="2"/>
          <w:sz w:val="21"/>
          <w:szCs w:val="21"/>
          <w:highlight w:val="none"/>
          <w:lang w:val="en-US" w:eastAsia="zh-CN" w:bidi="ar-SA"/>
        </w:rPr>
        <w:t>元罚款。承包人未安装水表或电表用水用电的，采购人扣罚签约合同价的</w:t>
      </w:r>
      <w:r>
        <w:rPr>
          <w:rFonts w:ascii="Times New Roman" w:hAnsi="Times New Roman" w:eastAsia="宋体" w:cs="宋体"/>
          <w:color w:val="auto"/>
          <w:kern w:val="2"/>
          <w:sz w:val="21"/>
          <w:szCs w:val="21"/>
          <w:highlight w:val="none"/>
          <w:lang w:val="en-US" w:eastAsia="zh-CN" w:bidi="ar-SA"/>
        </w:rPr>
        <w:t>2%</w:t>
      </w:r>
      <w:r>
        <w:rPr>
          <w:rFonts w:hint="eastAsia" w:ascii="Times New Roman" w:hAnsi="Times New Roman" w:eastAsia="宋体" w:cs="宋体"/>
          <w:color w:val="auto"/>
          <w:kern w:val="2"/>
          <w:sz w:val="21"/>
          <w:szCs w:val="21"/>
          <w:highlight w:val="none"/>
          <w:lang w:val="en-US" w:eastAsia="zh-CN" w:bidi="ar-SA"/>
        </w:rPr>
        <w:t>作为违约金。</w:t>
      </w:r>
    </w:p>
    <w:p w14:paraId="0B78DC8E">
      <w:pPr>
        <w:widowControl w:val="0"/>
        <w:numPr>
          <w:ilvl w:val="0"/>
          <w:numId w:val="15"/>
        </w:numPr>
        <w:spacing w:line="400" w:lineRule="exact"/>
        <w:ind w:firstLine="420" w:firstLineChars="200"/>
        <w:jc w:val="both"/>
        <w:rPr>
          <w:rFonts w:ascii="Times New Roman" w:hAnsi="Times New Roman" w:eastAsia="宋体" w:cs="宋体"/>
          <w:color w:val="auto"/>
          <w:kern w:val="2"/>
          <w:sz w:val="21"/>
          <w:szCs w:val="21"/>
          <w:highlight w:val="none"/>
          <w:lang w:val="en-US" w:eastAsia="zh-CN" w:bidi="ar-SA"/>
        </w:rPr>
      </w:pPr>
      <w:r>
        <w:rPr>
          <w:rFonts w:hint="eastAsia" w:ascii="Times New Roman" w:hAnsi="Times New Roman" w:eastAsia="宋体" w:cs="宋体"/>
          <w:color w:val="auto"/>
          <w:kern w:val="2"/>
          <w:sz w:val="21"/>
          <w:szCs w:val="21"/>
          <w:highlight w:val="none"/>
          <w:lang w:val="en-US" w:eastAsia="zh-CN" w:bidi="ar-SA"/>
        </w:rPr>
        <w:t>采用挂表计量方式用水用电的，承包人故意损坏合法安装的计量装置或使其计量不准、失效的，每发现一次将处以</w:t>
      </w:r>
      <w:r>
        <w:rPr>
          <w:rFonts w:ascii="Times New Roman" w:hAnsi="Times New Roman" w:eastAsia="宋体" w:cs="宋体"/>
          <w:color w:val="auto"/>
          <w:kern w:val="2"/>
          <w:sz w:val="21"/>
          <w:szCs w:val="21"/>
          <w:highlight w:val="none"/>
          <w:lang w:val="en-US" w:eastAsia="zh-CN" w:bidi="ar-SA"/>
        </w:rPr>
        <w:t>5000</w:t>
      </w:r>
      <w:r>
        <w:rPr>
          <w:rFonts w:hint="eastAsia" w:ascii="Times New Roman" w:hAnsi="Times New Roman" w:eastAsia="宋体" w:cs="宋体"/>
          <w:color w:val="auto"/>
          <w:kern w:val="2"/>
          <w:sz w:val="21"/>
          <w:szCs w:val="21"/>
          <w:highlight w:val="none"/>
          <w:lang w:val="en-US" w:eastAsia="zh-CN" w:bidi="ar-SA"/>
        </w:rPr>
        <w:t>元罚款。</w:t>
      </w:r>
    </w:p>
    <w:p w14:paraId="5F315E94">
      <w:pPr>
        <w:widowControl w:val="0"/>
        <w:numPr>
          <w:ilvl w:val="0"/>
          <w:numId w:val="15"/>
        </w:numPr>
        <w:spacing w:line="400" w:lineRule="exact"/>
        <w:ind w:firstLine="420" w:firstLineChars="200"/>
        <w:jc w:val="both"/>
        <w:rPr>
          <w:rFonts w:ascii="Times New Roman" w:hAnsi="Times New Roman" w:eastAsia="宋体" w:cs="宋体"/>
          <w:color w:val="auto"/>
          <w:kern w:val="2"/>
          <w:sz w:val="21"/>
          <w:szCs w:val="21"/>
          <w:highlight w:val="none"/>
          <w:lang w:val="en-US" w:eastAsia="zh-CN" w:bidi="ar-SA"/>
        </w:rPr>
      </w:pPr>
      <w:r>
        <w:rPr>
          <w:rFonts w:hint="eastAsia" w:ascii="Times New Roman" w:hAnsi="Times New Roman" w:eastAsia="宋体" w:cs="宋体"/>
          <w:color w:val="auto"/>
          <w:kern w:val="2"/>
          <w:sz w:val="21"/>
          <w:szCs w:val="21"/>
          <w:highlight w:val="none"/>
          <w:lang w:val="en-US" w:eastAsia="zh-CN" w:bidi="ar-SA"/>
        </w:rPr>
        <w:t>承包人使用伪造、变造或非法充值的电费卡充值用电的，每发现一次采购人扣罚签约合同价的</w:t>
      </w:r>
      <w:r>
        <w:rPr>
          <w:rFonts w:ascii="Times New Roman" w:hAnsi="Times New Roman" w:eastAsia="宋体" w:cs="宋体"/>
          <w:color w:val="auto"/>
          <w:kern w:val="2"/>
          <w:sz w:val="21"/>
          <w:szCs w:val="21"/>
          <w:highlight w:val="none"/>
          <w:lang w:val="en-US" w:eastAsia="zh-CN" w:bidi="ar-SA"/>
        </w:rPr>
        <w:t>2%</w:t>
      </w:r>
      <w:r>
        <w:rPr>
          <w:rFonts w:hint="eastAsia" w:ascii="Times New Roman" w:hAnsi="Times New Roman" w:eastAsia="宋体" w:cs="宋体"/>
          <w:color w:val="auto"/>
          <w:kern w:val="2"/>
          <w:sz w:val="21"/>
          <w:szCs w:val="21"/>
          <w:highlight w:val="none"/>
          <w:lang w:val="en-US" w:eastAsia="zh-CN" w:bidi="ar-SA"/>
        </w:rPr>
        <w:t>作为违约金。</w:t>
      </w:r>
    </w:p>
    <w:p w14:paraId="3057DAB3">
      <w:pPr>
        <w:widowControl w:val="0"/>
        <w:numPr>
          <w:ilvl w:val="0"/>
          <w:numId w:val="15"/>
        </w:numPr>
        <w:spacing w:line="400" w:lineRule="exact"/>
        <w:ind w:firstLine="420" w:firstLineChars="200"/>
        <w:jc w:val="both"/>
        <w:rPr>
          <w:rFonts w:ascii="Times New Roman" w:hAnsi="Times New Roman" w:eastAsia="宋体" w:cs="宋体"/>
          <w:color w:val="auto"/>
          <w:kern w:val="2"/>
          <w:sz w:val="21"/>
          <w:szCs w:val="21"/>
          <w:highlight w:val="none"/>
          <w:lang w:val="en-US" w:eastAsia="zh-CN" w:bidi="ar-SA"/>
        </w:rPr>
      </w:pPr>
      <w:r>
        <w:rPr>
          <w:rFonts w:hint="eastAsia" w:ascii="Times New Roman" w:hAnsi="Times New Roman" w:eastAsia="宋体" w:cs="宋体"/>
          <w:color w:val="auto"/>
          <w:kern w:val="2"/>
          <w:sz w:val="21"/>
          <w:szCs w:val="21"/>
          <w:highlight w:val="none"/>
          <w:lang w:val="en-US" w:eastAsia="zh-CN" w:bidi="ar-SA"/>
        </w:rPr>
        <w:t>采用挂表计量方式用水用电的，承包人未经允许私自开启电能表铅封或伪造铅封的，采购人每发现一次扣罚签约合同价的</w:t>
      </w:r>
      <w:r>
        <w:rPr>
          <w:rFonts w:ascii="Times New Roman" w:hAnsi="Times New Roman" w:eastAsia="宋体" w:cs="宋体"/>
          <w:color w:val="auto"/>
          <w:kern w:val="2"/>
          <w:sz w:val="21"/>
          <w:szCs w:val="21"/>
          <w:highlight w:val="none"/>
          <w:lang w:val="en-US" w:eastAsia="zh-CN" w:bidi="ar-SA"/>
        </w:rPr>
        <w:t>2%</w:t>
      </w:r>
      <w:r>
        <w:rPr>
          <w:rFonts w:hint="eastAsia" w:ascii="Times New Roman" w:hAnsi="Times New Roman" w:eastAsia="宋体" w:cs="宋体"/>
          <w:color w:val="auto"/>
          <w:kern w:val="2"/>
          <w:sz w:val="21"/>
          <w:szCs w:val="21"/>
          <w:highlight w:val="none"/>
          <w:lang w:val="en-US" w:eastAsia="zh-CN" w:bidi="ar-SA"/>
        </w:rPr>
        <w:t>作为违约金。</w:t>
      </w:r>
    </w:p>
    <w:p w14:paraId="543584AD">
      <w:pPr>
        <w:widowControl w:val="0"/>
        <w:numPr>
          <w:ilvl w:val="0"/>
          <w:numId w:val="15"/>
        </w:numPr>
        <w:spacing w:line="400" w:lineRule="exact"/>
        <w:ind w:firstLine="420" w:firstLineChars="200"/>
        <w:jc w:val="both"/>
        <w:rPr>
          <w:rFonts w:ascii="Times New Roman" w:hAnsi="Times New Roman" w:eastAsia="宋体" w:cs="宋体"/>
          <w:color w:val="auto"/>
          <w:kern w:val="2"/>
          <w:sz w:val="21"/>
          <w:szCs w:val="21"/>
          <w:highlight w:val="none"/>
          <w:lang w:val="en-US" w:eastAsia="zh-CN" w:bidi="ar-SA"/>
        </w:rPr>
      </w:pPr>
      <w:r>
        <w:rPr>
          <w:rFonts w:hint="eastAsia" w:ascii="Times New Roman" w:hAnsi="Times New Roman" w:eastAsia="宋体" w:cs="宋体"/>
          <w:color w:val="auto"/>
          <w:kern w:val="2"/>
          <w:sz w:val="21"/>
          <w:szCs w:val="21"/>
          <w:highlight w:val="none"/>
          <w:lang w:val="en-US" w:eastAsia="zh-CN" w:bidi="ar-SA"/>
        </w:rPr>
        <w:t>采用挂表计量方式用水用电的，承包人绕越合法安装的计量装置用水用电的（包括但不限于绕越电表在学校电气线路、断路器或插座等供电设施接线用电的；绕越水表从学校供水管线或水龙头等处接水使用的），采购人每发现一次扣罚签约合同价的</w:t>
      </w:r>
      <w:r>
        <w:rPr>
          <w:rFonts w:ascii="Times New Roman" w:hAnsi="Times New Roman" w:eastAsia="宋体" w:cs="宋体"/>
          <w:color w:val="auto"/>
          <w:kern w:val="2"/>
          <w:sz w:val="21"/>
          <w:szCs w:val="21"/>
          <w:highlight w:val="none"/>
          <w:lang w:val="en-US" w:eastAsia="zh-CN" w:bidi="ar-SA"/>
        </w:rPr>
        <w:t>2%</w:t>
      </w:r>
      <w:r>
        <w:rPr>
          <w:rFonts w:hint="eastAsia" w:ascii="Times New Roman" w:hAnsi="Times New Roman" w:eastAsia="宋体" w:cs="宋体"/>
          <w:color w:val="auto"/>
          <w:kern w:val="2"/>
          <w:sz w:val="21"/>
          <w:szCs w:val="21"/>
          <w:highlight w:val="none"/>
          <w:lang w:val="en-US" w:eastAsia="zh-CN" w:bidi="ar-SA"/>
        </w:rPr>
        <w:t>作为违约金。</w:t>
      </w:r>
    </w:p>
    <w:p w14:paraId="4BE02C93">
      <w:pPr>
        <w:widowControl w:val="0"/>
        <w:numPr>
          <w:ilvl w:val="0"/>
          <w:numId w:val="15"/>
        </w:numPr>
        <w:spacing w:line="400" w:lineRule="exact"/>
        <w:ind w:firstLine="420" w:firstLineChars="200"/>
        <w:jc w:val="both"/>
        <w:rPr>
          <w:rFonts w:ascii="Times New Roman" w:hAnsi="Times New Roman" w:eastAsia="宋体" w:cs="宋体"/>
          <w:color w:val="auto"/>
          <w:kern w:val="2"/>
          <w:sz w:val="21"/>
          <w:szCs w:val="21"/>
          <w:highlight w:val="none"/>
          <w:lang w:val="en-US" w:eastAsia="zh-CN" w:bidi="ar-SA"/>
        </w:rPr>
      </w:pPr>
      <w:r>
        <w:rPr>
          <w:rFonts w:hint="eastAsia" w:ascii="Times New Roman" w:hAnsi="Times New Roman" w:eastAsia="宋体" w:cs="宋体"/>
          <w:color w:val="auto"/>
          <w:kern w:val="2"/>
          <w:sz w:val="21"/>
          <w:szCs w:val="21"/>
          <w:highlight w:val="none"/>
          <w:lang w:val="en-US" w:eastAsia="zh-CN" w:bidi="ar-SA"/>
        </w:rPr>
        <w:t>承包人选择不使用学校水、电资源的，未经采购人同意承包人擅自使用学校水、电资源（包括但不限于在学校电气线路、断路器或插座等供电设施接线用电的；从学校供水管线或水龙头等处接水使用的），采购人每发现一次扣罚签约合同价的</w:t>
      </w:r>
      <w:r>
        <w:rPr>
          <w:rFonts w:ascii="Times New Roman" w:hAnsi="Times New Roman" w:eastAsia="宋体" w:cs="宋体"/>
          <w:color w:val="auto"/>
          <w:kern w:val="2"/>
          <w:sz w:val="21"/>
          <w:szCs w:val="21"/>
          <w:highlight w:val="none"/>
          <w:lang w:val="en-US" w:eastAsia="zh-CN" w:bidi="ar-SA"/>
        </w:rPr>
        <w:t>2%</w:t>
      </w:r>
      <w:r>
        <w:rPr>
          <w:rFonts w:hint="eastAsia" w:ascii="Times New Roman" w:hAnsi="Times New Roman" w:eastAsia="宋体" w:cs="宋体"/>
          <w:color w:val="auto"/>
          <w:kern w:val="2"/>
          <w:sz w:val="21"/>
          <w:szCs w:val="21"/>
          <w:highlight w:val="none"/>
          <w:lang w:val="en-US" w:eastAsia="zh-CN" w:bidi="ar-SA"/>
        </w:rPr>
        <w:t>作为违约金。</w:t>
      </w:r>
    </w:p>
    <w:p w14:paraId="145CD9E9">
      <w:pPr>
        <w:widowControl w:val="0"/>
        <w:numPr>
          <w:ilvl w:val="0"/>
          <w:numId w:val="15"/>
        </w:numPr>
        <w:spacing w:line="400" w:lineRule="exact"/>
        <w:ind w:firstLine="420" w:firstLineChars="200"/>
        <w:jc w:val="both"/>
        <w:rPr>
          <w:rFonts w:ascii="Times New Roman" w:hAnsi="Times New Roman" w:eastAsia="宋体" w:cs="宋体"/>
          <w:color w:val="auto"/>
          <w:kern w:val="2"/>
          <w:sz w:val="21"/>
          <w:szCs w:val="21"/>
          <w:highlight w:val="none"/>
          <w:lang w:val="en-US" w:eastAsia="zh-CN" w:bidi="ar-SA"/>
        </w:rPr>
      </w:pPr>
      <w:r>
        <w:rPr>
          <w:rFonts w:hint="eastAsia" w:ascii="Times New Roman" w:hAnsi="Times New Roman" w:eastAsia="宋体" w:cs="宋体"/>
          <w:color w:val="auto"/>
          <w:kern w:val="2"/>
          <w:sz w:val="21"/>
          <w:szCs w:val="21"/>
          <w:highlight w:val="none"/>
          <w:lang w:val="en-US" w:eastAsia="zh-CN" w:bidi="ar-SA"/>
        </w:rPr>
        <w:t>项目竣工验收合格后，能源动力中心、计划财务部双方均同意拆除计量装置并出具书面许可意见，方可拆除电表、水表计量装置。承包人未经许可私自拆除水表或电表的，采购人将扣罚签约合同价的</w:t>
      </w:r>
      <w:r>
        <w:rPr>
          <w:rFonts w:ascii="Times New Roman" w:hAnsi="Times New Roman" w:eastAsia="宋体" w:cs="宋体"/>
          <w:color w:val="auto"/>
          <w:kern w:val="2"/>
          <w:sz w:val="21"/>
          <w:szCs w:val="21"/>
          <w:highlight w:val="none"/>
          <w:lang w:val="en-US" w:eastAsia="zh-CN" w:bidi="ar-SA"/>
        </w:rPr>
        <w:t>2%</w:t>
      </w:r>
      <w:r>
        <w:rPr>
          <w:rFonts w:hint="eastAsia" w:ascii="Times New Roman" w:hAnsi="Times New Roman" w:eastAsia="宋体" w:cs="宋体"/>
          <w:color w:val="auto"/>
          <w:kern w:val="2"/>
          <w:sz w:val="21"/>
          <w:szCs w:val="21"/>
          <w:highlight w:val="none"/>
          <w:lang w:val="en-US" w:eastAsia="zh-CN" w:bidi="ar-SA"/>
        </w:rPr>
        <w:t>作为违约金。</w:t>
      </w:r>
    </w:p>
    <w:p w14:paraId="147646F2">
      <w:pPr>
        <w:widowControl w:val="0"/>
        <w:numPr>
          <w:ilvl w:val="0"/>
          <w:numId w:val="15"/>
        </w:numPr>
        <w:spacing w:line="400" w:lineRule="exact"/>
        <w:ind w:firstLine="420" w:firstLineChars="200"/>
        <w:jc w:val="both"/>
        <w:rPr>
          <w:rFonts w:ascii="Times New Roman" w:hAnsi="Times New Roman" w:eastAsia="宋体" w:cs="宋体"/>
          <w:color w:val="auto"/>
          <w:kern w:val="2"/>
          <w:sz w:val="21"/>
          <w:szCs w:val="21"/>
          <w:highlight w:val="none"/>
          <w:lang w:val="en-US" w:eastAsia="zh-CN" w:bidi="ar-SA"/>
        </w:rPr>
      </w:pPr>
      <w:r>
        <w:rPr>
          <w:rFonts w:hint="eastAsia" w:ascii="Times New Roman" w:hAnsi="Times New Roman" w:eastAsia="宋体" w:cs="宋体"/>
          <w:color w:val="auto"/>
          <w:kern w:val="2"/>
          <w:sz w:val="21"/>
          <w:szCs w:val="21"/>
          <w:highlight w:val="none"/>
          <w:lang w:val="en-US" w:eastAsia="zh-CN" w:bidi="ar-SA"/>
        </w:rPr>
        <w:t>电表设备使用后需归还能源动力中心，如出现电表设备损坏、改装、改动、破坏铅封或电表不能正常使用等情况的，表具押金不予退还，并按相关条款进行处罚。同时承包人需将电表修复，由此产生的费用由承包人承担。</w:t>
      </w:r>
    </w:p>
    <w:p w14:paraId="08BEB4F9">
      <w:pPr>
        <w:widowControl w:val="0"/>
        <w:numPr>
          <w:ilvl w:val="0"/>
          <w:numId w:val="15"/>
        </w:numPr>
        <w:spacing w:line="400" w:lineRule="exact"/>
        <w:ind w:firstLine="420" w:firstLineChars="200"/>
        <w:jc w:val="both"/>
        <w:rPr>
          <w:rFonts w:ascii="Times New Roman" w:hAnsi="Times New Roman" w:eastAsia="宋体" w:cs="宋体"/>
          <w:color w:val="auto"/>
          <w:kern w:val="2"/>
          <w:sz w:val="21"/>
          <w:szCs w:val="21"/>
          <w:highlight w:val="none"/>
          <w:lang w:val="en-US" w:eastAsia="zh-CN" w:bidi="ar-SA"/>
        </w:rPr>
      </w:pPr>
      <w:r>
        <w:rPr>
          <w:rFonts w:hint="eastAsia" w:ascii="Times New Roman" w:hAnsi="Times New Roman" w:eastAsia="宋体" w:cs="宋体"/>
          <w:color w:val="auto"/>
          <w:kern w:val="2"/>
          <w:sz w:val="21"/>
          <w:szCs w:val="21"/>
          <w:highlight w:val="none"/>
          <w:lang w:val="en-US" w:eastAsia="zh-CN" w:bidi="ar-SA"/>
        </w:rPr>
        <w:t>未尽事宜按照《哈尔滨工业大学用电管理制度》处理。如承包人出现上述违规行为，学校将停止供水供电，承包人必须立即整改，整改合格后方可恢复供水供电。</w:t>
      </w:r>
    </w:p>
    <w:p w14:paraId="7B0453BC">
      <w:pPr>
        <w:widowControl w:val="0"/>
        <w:numPr>
          <w:ilvl w:val="0"/>
          <w:numId w:val="15"/>
        </w:numPr>
        <w:spacing w:line="400" w:lineRule="exact"/>
        <w:ind w:firstLine="420" w:firstLineChars="200"/>
        <w:jc w:val="both"/>
        <w:rPr>
          <w:rFonts w:ascii="Times New Roman" w:hAnsi="Times New Roman" w:eastAsia="宋体" w:cs="宋体"/>
          <w:color w:val="auto"/>
          <w:kern w:val="2"/>
          <w:sz w:val="21"/>
          <w:szCs w:val="21"/>
          <w:highlight w:val="none"/>
          <w:lang w:val="en-US" w:eastAsia="zh-CN" w:bidi="ar-SA"/>
        </w:rPr>
      </w:pPr>
      <w:r>
        <w:rPr>
          <w:rFonts w:hint="eastAsia" w:ascii="Times New Roman" w:hAnsi="Times New Roman" w:eastAsia="宋体" w:cs="宋体"/>
          <w:color w:val="auto"/>
          <w:kern w:val="2"/>
          <w:sz w:val="21"/>
          <w:szCs w:val="21"/>
          <w:highlight w:val="none"/>
          <w:lang w:val="en-US" w:eastAsia="zh-CN" w:bidi="ar-SA"/>
        </w:rPr>
        <w:t>承包人罚款缴纳有两种方案：方案一是在项目竣工结算时从合同价款中直接扣除；方案二是承包人现金缴纳至总务处计财部。采用哪种方案需进一步协商。</w:t>
      </w:r>
    </w:p>
    <w:p w14:paraId="60C652B7">
      <w:pPr>
        <w:widowControl w:val="0"/>
        <w:numPr>
          <w:ilvl w:val="0"/>
          <w:numId w:val="14"/>
        </w:numPr>
        <w:spacing w:line="400" w:lineRule="exact"/>
        <w:ind w:firstLine="420" w:firstLineChars="200"/>
        <w:jc w:val="both"/>
        <w:rPr>
          <w:rFonts w:ascii="Times New Roman" w:hAnsi="Times New Roman" w:eastAsia="宋体" w:cs="宋体"/>
          <w:color w:val="auto"/>
          <w:kern w:val="2"/>
          <w:sz w:val="21"/>
          <w:szCs w:val="21"/>
          <w:highlight w:val="none"/>
          <w:lang w:val="en-US" w:eastAsia="zh-CN" w:bidi="ar-SA"/>
        </w:rPr>
      </w:pPr>
      <w:r>
        <w:rPr>
          <w:rFonts w:hint="eastAsia" w:ascii="Times New Roman" w:hAnsi="Times New Roman" w:eastAsia="宋体" w:cs="宋体"/>
          <w:color w:val="auto"/>
          <w:kern w:val="2"/>
          <w:sz w:val="21"/>
          <w:szCs w:val="21"/>
          <w:highlight w:val="none"/>
          <w:lang w:val="en-US" w:eastAsia="zh-CN" w:bidi="ar-SA"/>
        </w:rPr>
        <w:t>其他要求：</w:t>
      </w:r>
    </w:p>
    <w:p w14:paraId="1E71D4FD">
      <w:pPr>
        <w:widowControl w:val="0"/>
        <w:numPr>
          <w:ilvl w:val="0"/>
          <w:numId w:val="16"/>
        </w:numPr>
        <w:spacing w:line="400" w:lineRule="exact"/>
        <w:ind w:firstLine="420" w:firstLineChars="200"/>
        <w:jc w:val="both"/>
        <w:rPr>
          <w:rFonts w:ascii="Times New Roman" w:hAnsi="Times New Roman" w:eastAsia="宋体" w:cs="宋体"/>
          <w:b/>
          <w:color w:val="auto"/>
          <w:kern w:val="2"/>
          <w:sz w:val="21"/>
          <w:szCs w:val="21"/>
          <w:highlight w:val="none"/>
          <w:u w:val="single"/>
          <w:lang w:val="en-US" w:eastAsia="zh-CN" w:bidi="ar-SA"/>
        </w:rPr>
      </w:pPr>
      <w:r>
        <w:rPr>
          <w:rFonts w:hint="eastAsia" w:ascii="Times New Roman" w:hAnsi="Times New Roman" w:eastAsia="宋体" w:cs="宋体"/>
          <w:color w:val="auto"/>
          <w:kern w:val="2"/>
          <w:sz w:val="21"/>
          <w:szCs w:val="21"/>
          <w:highlight w:val="none"/>
          <w:lang w:val="en-US" w:eastAsia="zh-CN" w:bidi="ar-SA"/>
        </w:rPr>
        <w:t>采购人对施工质量有疑问，而要求承包人复测时，承包人应给予积极配合。</w:t>
      </w:r>
    </w:p>
    <w:p w14:paraId="10715E72">
      <w:pPr>
        <w:widowControl w:val="0"/>
        <w:numPr>
          <w:ilvl w:val="0"/>
          <w:numId w:val="16"/>
        </w:numPr>
        <w:spacing w:line="400" w:lineRule="exact"/>
        <w:ind w:firstLine="420" w:firstLineChars="200"/>
        <w:jc w:val="both"/>
        <w:rPr>
          <w:rFonts w:ascii="Times New Roman" w:hAnsi="Times New Roman" w:eastAsia="宋体" w:cs="宋体"/>
          <w:bCs/>
          <w:color w:val="auto"/>
          <w:kern w:val="2"/>
          <w:sz w:val="21"/>
          <w:szCs w:val="21"/>
          <w:highlight w:val="none"/>
          <w:lang w:val="en-US" w:eastAsia="zh-CN" w:bidi="ar-SA"/>
        </w:rPr>
      </w:pPr>
      <w:r>
        <w:rPr>
          <w:rFonts w:hint="eastAsia" w:ascii="Times New Roman" w:hAnsi="Times New Roman" w:eastAsia="宋体" w:cs="宋体"/>
          <w:color w:val="auto"/>
          <w:kern w:val="2"/>
          <w:sz w:val="21"/>
          <w:szCs w:val="21"/>
          <w:highlight w:val="none"/>
          <w:lang w:val="en-US" w:eastAsia="zh-CN" w:bidi="ar-SA"/>
        </w:rPr>
        <w:t>为保证施工质量，施工难点以及容易发生质量通病的地方，承包人应先报施工方案经采购人确认。采购人可根据实际情况要求承包人做施工样板方可施工；</w:t>
      </w:r>
      <w:r>
        <w:rPr>
          <w:rFonts w:hint="eastAsia" w:ascii="Times New Roman" w:hAnsi="Times New Roman" w:eastAsia="宋体" w:cs="宋体"/>
          <w:bCs/>
          <w:color w:val="auto"/>
          <w:kern w:val="2"/>
          <w:sz w:val="21"/>
          <w:szCs w:val="21"/>
          <w:highlight w:val="none"/>
          <w:lang w:val="en-US" w:eastAsia="zh-CN" w:bidi="ar-SA"/>
        </w:rPr>
        <w:t>因施工现场条件复杂，承包人须按采购人要求进行挖掘探坑、拆除障碍等作业。上述内容除招标工程量清单中已列项外，其余费用全部由承包人承担，采购人不再另行支付费用，请承包人在测算报价时充分考虑以上因素。</w:t>
      </w:r>
    </w:p>
    <w:p w14:paraId="33D212DA">
      <w:pPr>
        <w:widowControl w:val="0"/>
        <w:numPr>
          <w:ilvl w:val="0"/>
          <w:numId w:val="16"/>
        </w:numPr>
        <w:spacing w:line="400" w:lineRule="exact"/>
        <w:ind w:firstLine="420" w:firstLineChars="200"/>
        <w:jc w:val="both"/>
        <w:rPr>
          <w:rFonts w:ascii="Times New Roman" w:hAnsi="Times New Roman" w:eastAsia="宋体" w:cs="宋体"/>
          <w:color w:val="auto"/>
          <w:kern w:val="2"/>
          <w:sz w:val="21"/>
          <w:szCs w:val="21"/>
          <w:highlight w:val="none"/>
          <w:lang w:val="en-US" w:eastAsia="zh-CN" w:bidi="ar-SA"/>
        </w:rPr>
      </w:pPr>
      <w:r>
        <w:rPr>
          <w:rFonts w:hint="eastAsia" w:ascii="Times New Roman" w:hAnsi="Times New Roman" w:eastAsia="宋体" w:cs="宋体"/>
          <w:color w:val="auto"/>
          <w:kern w:val="2"/>
          <w:sz w:val="21"/>
          <w:szCs w:val="21"/>
          <w:highlight w:val="none"/>
          <w:lang w:val="en-US" w:eastAsia="zh-CN" w:bidi="ar-SA"/>
        </w:rPr>
        <w:t>由于承包人施工质量原因，出现质量问题，承包人除按要求进行整改并承担相应费用和责任外，每次出现质量问题扣工程款</w:t>
      </w:r>
      <w:r>
        <w:rPr>
          <w:rFonts w:ascii="Times New Roman" w:hAnsi="Times New Roman" w:eastAsia="宋体" w:cs="宋体"/>
          <w:color w:val="auto"/>
          <w:kern w:val="2"/>
          <w:sz w:val="21"/>
          <w:szCs w:val="21"/>
          <w:highlight w:val="none"/>
          <w:lang w:val="en-US" w:eastAsia="zh-CN" w:bidi="ar-SA"/>
        </w:rPr>
        <w:t>0.5</w:t>
      </w:r>
      <w:r>
        <w:rPr>
          <w:rFonts w:hint="eastAsia" w:ascii="Times New Roman" w:hAnsi="Times New Roman" w:eastAsia="宋体" w:cs="宋体"/>
          <w:color w:val="auto"/>
          <w:kern w:val="2"/>
          <w:sz w:val="21"/>
          <w:szCs w:val="21"/>
          <w:highlight w:val="none"/>
          <w:lang w:val="en-US" w:eastAsia="zh-CN" w:bidi="ar-SA"/>
        </w:rPr>
        <w:t>万元。</w:t>
      </w:r>
    </w:p>
    <w:p w14:paraId="771E1005">
      <w:pPr>
        <w:widowControl w:val="0"/>
        <w:numPr>
          <w:ilvl w:val="0"/>
          <w:numId w:val="16"/>
        </w:numPr>
        <w:spacing w:line="400" w:lineRule="exact"/>
        <w:ind w:firstLine="420" w:firstLineChars="200"/>
        <w:jc w:val="both"/>
        <w:rPr>
          <w:rFonts w:ascii="Times New Roman" w:hAnsi="Times New Roman" w:eastAsia="宋体" w:cs="宋体"/>
          <w:color w:val="auto"/>
          <w:kern w:val="2"/>
          <w:sz w:val="21"/>
          <w:szCs w:val="21"/>
          <w:highlight w:val="none"/>
          <w:lang w:val="en-US" w:eastAsia="zh-CN" w:bidi="ar-SA"/>
        </w:rPr>
      </w:pPr>
      <w:r>
        <w:rPr>
          <w:rFonts w:hint="eastAsia" w:ascii="Times New Roman" w:hAnsi="Times New Roman" w:eastAsia="宋体" w:cs="宋体"/>
          <w:color w:val="auto"/>
          <w:kern w:val="2"/>
          <w:sz w:val="21"/>
          <w:szCs w:val="21"/>
          <w:highlight w:val="none"/>
          <w:lang w:val="en-US" w:eastAsia="zh-CN" w:bidi="ar-SA"/>
        </w:rPr>
        <w:t>如承包人不按合同约定施工，或违反正常施工程序、施工工艺进行野蛮施工，或施工质量、安全、环保等达不到有关要求，或施工用材料设备不合规定，采购人有权勒令承包人暂停施工，承包人必须立即停工整改，一切责任由承包人负责。</w:t>
      </w:r>
    </w:p>
    <w:p w14:paraId="22D93FC1">
      <w:pPr>
        <w:widowControl w:val="0"/>
        <w:numPr>
          <w:ilvl w:val="0"/>
          <w:numId w:val="16"/>
        </w:numPr>
        <w:spacing w:line="400" w:lineRule="exact"/>
        <w:ind w:firstLine="420" w:firstLineChars="200"/>
        <w:jc w:val="both"/>
        <w:rPr>
          <w:rFonts w:ascii="Times New Roman" w:hAnsi="Times New Roman" w:eastAsia="宋体" w:cs="宋体"/>
          <w:color w:val="auto"/>
          <w:kern w:val="2"/>
          <w:sz w:val="21"/>
          <w:szCs w:val="21"/>
          <w:highlight w:val="none"/>
          <w:u w:val="single"/>
          <w:lang w:val="en-US" w:eastAsia="zh-CN" w:bidi="ar-SA"/>
        </w:rPr>
      </w:pPr>
      <w:r>
        <w:rPr>
          <w:rFonts w:hint="eastAsia" w:ascii="Times New Roman" w:hAnsi="Times New Roman" w:eastAsia="宋体" w:cs="宋体"/>
          <w:color w:val="auto"/>
          <w:kern w:val="2"/>
          <w:sz w:val="21"/>
          <w:szCs w:val="21"/>
          <w:highlight w:val="none"/>
          <w:lang w:val="en-US" w:eastAsia="zh-CN" w:bidi="ar-SA"/>
        </w:rPr>
        <w:t>因承包人原因造成工期延误，逾期竣工违约金的上限：</w:t>
      </w:r>
      <w:r>
        <w:rPr>
          <w:rFonts w:hint="eastAsia" w:ascii="Times New Roman" w:hAnsi="Times New Roman" w:eastAsia="宋体" w:cs="宋体"/>
          <w:color w:val="auto"/>
          <w:kern w:val="2"/>
          <w:sz w:val="21"/>
          <w:szCs w:val="21"/>
          <w:highlight w:val="none"/>
          <w:u w:val="single"/>
          <w:lang w:val="en-US" w:eastAsia="zh-CN" w:bidi="ar-SA"/>
        </w:rPr>
        <w:t>无</w:t>
      </w:r>
    </w:p>
    <w:p w14:paraId="386BA054">
      <w:pPr>
        <w:widowControl w:val="0"/>
        <w:numPr>
          <w:ilvl w:val="0"/>
          <w:numId w:val="16"/>
        </w:numPr>
        <w:spacing w:line="400" w:lineRule="exact"/>
        <w:ind w:firstLine="420" w:firstLineChars="200"/>
        <w:jc w:val="both"/>
        <w:rPr>
          <w:rFonts w:ascii="Times New Roman" w:hAnsi="Times New Roman" w:eastAsia="宋体" w:cs="宋体"/>
          <w:color w:val="auto"/>
          <w:kern w:val="2"/>
          <w:sz w:val="21"/>
          <w:szCs w:val="21"/>
          <w:highlight w:val="none"/>
          <w:lang w:val="en-US" w:eastAsia="zh-CN" w:bidi="ar-SA"/>
        </w:rPr>
      </w:pPr>
      <w:r>
        <w:rPr>
          <w:rFonts w:hint="eastAsia" w:ascii="Times New Roman" w:hAnsi="Times New Roman" w:eastAsia="宋体" w:cs="宋体"/>
          <w:color w:val="auto"/>
          <w:kern w:val="2"/>
          <w:sz w:val="21"/>
          <w:szCs w:val="21"/>
          <w:highlight w:val="none"/>
          <w:lang w:val="en-US" w:eastAsia="zh-CN" w:bidi="ar-SA"/>
        </w:rPr>
        <w:t>因本项目为维修改造项目，现场情况复杂，采购人有权在总工程造价</w:t>
      </w:r>
      <w:r>
        <w:rPr>
          <w:rFonts w:ascii="Times New Roman" w:hAnsi="Times New Roman" w:eastAsia="宋体" w:cs="宋体"/>
          <w:color w:val="auto"/>
          <w:kern w:val="2"/>
          <w:sz w:val="21"/>
          <w:szCs w:val="21"/>
          <w:highlight w:val="none"/>
          <w:lang w:val="en-US" w:eastAsia="zh-CN" w:bidi="ar-SA"/>
        </w:rPr>
        <w:t>10%</w:t>
      </w:r>
      <w:r>
        <w:rPr>
          <w:rFonts w:hint="eastAsia" w:ascii="Times New Roman" w:hAnsi="Times New Roman" w:eastAsia="宋体" w:cs="宋体"/>
          <w:color w:val="auto"/>
          <w:kern w:val="2"/>
          <w:sz w:val="21"/>
          <w:szCs w:val="21"/>
          <w:highlight w:val="none"/>
          <w:lang w:val="en-US" w:eastAsia="zh-CN" w:bidi="ar-SA"/>
        </w:rPr>
        <w:t>内，对招标清单内容及工程量进行调整，中标单位应无条件配合。</w:t>
      </w:r>
    </w:p>
    <w:p w14:paraId="644E4D3D">
      <w:pPr>
        <w:widowControl w:val="0"/>
        <w:numPr>
          <w:ilvl w:val="0"/>
          <w:numId w:val="16"/>
        </w:numPr>
        <w:spacing w:line="400" w:lineRule="exact"/>
        <w:ind w:firstLine="420" w:firstLineChars="200"/>
        <w:jc w:val="both"/>
        <w:rPr>
          <w:rFonts w:ascii="Times New Roman" w:hAnsi="Times New Roman" w:eastAsia="宋体" w:cs="宋体"/>
          <w:color w:val="auto"/>
          <w:kern w:val="2"/>
          <w:sz w:val="21"/>
          <w:szCs w:val="21"/>
          <w:highlight w:val="none"/>
          <w:lang w:val="en-US" w:eastAsia="zh-CN" w:bidi="ar-SA"/>
        </w:rPr>
      </w:pPr>
      <w:r>
        <w:rPr>
          <w:rFonts w:hint="eastAsia" w:ascii="Times New Roman" w:hAnsi="Times New Roman" w:eastAsia="宋体" w:cs="宋体"/>
          <w:color w:val="auto"/>
          <w:kern w:val="2"/>
          <w:sz w:val="21"/>
          <w:szCs w:val="21"/>
          <w:highlight w:val="none"/>
          <w:lang w:val="en-US" w:eastAsia="zh-CN" w:bidi="ar-SA"/>
        </w:rPr>
        <w:t>本项目施工在哈工大校园内，存在诸多不确定因素，具体开工及施工日期由采购人确认。要求中标人无条件服从采购人工期及施工区域安排，采购人视中标人对此情况已了解，如有不服从安排或者合同违约情况，采购人可立即停止合同，扣留履约保证金，采购人将依次选择预中标候选第二为中标人，第二名无法按要求履约，将选择第三名为中标人。</w:t>
      </w:r>
    </w:p>
    <w:p w14:paraId="69BD950A">
      <w:pPr>
        <w:widowControl w:val="0"/>
        <w:numPr>
          <w:ilvl w:val="0"/>
          <w:numId w:val="16"/>
        </w:numPr>
        <w:spacing w:line="400" w:lineRule="exact"/>
        <w:ind w:firstLine="422" w:firstLineChars="200"/>
        <w:jc w:val="both"/>
        <w:rPr>
          <w:rFonts w:ascii="Times New Roman" w:hAnsi="Times New Roman" w:eastAsia="宋体" w:cs="宋体"/>
          <w:b/>
          <w:bCs/>
          <w:color w:val="auto"/>
          <w:kern w:val="2"/>
          <w:sz w:val="21"/>
          <w:szCs w:val="21"/>
          <w:highlight w:val="none"/>
          <w:u w:val="single"/>
          <w:lang w:val="en-US" w:eastAsia="zh-CN" w:bidi="ar-SA"/>
        </w:rPr>
      </w:pPr>
      <w:r>
        <w:rPr>
          <w:rFonts w:hint="eastAsia" w:ascii="Times New Roman" w:hAnsi="Times New Roman" w:eastAsia="宋体" w:cs="宋体"/>
          <w:b/>
          <w:bCs/>
          <w:color w:val="auto"/>
          <w:kern w:val="2"/>
          <w:sz w:val="21"/>
          <w:szCs w:val="21"/>
          <w:highlight w:val="none"/>
          <w:u w:val="single"/>
          <w:lang w:val="en-US" w:eastAsia="zh-CN" w:bidi="ar-SA"/>
        </w:rPr>
        <w:t>本工程为维修工程，部分材料、设备利旧，竣工验收时，中标人应保证利旧材料、设备干净整洁，满足使用单位要求，符合使用条件。</w:t>
      </w:r>
    </w:p>
    <w:p w14:paraId="66110119">
      <w:pPr>
        <w:widowControl w:val="0"/>
        <w:numPr>
          <w:ilvl w:val="0"/>
          <w:numId w:val="16"/>
        </w:numPr>
        <w:spacing w:line="400" w:lineRule="exact"/>
        <w:ind w:firstLine="420" w:firstLineChars="200"/>
        <w:jc w:val="both"/>
        <w:rPr>
          <w:rFonts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宋体"/>
          <w:color w:val="auto"/>
          <w:kern w:val="2"/>
          <w:sz w:val="21"/>
          <w:szCs w:val="21"/>
          <w:highlight w:val="none"/>
          <w:lang w:val="en-US" w:eastAsia="zh-CN" w:bidi="ar-SA"/>
        </w:rPr>
        <w:t>合同终止：如承包人施工过程中出现的问题已经严重影响工程进度和工程质量，采购人有权终止合同并追究承包人的违约责任。</w:t>
      </w:r>
    </w:p>
    <w:p w14:paraId="3FE3C7C9">
      <w:pPr>
        <w:numPr>
          <w:ilvl w:val="0"/>
          <w:numId w:val="9"/>
        </w:numPr>
        <w:spacing w:before="100" w:after="100" w:line="440" w:lineRule="exact"/>
        <w:ind w:left="840" w:hanging="420"/>
        <w:outlineLvl w:val="1"/>
        <w:rPr>
          <w:rFonts w:ascii="Times New Roman" w:hAnsi="Times New Roman" w:eastAsia="微软雅黑" w:cs="宋体"/>
          <w:b/>
          <w:color w:val="auto"/>
          <w:sz w:val="28"/>
          <w:szCs w:val="28"/>
          <w:highlight w:val="none"/>
        </w:rPr>
      </w:pPr>
      <w:bookmarkStart w:id="10" w:name="_Toc170372527"/>
      <w:r>
        <w:rPr>
          <w:rFonts w:hint="eastAsia" w:ascii="Times New Roman" w:hAnsi="Times New Roman" w:eastAsia="微软雅黑" w:cs="宋体"/>
          <w:b/>
          <w:color w:val="auto"/>
          <w:sz w:val="28"/>
          <w:szCs w:val="28"/>
          <w:highlight w:val="none"/>
        </w:rPr>
        <w:t>竣工验收及工程移交</w:t>
      </w:r>
      <w:bookmarkEnd w:id="10"/>
    </w:p>
    <w:p w14:paraId="1DB15F32">
      <w:pPr>
        <w:widowControl w:val="0"/>
        <w:spacing w:line="400" w:lineRule="exact"/>
        <w:ind w:firstLine="420" w:firstLineChars="0"/>
        <w:jc w:val="both"/>
        <w:rPr>
          <w:rFonts w:ascii="Times New Roman" w:hAnsi="Times New Roman" w:eastAsia="宋体" w:cs="宋体"/>
          <w:color w:val="auto"/>
          <w:kern w:val="2"/>
          <w:sz w:val="21"/>
          <w:szCs w:val="21"/>
          <w:highlight w:val="none"/>
          <w:lang w:val="en-US" w:eastAsia="zh-CN" w:bidi="ar-SA"/>
        </w:rPr>
      </w:pPr>
      <w:r>
        <w:rPr>
          <w:rFonts w:hint="eastAsia" w:ascii="Times New Roman" w:hAnsi="Times New Roman" w:eastAsia="宋体" w:cs="宋体"/>
          <w:color w:val="auto"/>
          <w:kern w:val="2"/>
          <w:sz w:val="21"/>
          <w:szCs w:val="21"/>
          <w:highlight w:val="none"/>
          <w:lang w:val="en-US" w:eastAsia="zh-CN" w:bidi="ar-SA"/>
        </w:rPr>
        <w:t>竣工验收以合同、施工及验收规范、验收标准、政府有关规定及施工图纸等为依据。</w:t>
      </w:r>
    </w:p>
    <w:p w14:paraId="49CC6149">
      <w:pPr>
        <w:widowControl w:val="0"/>
        <w:numPr>
          <w:ilvl w:val="0"/>
          <w:numId w:val="17"/>
        </w:numPr>
        <w:spacing w:line="400" w:lineRule="exact"/>
        <w:ind w:firstLine="420" w:firstLineChars="200"/>
        <w:jc w:val="both"/>
        <w:rPr>
          <w:rFonts w:ascii="Times New Roman" w:hAnsi="Times New Roman" w:eastAsia="宋体" w:cs="宋体"/>
          <w:color w:val="auto"/>
          <w:kern w:val="2"/>
          <w:sz w:val="21"/>
          <w:szCs w:val="21"/>
          <w:highlight w:val="none"/>
          <w:lang w:val="en-US" w:eastAsia="zh-CN" w:bidi="ar-SA"/>
        </w:rPr>
      </w:pPr>
      <w:r>
        <w:rPr>
          <w:rFonts w:hint="eastAsia" w:ascii="Times New Roman" w:hAnsi="Times New Roman" w:eastAsia="宋体" w:cs="宋体"/>
          <w:color w:val="auto"/>
          <w:kern w:val="2"/>
          <w:sz w:val="21"/>
          <w:szCs w:val="21"/>
          <w:highlight w:val="none"/>
          <w:lang w:val="en-US" w:eastAsia="zh-CN" w:bidi="ar-SA"/>
        </w:rPr>
        <w:t>初步验收：</w:t>
      </w:r>
    </w:p>
    <w:p w14:paraId="6BEFAD3E">
      <w:pPr>
        <w:widowControl w:val="0"/>
        <w:numPr>
          <w:ilvl w:val="255"/>
          <w:numId w:val="0"/>
        </w:numPr>
        <w:spacing w:line="400" w:lineRule="exact"/>
        <w:ind w:firstLine="420" w:firstLineChars="200"/>
        <w:jc w:val="both"/>
        <w:rPr>
          <w:rFonts w:ascii="Times New Roman" w:hAnsi="Times New Roman" w:eastAsia="宋体" w:cs="宋体"/>
          <w:color w:val="auto"/>
          <w:kern w:val="2"/>
          <w:sz w:val="21"/>
          <w:szCs w:val="21"/>
          <w:highlight w:val="none"/>
          <w:lang w:val="en-US" w:eastAsia="zh-CN" w:bidi="ar-SA"/>
        </w:rPr>
      </w:pPr>
      <w:r>
        <w:rPr>
          <w:rFonts w:hint="eastAsia" w:ascii="Times New Roman" w:hAnsi="Times New Roman" w:eastAsia="宋体" w:cs="宋体"/>
          <w:color w:val="auto"/>
          <w:kern w:val="2"/>
          <w:sz w:val="21"/>
          <w:szCs w:val="21"/>
          <w:highlight w:val="none"/>
          <w:lang w:val="en-US" w:eastAsia="zh-CN" w:bidi="ar-SA"/>
        </w:rPr>
        <w:t>承包人在施工结束后、且自检合格后，向采购人提供一套完整的竣工验收所需资料和竣工验收申请。竣工资料审核通过后，约定初验时间，采购人收到申请后应在</w:t>
      </w:r>
      <w:r>
        <w:rPr>
          <w:rFonts w:ascii="Times New Roman" w:hAnsi="Times New Roman" w:eastAsia="宋体" w:cs="宋体"/>
          <w:color w:val="auto"/>
          <w:kern w:val="2"/>
          <w:sz w:val="21"/>
          <w:szCs w:val="21"/>
          <w:highlight w:val="none"/>
          <w:lang w:val="en-US" w:eastAsia="zh-CN" w:bidi="ar-SA"/>
        </w:rPr>
        <w:t>48</w:t>
      </w:r>
      <w:r>
        <w:rPr>
          <w:rFonts w:hint="eastAsia" w:ascii="Times New Roman" w:hAnsi="Times New Roman" w:eastAsia="宋体" w:cs="宋体"/>
          <w:color w:val="auto"/>
          <w:kern w:val="2"/>
          <w:sz w:val="21"/>
          <w:szCs w:val="21"/>
          <w:highlight w:val="none"/>
          <w:lang w:val="en-US" w:eastAsia="zh-CN" w:bidi="ar-SA"/>
        </w:rPr>
        <w:t>小时内组织初步验收，初验由监理方、采购人和承包人共同参加，初验提出的整改要求全部完成并经初验小组核定后（需在初验后</w:t>
      </w:r>
      <w:r>
        <w:rPr>
          <w:rFonts w:ascii="Times New Roman" w:hAnsi="Times New Roman" w:eastAsia="宋体" w:cs="宋体"/>
          <w:color w:val="auto"/>
          <w:kern w:val="2"/>
          <w:sz w:val="21"/>
          <w:szCs w:val="21"/>
          <w:highlight w:val="none"/>
          <w:lang w:val="en-US" w:eastAsia="zh-CN" w:bidi="ar-SA"/>
        </w:rPr>
        <w:t>7</w:t>
      </w:r>
      <w:r>
        <w:rPr>
          <w:rFonts w:hint="eastAsia" w:ascii="Times New Roman" w:hAnsi="Times New Roman" w:eastAsia="宋体" w:cs="宋体"/>
          <w:color w:val="auto"/>
          <w:kern w:val="2"/>
          <w:sz w:val="21"/>
          <w:szCs w:val="21"/>
          <w:highlight w:val="none"/>
          <w:lang w:val="en-US" w:eastAsia="zh-CN" w:bidi="ar-SA"/>
        </w:rPr>
        <w:t>日内完成整改），采购人在</w:t>
      </w:r>
      <w:r>
        <w:rPr>
          <w:rFonts w:ascii="Times New Roman" w:hAnsi="Times New Roman" w:eastAsia="宋体" w:cs="宋体"/>
          <w:color w:val="auto"/>
          <w:kern w:val="2"/>
          <w:sz w:val="21"/>
          <w:szCs w:val="21"/>
          <w:highlight w:val="none"/>
          <w:lang w:val="en-US" w:eastAsia="zh-CN" w:bidi="ar-SA"/>
        </w:rPr>
        <w:t>3</w:t>
      </w:r>
      <w:r>
        <w:rPr>
          <w:rFonts w:hint="eastAsia" w:ascii="Times New Roman" w:hAnsi="Times New Roman" w:eastAsia="宋体" w:cs="宋体"/>
          <w:color w:val="auto"/>
          <w:kern w:val="2"/>
          <w:sz w:val="21"/>
          <w:szCs w:val="21"/>
          <w:highlight w:val="none"/>
          <w:lang w:val="en-US" w:eastAsia="zh-CN" w:bidi="ar-SA"/>
        </w:rPr>
        <w:t>日内，批复承包人工程核验申请。</w:t>
      </w:r>
    </w:p>
    <w:p w14:paraId="15ED3CA8">
      <w:pPr>
        <w:widowControl w:val="0"/>
        <w:numPr>
          <w:ilvl w:val="0"/>
          <w:numId w:val="17"/>
        </w:numPr>
        <w:spacing w:line="400" w:lineRule="exact"/>
        <w:ind w:firstLine="480" w:firstLineChars="0"/>
        <w:jc w:val="both"/>
        <w:rPr>
          <w:rFonts w:ascii="Times New Roman" w:hAnsi="Times New Roman" w:eastAsia="宋体" w:cs="宋体"/>
          <w:color w:val="auto"/>
          <w:kern w:val="2"/>
          <w:sz w:val="21"/>
          <w:szCs w:val="21"/>
          <w:highlight w:val="none"/>
          <w:lang w:val="en-US" w:eastAsia="zh-CN" w:bidi="ar-SA"/>
        </w:rPr>
      </w:pPr>
      <w:r>
        <w:rPr>
          <w:rFonts w:hint="eastAsia" w:ascii="Times New Roman" w:hAnsi="Times New Roman" w:eastAsia="宋体" w:cs="宋体"/>
          <w:color w:val="auto"/>
          <w:kern w:val="2"/>
          <w:sz w:val="21"/>
          <w:szCs w:val="21"/>
          <w:highlight w:val="none"/>
          <w:lang w:val="en-US" w:eastAsia="zh-CN" w:bidi="ar-SA"/>
        </w:rPr>
        <w:t>竣工验收：承包人应在竣工验收前</w:t>
      </w:r>
      <w:r>
        <w:rPr>
          <w:rFonts w:ascii="Times New Roman" w:hAnsi="Times New Roman" w:eastAsia="宋体" w:cs="宋体"/>
          <w:color w:val="auto"/>
          <w:kern w:val="2"/>
          <w:sz w:val="21"/>
          <w:szCs w:val="21"/>
          <w:highlight w:val="none"/>
          <w:lang w:val="en-US" w:eastAsia="zh-CN" w:bidi="ar-SA"/>
        </w:rPr>
        <w:t>7</w:t>
      </w:r>
      <w:r>
        <w:rPr>
          <w:rFonts w:hint="eastAsia" w:ascii="Times New Roman" w:hAnsi="Times New Roman" w:eastAsia="宋体" w:cs="宋体"/>
          <w:color w:val="auto"/>
          <w:kern w:val="2"/>
          <w:sz w:val="21"/>
          <w:szCs w:val="21"/>
          <w:highlight w:val="none"/>
          <w:lang w:val="en-US" w:eastAsia="zh-CN" w:bidi="ar-SA"/>
        </w:rPr>
        <w:t>天内，提交</w:t>
      </w:r>
      <w:r>
        <w:rPr>
          <w:rFonts w:ascii="Times New Roman" w:hAnsi="Times New Roman" w:eastAsia="宋体" w:cs="宋体"/>
          <w:color w:val="auto"/>
          <w:kern w:val="2"/>
          <w:sz w:val="21"/>
          <w:szCs w:val="21"/>
          <w:highlight w:val="none"/>
          <w:lang w:val="en-US" w:eastAsia="zh-CN" w:bidi="ar-SA"/>
        </w:rPr>
        <w:t>1</w:t>
      </w:r>
      <w:r>
        <w:rPr>
          <w:rFonts w:hint="eastAsia" w:ascii="Times New Roman" w:hAnsi="Times New Roman" w:eastAsia="宋体" w:cs="宋体"/>
          <w:color w:val="auto"/>
          <w:kern w:val="2"/>
          <w:sz w:val="21"/>
          <w:szCs w:val="21"/>
          <w:highlight w:val="none"/>
          <w:lang w:val="en-US" w:eastAsia="zh-CN" w:bidi="ar-SA"/>
        </w:rPr>
        <w:t>套竣工资料正本。承包人应联系有关部门进行验收（如：学校土建、水、电、暖消防、电梯运行管理单位及使用单位参加）。验收时有采购人、监理人及承包人组成工程验收小组，对本项目工程进行全面的检查验收，验收合格后办理移交手续。竣工验收合格后</w:t>
      </w:r>
      <w:r>
        <w:rPr>
          <w:rFonts w:ascii="Times New Roman" w:hAnsi="Times New Roman" w:eastAsia="宋体" w:cs="宋体"/>
          <w:color w:val="auto"/>
          <w:kern w:val="2"/>
          <w:sz w:val="21"/>
          <w:szCs w:val="21"/>
          <w:highlight w:val="none"/>
          <w:lang w:val="en-US" w:eastAsia="zh-CN" w:bidi="ar-SA"/>
        </w:rPr>
        <w:t>14</w:t>
      </w:r>
      <w:r>
        <w:rPr>
          <w:rFonts w:hint="eastAsia" w:ascii="Times New Roman" w:hAnsi="Times New Roman" w:eastAsia="宋体" w:cs="宋体"/>
          <w:color w:val="auto"/>
          <w:kern w:val="2"/>
          <w:sz w:val="21"/>
          <w:szCs w:val="21"/>
          <w:highlight w:val="none"/>
          <w:lang w:val="en-US" w:eastAsia="zh-CN" w:bidi="ar-SA"/>
        </w:rPr>
        <w:t>天内，承包人需提交</w:t>
      </w:r>
      <w:r>
        <w:rPr>
          <w:rFonts w:ascii="Times New Roman" w:hAnsi="Times New Roman" w:eastAsia="宋体" w:cs="宋体"/>
          <w:color w:val="auto"/>
          <w:kern w:val="2"/>
          <w:sz w:val="21"/>
          <w:szCs w:val="21"/>
          <w:highlight w:val="none"/>
          <w:lang w:val="en-US" w:eastAsia="zh-CN" w:bidi="ar-SA"/>
        </w:rPr>
        <w:t>2</w:t>
      </w:r>
      <w:r>
        <w:rPr>
          <w:rFonts w:hint="eastAsia" w:ascii="Times New Roman" w:hAnsi="Times New Roman" w:eastAsia="宋体" w:cs="宋体"/>
          <w:color w:val="auto"/>
          <w:kern w:val="2"/>
          <w:sz w:val="21"/>
          <w:szCs w:val="21"/>
          <w:highlight w:val="none"/>
          <w:lang w:val="en-US" w:eastAsia="zh-CN" w:bidi="ar-SA"/>
        </w:rPr>
        <w:t>套完整的竣工资料给采购人归档（即：满足质监、档案馆要求的竣工资料）两套（正本一套，由原件组成；副本一套）。</w:t>
      </w:r>
    </w:p>
    <w:p w14:paraId="469A3785">
      <w:pPr>
        <w:widowControl w:val="0"/>
        <w:numPr>
          <w:ilvl w:val="0"/>
          <w:numId w:val="17"/>
        </w:numPr>
        <w:spacing w:line="400" w:lineRule="exact"/>
        <w:ind w:firstLine="420" w:firstLineChars="0"/>
        <w:jc w:val="both"/>
        <w:rPr>
          <w:rFonts w:ascii="Times New Roman" w:hAnsi="Times New Roman" w:eastAsia="宋体" w:cs="宋体"/>
          <w:color w:val="auto"/>
          <w:kern w:val="2"/>
          <w:sz w:val="21"/>
          <w:szCs w:val="21"/>
          <w:highlight w:val="none"/>
          <w:lang w:val="en-US" w:eastAsia="zh-CN" w:bidi="ar-SA"/>
        </w:rPr>
      </w:pPr>
      <w:r>
        <w:rPr>
          <w:rFonts w:hint="eastAsia" w:ascii="Times New Roman" w:hAnsi="Times New Roman" w:eastAsia="宋体" w:cs="宋体"/>
          <w:color w:val="auto"/>
          <w:kern w:val="2"/>
          <w:sz w:val="21"/>
          <w:szCs w:val="21"/>
          <w:highlight w:val="none"/>
          <w:lang w:val="en-US" w:eastAsia="zh-CN" w:bidi="ar-SA"/>
        </w:rPr>
        <w:t>本工程竣工验收需一次性合格，并达到规定验收标准。</w:t>
      </w:r>
    </w:p>
    <w:p w14:paraId="2B1A9ED0">
      <w:pPr>
        <w:numPr>
          <w:ilvl w:val="0"/>
          <w:numId w:val="9"/>
        </w:numPr>
        <w:spacing w:before="100" w:after="100" w:line="440" w:lineRule="exact"/>
        <w:ind w:left="840" w:hanging="420"/>
        <w:outlineLvl w:val="1"/>
        <w:rPr>
          <w:rFonts w:ascii="Times New Roman" w:hAnsi="Times New Roman" w:eastAsia="微软雅黑" w:cs="宋体"/>
          <w:b/>
          <w:color w:val="auto"/>
          <w:sz w:val="28"/>
          <w:szCs w:val="28"/>
          <w:highlight w:val="none"/>
        </w:rPr>
      </w:pPr>
      <w:bookmarkStart w:id="11" w:name="_Toc170372528"/>
      <w:r>
        <w:rPr>
          <w:rFonts w:hint="eastAsia" w:ascii="Times New Roman" w:hAnsi="Times New Roman" w:eastAsia="微软雅黑" w:cs="宋体"/>
          <w:b/>
          <w:color w:val="auto"/>
          <w:sz w:val="28"/>
          <w:szCs w:val="28"/>
          <w:highlight w:val="none"/>
        </w:rPr>
        <w:t>工程质量保修</w:t>
      </w:r>
      <w:bookmarkEnd w:id="11"/>
    </w:p>
    <w:p w14:paraId="0A3BAE05">
      <w:pPr>
        <w:widowControl w:val="0"/>
        <w:numPr>
          <w:ilvl w:val="0"/>
          <w:numId w:val="18"/>
        </w:numPr>
        <w:spacing w:line="400" w:lineRule="exact"/>
        <w:ind w:firstLine="420" w:firstLineChars="200"/>
        <w:jc w:val="both"/>
        <w:rPr>
          <w:rFonts w:ascii="Times New Roman" w:hAnsi="Times New Roman" w:eastAsia="宋体" w:cs="宋体"/>
          <w:color w:val="auto"/>
          <w:kern w:val="2"/>
          <w:sz w:val="21"/>
          <w:szCs w:val="21"/>
          <w:highlight w:val="none"/>
          <w:lang w:val="en-US" w:eastAsia="zh-CN" w:bidi="ar-SA"/>
        </w:rPr>
      </w:pPr>
      <w:r>
        <w:rPr>
          <w:rFonts w:hint="eastAsia" w:ascii="Times New Roman" w:hAnsi="Times New Roman" w:eastAsia="宋体" w:cs="宋体"/>
          <w:color w:val="auto"/>
          <w:kern w:val="2"/>
          <w:sz w:val="21"/>
          <w:szCs w:val="21"/>
          <w:highlight w:val="none"/>
          <w:lang w:val="en-US" w:eastAsia="zh-CN" w:bidi="ar-SA"/>
        </w:rPr>
        <w:t>保修范围：承包人承包范围内工程项目，由于承包人施工质量问题和材料设备质量问题，均属承包人保修范围。</w:t>
      </w:r>
    </w:p>
    <w:p w14:paraId="61AE7CDB">
      <w:pPr>
        <w:widowControl w:val="0"/>
        <w:numPr>
          <w:ilvl w:val="0"/>
          <w:numId w:val="18"/>
        </w:numPr>
        <w:spacing w:line="400" w:lineRule="exact"/>
        <w:ind w:firstLine="425" w:firstLineChars="0"/>
        <w:jc w:val="both"/>
        <w:rPr>
          <w:rFonts w:ascii="Times New Roman" w:hAnsi="Times New Roman" w:eastAsia="宋体" w:cs="宋体"/>
          <w:color w:val="auto"/>
          <w:kern w:val="2"/>
          <w:sz w:val="21"/>
          <w:szCs w:val="21"/>
          <w:highlight w:val="none"/>
          <w:lang w:val="en-US" w:eastAsia="zh-CN" w:bidi="ar-SA"/>
        </w:rPr>
      </w:pPr>
      <w:r>
        <w:rPr>
          <w:rFonts w:hint="eastAsia" w:ascii="Times New Roman" w:hAnsi="Times New Roman" w:eastAsia="宋体" w:cs="宋体"/>
          <w:color w:val="auto"/>
          <w:kern w:val="2"/>
          <w:sz w:val="21"/>
          <w:szCs w:val="21"/>
          <w:highlight w:val="none"/>
          <w:lang w:val="en-US" w:eastAsia="zh-CN" w:bidi="ar-SA"/>
        </w:rPr>
        <w:t>保修期限：在正常使用条件下，承包人承诺的质量保修期不得低于《建设工程质量管理条例》规定的最低保修期限，建设工程的保修期自竣工验收合格之日起计算。</w:t>
      </w:r>
      <w:r>
        <w:rPr>
          <w:rFonts w:hint="eastAsia" w:ascii="Times New Roman" w:hAnsi="Times New Roman" w:eastAsia="宋体" w:cs="宋体"/>
          <w:b/>
          <w:color w:val="auto"/>
          <w:kern w:val="2"/>
          <w:sz w:val="21"/>
          <w:szCs w:val="21"/>
          <w:highlight w:val="none"/>
          <w:lang w:val="en-US" w:eastAsia="zh-CN" w:bidi="ar-SA"/>
        </w:rPr>
        <w:t>承包人须在响应文件中明确质量保修期限。</w:t>
      </w:r>
    </w:p>
    <w:p w14:paraId="0F5F10D4">
      <w:pPr>
        <w:numPr>
          <w:ilvl w:val="0"/>
          <w:numId w:val="0"/>
        </w:numPr>
        <w:spacing w:before="100" w:after="100" w:line="440" w:lineRule="exact"/>
        <w:ind w:left="420" w:leftChars="0"/>
        <w:outlineLvl w:val="1"/>
        <w:rPr>
          <w:rFonts w:ascii="微软雅黑" w:hAnsi="微软雅黑" w:eastAsia="微软雅黑" w:cs="宋体"/>
          <w:b/>
          <w:color w:val="auto"/>
          <w:sz w:val="28"/>
          <w:szCs w:val="28"/>
          <w:highlight w:val="none"/>
        </w:rPr>
      </w:pPr>
      <w:r>
        <w:rPr>
          <w:rFonts w:hint="eastAsia" w:cs="宋体"/>
          <w:color w:val="auto"/>
          <w:kern w:val="2"/>
          <w:sz w:val="21"/>
          <w:szCs w:val="21"/>
          <w:highlight w:val="none"/>
          <w:lang w:val="en-US" w:eastAsia="zh-CN" w:bidi="ar-SA"/>
        </w:rPr>
        <w:t>（三）</w:t>
      </w:r>
      <w:r>
        <w:rPr>
          <w:rFonts w:hint="eastAsia" w:ascii="Times New Roman" w:hAnsi="Times New Roman" w:eastAsia="宋体" w:cs="宋体"/>
          <w:color w:val="auto"/>
          <w:kern w:val="2"/>
          <w:sz w:val="21"/>
          <w:szCs w:val="21"/>
          <w:highlight w:val="none"/>
          <w:lang w:val="en-US" w:eastAsia="zh-CN" w:bidi="ar-SA"/>
        </w:rPr>
        <w:t>保修响应时间：承包人</w:t>
      </w:r>
      <w:r>
        <w:rPr>
          <w:rFonts w:ascii="Times New Roman" w:hAnsi="Times New Roman" w:eastAsia="宋体" w:cs="宋体"/>
          <w:color w:val="auto"/>
          <w:kern w:val="2"/>
          <w:sz w:val="21"/>
          <w:szCs w:val="21"/>
          <w:highlight w:val="none"/>
          <w:lang w:val="en-US" w:eastAsia="zh-CN" w:bidi="ar-SA"/>
        </w:rPr>
        <w:t>收到保修通知并到达工程现场的合理时间</w:t>
      </w:r>
      <w:r>
        <w:rPr>
          <w:rFonts w:hint="eastAsia" w:ascii="Times New Roman" w:hAnsi="Times New Roman" w:eastAsia="宋体" w:cs="宋体"/>
          <w:color w:val="auto"/>
          <w:kern w:val="2"/>
          <w:sz w:val="21"/>
          <w:szCs w:val="21"/>
          <w:highlight w:val="none"/>
          <w:lang w:val="en-US" w:eastAsia="zh-CN" w:bidi="ar-SA"/>
        </w:rPr>
        <w:t>，</w:t>
      </w:r>
      <w:r>
        <w:rPr>
          <w:rFonts w:ascii="Times New Roman" w:hAnsi="Times New Roman" w:eastAsia="宋体" w:cs="宋体"/>
          <w:color w:val="auto"/>
          <w:kern w:val="2"/>
          <w:sz w:val="21"/>
          <w:szCs w:val="21"/>
          <w:highlight w:val="none"/>
          <w:lang w:val="en-US" w:eastAsia="zh-CN" w:bidi="ar-SA"/>
        </w:rPr>
        <w:t>售后服务响应时间小于24小时。</w:t>
      </w:r>
    </w:p>
    <w:bookmarkEnd w:id="0"/>
    <w:bookmarkEnd w:id="6"/>
    <w:p w14:paraId="3AC08A71">
      <w:pPr>
        <w:rPr>
          <w:color w:val="auto"/>
          <w:sz w:val="24"/>
          <w:szCs w:val="24"/>
          <w:highlight w:val="none"/>
        </w:rPr>
      </w:pPr>
      <w:bookmarkStart w:id="12" w:name="_GoBack"/>
      <w:bookmarkEnd w:id="12"/>
    </w:p>
    <w:sectPr>
      <w:headerReference r:id="rId3" w:type="default"/>
      <w:footerReference r:id="rId4" w:type="default"/>
      <w:pgSz w:w="11906" w:h="16838"/>
      <w:pgMar w:top="1304" w:right="1247" w:bottom="1191" w:left="124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embedRegular r:id="rId1" w:fontKey="{C56BFA1D-11E3-48BB-83EA-EC4E5A37E24E}"/>
  </w:font>
  <w:font w:name="仿宋_GB2312">
    <w:panose1 w:val="02010609030101010101"/>
    <w:charset w:val="86"/>
    <w:family w:val="modern"/>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TT2F3o00">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Century">
    <w:panose1 w:val="02040604050505020304"/>
    <w:charset w:val="00"/>
    <w:family w:val="roman"/>
    <w:pitch w:val="default"/>
    <w:sig w:usb0="00000287" w:usb1="00000000" w:usb2="00000000" w:usb3="00000000" w:csb0="2000009F" w:csb1="DFD70000"/>
  </w:font>
  <w:font w:name="仿宋">
    <w:panose1 w:val="02010609060101010101"/>
    <w:charset w:val="86"/>
    <w:family w:val="modern"/>
    <w:pitch w:val="default"/>
    <w:sig w:usb0="800002BF" w:usb1="38CF7CFA" w:usb2="00000016" w:usb3="00000000" w:csb0="00040001" w:csb1="00000000"/>
  </w:font>
  <w:font w:name="Palatino Linotype">
    <w:panose1 w:val="02040502050505030304"/>
    <w:charset w:val="00"/>
    <w:family w:val="roman"/>
    <w:pitch w:val="default"/>
    <w:sig w:usb0="E0000287" w:usb1="40000013" w:usb2="00000000" w:usb3="00000000" w:csb0="2000019F" w:csb1="00000000"/>
  </w:font>
  <w:font w:name="Arial Unicode MS">
    <w:altName w:val="Arial"/>
    <w:panose1 w:val="020B0604020202020204"/>
    <w:charset w:val="00"/>
    <w:family w:val="roman"/>
    <w:pitch w:val="default"/>
    <w:sig w:usb0="00000000" w:usb1="00000000" w:usb2="00000000" w:usb3="00000000" w:csb0="00000001" w:csb1="00000000"/>
  </w:font>
  <w:font w:name="Helvetica">
    <w:altName w:val="Arial"/>
    <w:panose1 w:val="020B0604020202020204"/>
    <w:charset w:val="00"/>
    <w:family w:val="swiss"/>
    <w:pitch w:val="default"/>
    <w:sig w:usb0="00000000" w:usb1="00000000" w:usb2="00000000" w:usb3="00000000" w:csb0="00000001" w:csb1="00000000"/>
  </w:font>
  <w:font w:name="微软雅黑">
    <w:panose1 w:val="020B0503020204020204"/>
    <w:charset w:val="86"/>
    <w:family w:val="swiss"/>
    <w:pitch w:val="default"/>
    <w:sig w:usb0="80000287" w:usb1="2ACF3C50" w:usb2="00000016" w:usb3="00000000" w:csb0="0004001F" w:csb1="00000000"/>
    <w:embedRegular r:id="rId2" w:fontKey="{AB8B17D1-3EB2-446D-ACB6-5472EC7FFCBA}"/>
  </w:font>
  <w:font w:name="华文新魏">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webkit-standard">
    <w:altName w:val="Segoe Print"/>
    <w:panose1 w:val="00000000000000000000"/>
    <w:charset w:val="00"/>
    <w:family w:val="auto"/>
    <w:pitch w:val="default"/>
    <w:sig w:usb0="00000000" w:usb1="00000000" w:usb2="00000000" w:usb3="00000000" w:csb0="00040001" w:csb1="00000000"/>
  </w:font>
  <w:font w:name="font3-Identity-H">
    <w:altName w:val="宋体"/>
    <w:panose1 w:val="00000000000000000000"/>
    <w:charset w:val="86"/>
    <w:family w:val="auto"/>
    <w:pitch w:val="default"/>
    <w:sig w:usb0="00000000" w:usb1="00000000" w:usb2="00000010" w:usb3="00000000" w:csb0="00040000" w:csb1="00000000"/>
  </w:font>
  <w:font w:name="font2-Identity-H">
    <w:altName w:val="宋体"/>
    <w:panose1 w:val="00000000000000000000"/>
    <w:charset w:val="86"/>
    <w:family w:val="auto"/>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仿宋简体">
    <w:altName w:val="微软雅黑"/>
    <w:panose1 w:val="02000000000000000000"/>
    <w:charset w:val="86"/>
    <w:family w:val="auto"/>
    <w:pitch w:val="default"/>
    <w:sig w:usb0="00000000" w:usb1="00000000" w:usb2="00000012" w:usb3="00000000" w:csb0="00040001" w:csb1="00000000"/>
  </w:font>
  <w:font w:name="方正仿宋_GB2312">
    <w:panose1 w:val="02000000000000000000"/>
    <w:charset w:val="86"/>
    <w:family w:val="auto"/>
    <w:pitch w:val="default"/>
    <w:sig w:usb0="A00002BF" w:usb1="184F6CFA" w:usb2="00000012" w:usb3="00000000" w:csb0="00040001" w:csb1="00000000"/>
  </w:font>
  <w:font w:name="PMingLiU">
    <w:altName w:val="Microsoft JhengHei UI"/>
    <w:panose1 w:val="02010601000101010101"/>
    <w:charset w:val="88"/>
    <w:family w:val="auto"/>
    <w:pitch w:val="default"/>
    <w:sig w:usb0="00000000" w:usb1="00000000" w:usb2="00000010" w:usb3="00000000" w:csb0="001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BA6290">
    <w:pPr>
      <w:pStyle w:val="34"/>
    </w:pPr>
    <w:r>
      <w:rPr>
        <w:sz w:val="18"/>
      </w:rPr>
      <w:pict>
        <v:shape id="_x0000_s2057" o:spid="_x0000_s205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20B665AC">
                <w:pPr>
                  <w:pStyle w:val="34"/>
                </w:pPr>
                <w:r>
                  <w:fldChar w:fldCharType="begin"/>
                </w:r>
                <w:r>
                  <w:instrText xml:space="preserve"> PAGE  \* MERGEFORMAT </w:instrText>
                </w:r>
                <w:r>
                  <w:fldChar w:fldCharType="separate"/>
                </w:r>
                <w:r>
                  <w:t>- 101 -</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22B140">
    <w:pPr>
      <w:pStyle w:val="3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A46B0B"/>
    <w:multiLevelType w:val="singleLevel"/>
    <w:tmpl w:val="C5A46B0B"/>
    <w:lvl w:ilvl="0" w:tentative="0">
      <w:start w:val="7"/>
      <w:numFmt w:val="chineseCounting"/>
      <w:suff w:val="space"/>
      <w:lvlText w:val="第%1章"/>
      <w:lvlJc w:val="left"/>
      <w:rPr>
        <w:rFonts w:hint="eastAsia"/>
      </w:rPr>
    </w:lvl>
  </w:abstractNum>
  <w:abstractNum w:abstractNumId="1">
    <w:nsid w:val="E89412FB"/>
    <w:multiLevelType w:val="singleLevel"/>
    <w:tmpl w:val="E89412FB"/>
    <w:lvl w:ilvl="0" w:tentative="0">
      <w:start w:val="1"/>
      <w:numFmt w:val="decimal"/>
      <w:suff w:val="nothing"/>
      <w:lvlText w:val="（%1）"/>
      <w:lvlJc w:val="left"/>
    </w:lvl>
  </w:abstractNum>
  <w:abstractNum w:abstractNumId="2">
    <w:nsid w:val="0000000B"/>
    <w:multiLevelType w:val="multilevel"/>
    <w:tmpl w:val="0000000B"/>
    <w:lvl w:ilvl="0" w:tentative="0">
      <w:start w:val="1"/>
      <w:numFmt w:val="decimal"/>
      <w:pStyle w:val="19"/>
      <w:lvlText w:val="3.%1"/>
      <w:lvlJc w:val="left"/>
      <w:pPr>
        <w:ind w:left="0" w:firstLine="0"/>
      </w:pPr>
    </w:lvl>
    <w:lvl w:ilvl="1" w:tentative="0">
      <w:start w:val="1"/>
      <w:numFmt w:val="bullet"/>
      <w:pStyle w:val="201"/>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pStyle w:val="330"/>
      <w:lvlText w:val=""/>
      <w:lvlJc w:val="left"/>
      <w:pPr>
        <w:tabs>
          <w:tab w:val="left" w:pos="3780"/>
        </w:tabs>
        <w:ind w:left="3780" w:hanging="420"/>
      </w:pPr>
      <w:rPr>
        <w:rFonts w:hint="default" w:ascii="Wingdings" w:hAnsi="Wingdings"/>
      </w:rPr>
    </w:lvl>
  </w:abstractNum>
  <w:abstractNum w:abstractNumId="3">
    <w:nsid w:val="0000000C"/>
    <w:multiLevelType w:val="multilevel"/>
    <w:tmpl w:val="0000000C"/>
    <w:lvl w:ilvl="0" w:tentative="0">
      <w:start w:val="1"/>
      <w:numFmt w:val="chineseCountingThousand"/>
      <w:pStyle w:val="24"/>
      <w:lvlText w:val="%1、"/>
      <w:lvlJc w:val="left"/>
      <w:pPr>
        <w:tabs>
          <w:tab w:val="left" w:pos="420"/>
        </w:tabs>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043EA39"/>
    <w:multiLevelType w:val="singleLevel"/>
    <w:tmpl w:val="0043EA39"/>
    <w:lvl w:ilvl="0" w:tentative="0">
      <w:start w:val="1"/>
      <w:numFmt w:val="decimal"/>
      <w:suff w:val="nothing"/>
      <w:lvlText w:val="%1、"/>
      <w:lvlJc w:val="left"/>
    </w:lvl>
  </w:abstractNum>
  <w:abstractNum w:abstractNumId="5">
    <w:nsid w:val="12A15431"/>
    <w:multiLevelType w:val="multilevel"/>
    <w:tmpl w:val="12A15431"/>
    <w:lvl w:ilvl="0" w:tentative="0">
      <w:start w:val="1"/>
      <w:numFmt w:val="decimal"/>
      <w:lvlText w:val="%1."/>
      <w:lvlJc w:val="left"/>
      <w:pPr>
        <w:ind w:left="420" w:hanging="420"/>
      </w:pPr>
      <w:rPr>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178B6051"/>
    <w:multiLevelType w:val="multilevel"/>
    <w:tmpl w:val="178B6051"/>
    <w:lvl w:ilvl="0" w:tentative="0">
      <w:start w:val="1"/>
      <w:numFmt w:val="chineseCountingThousand"/>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49BF5C26"/>
    <w:multiLevelType w:val="multilevel"/>
    <w:tmpl w:val="49BF5C26"/>
    <w:lvl w:ilvl="0" w:tentative="0">
      <w:start w:val="1"/>
      <w:numFmt w:val="decimal"/>
      <w:lvlText w:val="%1)"/>
      <w:lvlJc w:val="left"/>
      <w:pPr>
        <w:ind w:left="420" w:hanging="420"/>
      </w:pPr>
      <w:rPr>
        <w:b w:val="0"/>
        <w:i w:val="0"/>
        <w:color w:val="auto"/>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pStyle w:val="304"/>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4EED328B"/>
    <w:multiLevelType w:val="singleLevel"/>
    <w:tmpl w:val="4EED328B"/>
    <w:lvl w:ilvl="0" w:tentative="0">
      <w:start w:val="1"/>
      <w:numFmt w:val="decimal"/>
      <w:lvlText w:val="%1."/>
      <w:lvlJc w:val="left"/>
      <w:pPr>
        <w:tabs>
          <w:tab w:val="left" w:pos="312"/>
        </w:tabs>
        <w:ind w:left="0" w:firstLine="0"/>
      </w:pPr>
      <w:rPr>
        <w:rFonts w:hint="eastAsia"/>
      </w:rPr>
    </w:lvl>
  </w:abstractNum>
  <w:abstractNum w:abstractNumId="9">
    <w:nsid w:val="5319553B"/>
    <w:multiLevelType w:val="singleLevel"/>
    <w:tmpl w:val="5319553B"/>
    <w:lvl w:ilvl="0" w:tentative="0">
      <w:start w:val="1"/>
      <w:numFmt w:val="decimal"/>
      <w:pStyle w:val="282"/>
      <w:lvlText w:val="%1."/>
      <w:lvlJc w:val="left"/>
      <w:pPr>
        <w:tabs>
          <w:tab w:val="left" w:pos="425"/>
        </w:tabs>
        <w:ind w:left="425" w:hanging="425"/>
      </w:pPr>
    </w:lvl>
  </w:abstractNum>
  <w:abstractNum w:abstractNumId="10">
    <w:nsid w:val="58CF71B9"/>
    <w:multiLevelType w:val="singleLevel"/>
    <w:tmpl w:val="58CF71B9"/>
    <w:lvl w:ilvl="0" w:tentative="0">
      <w:start w:val="1"/>
      <w:numFmt w:val="chineseCounting"/>
      <w:suff w:val="nothing"/>
      <w:lvlText w:val="（%1）"/>
      <w:lvlJc w:val="left"/>
    </w:lvl>
  </w:abstractNum>
  <w:abstractNum w:abstractNumId="11">
    <w:nsid w:val="58CF7217"/>
    <w:multiLevelType w:val="singleLevel"/>
    <w:tmpl w:val="58CF7217"/>
    <w:lvl w:ilvl="0" w:tentative="0">
      <w:start w:val="1"/>
      <w:numFmt w:val="chineseCounting"/>
      <w:suff w:val="nothing"/>
      <w:lvlText w:val="（%1）"/>
      <w:lvlJc w:val="left"/>
    </w:lvl>
  </w:abstractNum>
  <w:abstractNum w:abstractNumId="12">
    <w:nsid w:val="58CF726B"/>
    <w:multiLevelType w:val="singleLevel"/>
    <w:tmpl w:val="58CF726B"/>
    <w:lvl w:ilvl="0" w:tentative="0">
      <w:start w:val="1"/>
      <w:numFmt w:val="chineseCounting"/>
      <w:suff w:val="nothing"/>
      <w:lvlText w:val="（%1）"/>
      <w:lvlJc w:val="left"/>
    </w:lvl>
  </w:abstractNum>
  <w:abstractNum w:abstractNumId="13">
    <w:nsid w:val="58CF7294"/>
    <w:multiLevelType w:val="singleLevel"/>
    <w:tmpl w:val="58CF7294"/>
    <w:lvl w:ilvl="0" w:tentative="0">
      <w:start w:val="1"/>
      <w:numFmt w:val="chineseCounting"/>
      <w:suff w:val="nothing"/>
      <w:lvlText w:val="（%1）"/>
      <w:lvlJc w:val="left"/>
    </w:lvl>
  </w:abstractNum>
  <w:abstractNum w:abstractNumId="14">
    <w:nsid w:val="61E72B81"/>
    <w:multiLevelType w:val="multilevel"/>
    <w:tmpl w:val="61E72B81"/>
    <w:lvl w:ilvl="0" w:tentative="0">
      <w:start w:val="1"/>
      <w:numFmt w:val="chineseCountingThousand"/>
      <w:suff w:val="nothing"/>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5">
    <w:nsid w:val="634218E8"/>
    <w:multiLevelType w:val="multilevel"/>
    <w:tmpl w:val="634218E8"/>
    <w:lvl w:ilvl="0" w:tentative="0">
      <w:start w:val="1"/>
      <w:numFmt w:val="japaneseCounting"/>
      <w:lvlText w:val="第%1章"/>
      <w:lvlJc w:val="left"/>
      <w:pPr>
        <w:ind w:left="1350" w:hanging="1350"/>
      </w:pPr>
    </w:lvl>
    <w:lvl w:ilvl="1" w:tentative="0">
      <w:start w:val="1"/>
      <w:numFmt w:val="lowerLetter"/>
      <w:pStyle w:val="460"/>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6EF56B37"/>
    <w:multiLevelType w:val="multilevel"/>
    <w:tmpl w:val="6EF56B3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pStyle w:val="331"/>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77682B5D"/>
    <w:multiLevelType w:val="multilevel"/>
    <w:tmpl w:val="77682B5D"/>
    <w:lvl w:ilvl="0" w:tentative="0">
      <w:start w:val="1"/>
      <w:numFmt w:val="decimal"/>
      <w:pStyle w:val="3"/>
      <w:lvlText w:val="%1"/>
      <w:lvlJc w:val="left"/>
      <w:pPr>
        <w:ind w:left="432" w:hanging="432"/>
      </w:pPr>
    </w:lvl>
    <w:lvl w:ilvl="1" w:tentative="0">
      <w:start w:val="1"/>
      <w:numFmt w:val="decimal"/>
      <w:lvlText w:val="%1.%2"/>
      <w:lvlJc w:val="left"/>
      <w:pPr>
        <w:ind w:left="576" w:hanging="576"/>
      </w:pPr>
    </w:lvl>
    <w:lvl w:ilvl="2" w:tentative="0">
      <w:start w:val="1"/>
      <w:numFmt w:val="decimal"/>
      <w:pStyle w:val="4"/>
      <w:lvlText w:val="%1.%2.%3"/>
      <w:lvlJc w:val="left"/>
      <w:pPr>
        <w:ind w:left="720" w:hanging="720"/>
      </w:pPr>
    </w:lvl>
    <w:lvl w:ilvl="3" w:tentative="0">
      <w:start w:val="1"/>
      <w:numFmt w:val="decimal"/>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4"/>
  </w:num>
  <w:num w:numId="10">
    <w:abstractNumId w:val="10"/>
  </w:num>
  <w:num w:numId="11">
    <w:abstractNumId w:val="6"/>
  </w:num>
  <w:num w:numId="12">
    <w:abstractNumId w:val="5"/>
  </w:num>
  <w:num w:numId="13">
    <w:abstractNumId w:val="4"/>
  </w:num>
  <w:num w:numId="14">
    <w:abstractNumId w:val="11"/>
  </w:num>
  <w:num w:numId="15">
    <w:abstractNumId w:val="1"/>
  </w:num>
  <w:num w:numId="16">
    <w:abstractNumId w:val="8"/>
  </w:num>
  <w:num w:numId="17">
    <w:abstractNumId w:val="12"/>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isplayHorizontalDrawingGridEvery w:val="1"/>
  <w:displayVerticalDrawingGridEvery w:val="1"/>
  <w:noPunctuationKerning w:val="1"/>
  <w:characterSpacingControl w:val="doNotCompress"/>
  <w:hdrShapeDefaults>
    <o:shapelayout v:ext="edit">
      <o:idmap v:ext="edit" data="2"/>
    </o:shapelayout>
  </w:hdrShapeDefaults>
  <w:compat>
    <w:doNotExpandShiftReturn/>
    <w:doNotWrapTextWithPunct/>
    <w:doNotUseEastAsianBreakRules/>
    <w:useFELayout/>
    <w:doNotUseIndentAsNumberingTabStop/>
    <w:compatSetting w:name="compatibilityMode" w:uri="http://schemas.microsoft.com/office/word" w:val="12"/>
  </w:compat>
  <w:docVars>
    <w:docVar w:name="commondata" w:val="eyJoZGlkIjoiYWQ3MTUwMjVkODQ4YzU3NDBkYTI5MmZiZGMzYTY5NWUifQ=="/>
  </w:docVars>
  <w:rsids>
    <w:rsidRoot w:val="00880106"/>
    <w:rsid w:val="0002321C"/>
    <w:rsid w:val="000A1A92"/>
    <w:rsid w:val="00167872"/>
    <w:rsid w:val="002622C3"/>
    <w:rsid w:val="002F1965"/>
    <w:rsid w:val="00325E3C"/>
    <w:rsid w:val="00484591"/>
    <w:rsid w:val="00484BEE"/>
    <w:rsid w:val="004F0609"/>
    <w:rsid w:val="004F6486"/>
    <w:rsid w:val="005B648D"/>
    <w:rsid w:val="00661867"/>
    <w:rsid w:val="00704F77"/>
    <w:rsid w:val="00785414"/>
    <w:rsid w:val="007F5E03"/>
    <w:rsid w:val="00880106"/>
    <w:rsid w:val="00912584"/>
    <w:rsid w:val="00AE006C"/>
    <w:rsid w:val="00B70D41"/>
    <w:rsid w:val="00BB7474"/>
    <w:rsid w:val="00CD3BD8"/>
    <w:rsid w:val="00D277EC"/>
    <w:rsid w:val="00DF52C0"/>
    <w:rsid w:val="00E0770D"/>
    <w:rsid w:val="00EF3BAB"/>
    <w:rsid w:val="00FB17D0"/>
    <w:rsid w:val="00FD2765"/>
    <w:rsid w:val="00FD6162"/>
    <w:rsid w:val="01441350"/>
    <w:rsid w:val="01ED4312"/>
    <w:rsid w:val="021B053D"/>
    <w:rsid w:val="02837130"/>
    <w:rsid w:val="029A38EC"/>
    <w:rsid w:val="02A866C0"/>
    <w:rsid w:val="03BB6210"/>
    <w:rsid w:val="04384374"/>
    <w:rsid w:val="05BB42A5"/>
    <w:rsid w:val="061B11E8"/>
    <w:rsid w:val="0662770E"/>
    <w:rsid w:val="070B62F1"/>
    <w:rsid w:val="07752CF0"/>
    <w:rsid w:val="07A1626D"/>
    <w:rsid w:val="08177D0F"/>
    <w:rsid w:val="088F1026"/>
    <w:rsid w:val="0A3244CB"/>
    <w:rsid w:val="0A557AA3"/>
    <w:rsid w:val="0A560E0F"/>
    <w:rsid w:val="0D0E75BF"/>
    <w:rsid w:val="0DAB40A9"/>
    <w:rsid w:val="0E4B734D"/>
    <w:rsid w:val="0EC73CBB"/>
    <w:rsid w:val="0F284331"/>
    <w:rsid w:val="0FD05CA4"/>
    <w:rsid w:val="10F110F1"/>
    <w:rsid w:val="112E14C0"/>
    <w:rsid w:val="11A6178D"/>
    <w:rsid w:val="11EC7CEB"/>
    <w:rsid w:val="12A54313"/>
    <w:rsid w:val="131B5881"/>
    <w:rsid w:val="13545D39"/>
    <w:rsid w:val="13A26AA4"/>
    <w:rsid w:val="141B23B3"/>
    <w:rsid w:val="14582564"/>
    <w:rsid w:val="146F2E2A"/>
    <w:rsid w:val="14C10111"/>
    <w:rsid w:val="15D078F9"/>
    <w:rsid w:val="16275034"/>
    <w:rsid w:val="169A3A63"/>
    <w:rsid w:val="1702579F"/>
    <w:rsid w:val="17084E70"/>
    <w:rsid w:val="18D3325C"/>
    <w:rsid w:val="190D4971"/>
    <w:rsid w:val="1A8A3DEE"/>
    <w:rsid w:val="1BBA19E9"/>
    <w:rsid w:val="1BD7252C"/>
    <w:rsid w:val="1BFB6F0C"/>
    <w:rsid w:val="1C7F3E27"/>
    <w:rsid w:val="1CC55EDF"/>
    <w:rsid w:val="1D8C13D9"/>
    <w:rsid w:val="1E401809"/>
    <w:rsid w:val="1E763007"/>
    <w:rsid w:val="207E6AA5"/>
    <w:rsid w:val="20A9263A"/>
    <w:rsid w:val="20D858B3"/>
    <w:rsid w:val="210157FA"/>
    <w:rsid w:val="212A55EB"/>
    <w:rsid w:val="2187256B"/>
    <w:rsid w:val="218C533E"/>
    <w:rsid w:val="21A52D27"/>
    <w:rsid w:val="224F4E94"/>
    <w:rsid w:val="23500EAB"/>
    <w:rsid w:val="2479115B"/>
    <w:rsid w:val="26575A16"/>
    <w:rsid w:val="27534744"/>
    <w:rsid w:val="277B51EB"/>
    <w:rsid w:val="27AB21B9"/>
    <w:rsid w:val="29112819"/>
    <w:rsid w:val="293B2324"/>
    <w:rsid w:val="296E1A34"/>
    <w:rsid w:val="2A274E28"/>
    <w:rsid w:val="2A692278"/>
    <w:rsid w:val="2A80644E"/>
    <w:rsid w:val="2AB86BAD"/>
    <w:rsid w:val="2B0F6376"/>
    <w:rsid w:val="2B2B5C64"/>
    <w:rsid w:val="2C3863F7"/>
    <w:rsid w:val="2C4D0A26"/>
    <w:rsid w:val="2C6248E0"/>
    <w:rsid w:val="2CE77871"/>
    <w:rsid w:val="2D4A798F"/>
    <w:rsid w:val="2E456552"/>
    <w:rsid w:val="2F064CA1"/>
    <w:rsid w:val="2FFB6BEA"/>
    <w:rsid w:val="30352D3D"/>
    <w:rsid w:val="309A2B85"/>
    <w:rsid w:val="31CB6D6E"/>
    <w:rsid w:val="33250136"/>
    <w:rsid w:val="33A45E3F"/>
    <w:rsid w:val="34496D9C"/>
    <w:rsid w:val="34B34216"/>
    <w:rsid w:val="34BB30CA"/>
    <w:rsid w:val="35000A62"/>
    <w:rsid w:val="351D1843"/>
    <w:rsid w:val="3530278D"/>
    <w:rsid w:val="356674DA"/>
    <w:rsid w:val="36BA638E"/>
    <w:rsid w:val="376A3C4C"/>
    <w:rsid w:val="37952CA5"/>
    <w:rsid w:val="37AE6AD4"/>
    <w:rsid w:val="380A1041"/>
    <w:rsid w:val="38237904"/>
    <w:rsid w:val="38DA45C0"/>
    <w:rsid w:val="39B527DE"/>
    <w:rsid w:val="3A00614F"/>
    <w:rsid w:val="3A52002D"/>
    <w:rsid w:val="3AAF3114"/>
    <w:rsid w:val="3AC16F61"/>
    <w:rsid w:val="3B0102BC"/>
    <w:rsid w:val="3BA743A8"/>
    <w:rsid w:val="3C3841D6"/>
    <w:rsid w:val="3CB72D11"/>
    <w:rsid w:val="3CD21B48"/>
    <w:rsid w:val="3CFC0724"/>
    <w:rsid w:val="3D126BA6"/>
    <w:rsid w:val="3D7B7613"/>
    <w:rsid w:val="3EB219E2"/>
    <w:rsid w:val="3EFC28BD"/>
    <w:rsid w:val="3F2D1069"/>
    <w:rsid w:val="3FD8696A"/>
    <w:rsid w:val="404360D4"/>
    <w:rsid w:val="404B51FE"/>
    <w:rsid w:val="40FC0FC5"/>
    <w:rsid w:val="41711ADB"/>
    <w:rsid w:val="41770510"/>
    <w:rsid w:val="41770EF2"/>
    <w:rsid w:val="41CC4B69"/>
    <w:rsid w:val="43651B25"/>
    <w:rsid w:val="438324D8"/>
    <w:rsid w:val="43E91AE1"/>
    <w:rsid w:val="447540F8"/>
    <w:rsid w:val="44DC50C3"/>
    <w:rsid w:val="44E703FF"/>
    <w:rsid w:val="458A0FC3"/>
    <w:rsid w:val="45C91ADB"/>
    <w:rsid w:val="467632F5"/>
    <w:rsid w:val="469C7200"/>
    <w:rsid w:val="46EB2962"/>
    <w:rsid w:val="470A53A8"/>
    <w:rsid w:val="473E709D"/>
    <w:rsid w:val="475C7312"/>
    <w:rsid w:val="476B0F7D"/>
    <w:rsid w:val="47863D16"/>
    <w:rsid w:val="47C11514"/>
    <w:rsid w:val="48B25EE1"/>
    <w:rsid w:val="48DD1ABA"/>
    <w:rsid w:val="49867CF3"/>
    <w:rsid w:val="49C4704B"/>
    <w:rsid w:val="4AA6637A"/>
    <w:rsid w:val="4B3616FD"/>
    <w:rsid w:val="4B4027F6"/>
    <w:rsid w:val="4B8D7117"/>
    <w:rsid w:val="4BD84F60"/>
    <w:rsid w:val="4C107007"/>
    <w:rsid w:val="4CEB5B1E"/>
    <w:rsid w:val="4D0A72A4"/>
    <w:rsid w:val="4EF04A4A"/>
    <w:rsid w:val="4F021336"/>
    <w:rsid w:val="4F2B6097"/>
    <w:rsid w:val="4F615AFB"/>
    <w:rsid w:val="4FEE09C3"/>
    <w:rsid w:val="50000895"/>
    <w:rsid w:val="50436859"/>
    <w:rsid w:val="50BA1C2D"/>
    <w:rsid w:val="514A5AAA"/>
    <w:rsid w:val="51A43C18"/>
    <w:rsid w:val="51B80C66"/>
    <w:rsid w:val="51F2468E"/>
    <w:rsid w:val="521B5411"/>
    <w:rsid w:val="525B3FFE"/>
    <w:rsid w:val="53360DDC"/>
    <w:rsid w:val="538704C3"/>
    <w:rsid w:val="566E5D97"/>
    <w:rsid w:val="58333C49"/>
    <w:rsid w:val="589113DD"/>
    <w:rsid w:val="59AA71CF"/>
    <w:rsid w:val="5A307F33"/>
    <w:rsid w:val="5AEB20AC"/>
    <w:rsid w:val="5B92036F"/>
    <w:rsid w:val="5BB57FC4"/>
    <w:rsid w:val="5CA03C4D"/>
    <w:rsid w:val="5CB15596"/>
    <w:rsid w:val="5CE64A0A"/>
    <w:rsid w:val="5D395D2B"/>
    <w:rsid w:val="5E58112D"/>
    <w:rsid w:val="5EAD0210"/>
    <w:rsid w:val="5F737936"/>
    <w:rsid w:val="600808F0"/>
    <w:rsid w:val="603578A4"/>
    <w:rsid w:val="638208DB"/>
    <w:rsid w:val="639D2213"/>
    <w:rsid w:val="64004658"/>
    <w:rsid w:val="654D197A"/>
    <w:rsid w:val="65685D4E"/>
    <w:rsid w:val="663752FA"/>
    <w:rsid w:val="667F72D2"/>
    <w:rsid w:val="66E0683F"/>
    <w:rsid w:val="67144738"/>
    <w:rsid w:val="67E6508F"/>
    <w:rsid w:val="68686D39"/>
    <w:rsid w:val="68D02FD0"/>
    <w:rsid w:val="69603C65"/>
    <w:rsid w:val="69D17BFC"/>
    <w:rsid w:val="69F92C99"/>
    <w:rsid w:val="6A6922A4"/>
    <w:rsid w:val="6A9049B2"/>
    <w:rsid w:val="6B2A53F3"/>
    <w:rsid w:val="6B5050C9"/>
    <w:rsid w:val="6B851761"/>
    <w:rsid w:val="6BF06816"/>
    <w:rsid w:val="6C8D3817"/>
    <w:rsid w:val="6E0B3169"/>
    <w:rsid w:val="6E1F7C4B"/>
    <w:rsid w:val="6E7D42E0"/>
    <w:rsid w:val="6F162D92"/>
    <w:rsid w:val="6F724894"/>
    <w:rsid w:val="6FF37093"/>
    <w:rsid w:val="71303F5E"/>
    <w:rsid w:val="713311A6"/>
    <w:rsid w:val="713A1351"/>
    <w:rsid w:val="718C58E5"/>
    <w:rsid w:val="721926A3"/>
    <w:rsid w:val="734E4210"/>
    <w:rsid w:val="73B13BF8"/>
    <w:rsid w:val="74277859"/>
    <w:rsid w:val="7478074B"/>
    <w:rsid w:val="74C87C65"/>
    <w:rsid w:val="75921969"/>
    <w:rsid w:val="76804269"/>
    <w:rsid w:val="76A52432"/>
    <w:rsid w:val="76BD1FB6"/>
    <w:rsid w:val="77837DFD"/>
    <w:rsid w:val="781D07A0"/>
    <w:rsid w:val="78440142"/>
    <w:rsid w:val="78CE2999"/>
    <w:rsid w:val="7ABC4A73"/>
    <w:rsid w:val="7ADE2C3C"/>
    <w:rsid w:val="7AE91D0C"/>
    <w:rsid w:val="7BA577C9"/>
    <w:rsid w:val="7C444D20"/>
    <w:rsid w:val="7CD83215"/>
    <w:rsid w:val="7D9121E7"/>
    <w:rsid w:val="7E944C55"/>
    <w:rsid w:val="7ECA0B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1" w:semiHidden="0" w:name="heading 7"/>
    <w:lsdException w:qFormat="1" w:unhideWhenUsed="0" w:uiPriority="1" w:semiHidden="0" w:name="heading 8"/>
    <w:lsdException w:qFormat="1" w:unhideWhenUsed="0" w:uiPriority="1" w:semiHidden="0" w:name="heading 9"/>
    <w:lsdException w:qFormat="1" w:uiPriority="99" w:semiHidden="0" w:name="index 1"/>
    <w:lsdException w:uiPriority="99" w:name="index 2"/>
    <w:lsdException w:uiPriority="99" w:name="index 3"/>
    <w:lsdException w:uiPriority="99" w:name="index 4"/>
    <w:lsdException w:qFormat="1" w:uiPriority="99" w:semiHidden="0" w:name="index 5"/>
    <w:lsdException w:uiPriority="99" w:name="index 6"/>
    <w:lsdException w:qFormat="1" w:uiPriority="99" w:semiHidden="0"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iPriority="99"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uiPriority="99" w:name="page number"/>
    <w:lsdException w:qFormat="1" w:uiPriority="0" w:semiHidden="0" w:name="endnote reference"/>
    <w:lsdException w:qFormat="1" w:uiPriority="99" w:semiHidden="0" w:name="endnote text"/>
    <w:lsdException w:uiPriority="99" w:name="table of authorities"/>
    <w:lsdException w:uiPriority="99" w:name="macro"/>
    <w:lsdException w:uiPriority="99" w:name="toa heading"/>
    <w:lsdException w:qFormat="1" w:uiPriority="99" w:semiHidden="0" w:name="List"/>
    <w:lsdException w:qFormat="1" w:uiPriority="99" w:semiHidden="0" w:name="List Bullet"/>
    <w:lsdException w:uiPriority="99" w:name="List Number"/>
    <w:lsdException w:qFormat="1" w:uiPriority="99" w:semiHidden="0" w:name="List 2"/>
    <w:lsdException w:qFormat="1" w:uiPriority="99" w:semiHidden="0" w:name="List 3"/>
    <w:lsdException w:qFormat="1" w:uiPriority="99" w:semiHidden="0" w:name="List 4"/>
    <w:lsdException w:qFormat="1" w:uiPriority="99" w:semiHidden="0" w:name="List 5"/>
    <w:lsdException w:uiPriority="99" w:name="List Bullet 2"/>
    <w:lsdException w:qFormat="1" w:uiPriority="99" w:semiHidden="0"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iPriority="1" w:semiHidden="0" w:name="Body Text"/>
    <w:lsdException w:qFormat="1" w:uiPriority="99" w:semiHidden="0" w:name="Body Text Indent"/>
    <w:lsdException w:qFormat="1" w:uiPriority="99" w:semiHidden="0" w:name="List Continue"/>
    <w:lsdException w:qFormat="1" w:uiPriority="99" w:semiHidden="0" w:name="List Continue 2"/>
    <w:lsdException w:qFormat="1" w:uiPriority="99" w:semiHidden="0" w:name="List Continue 3"/>
    <w:lsdException w:uiPriority="99" w:name="List Continue 4"/>
    <w:lsdException w:qFormat="1" w:uiPriority="99" w:semiHidden="0" w:name="List Continue 5"/>
    <w:lsdException w:uiPriority="99" w:name="Message Header"/>
    <w:lsdException w:qFormat="1" w:unhideWhenUsed="0" w:uiPriority="99" w:semiHidden="0" w:name="Subtitle"/>
    <w:lsdException w:uiPriority="99" w:name="Salutation"/>
    <w:lsdException w:qFormat="1" w:uiPriority="99" w:semiHidden="0" w:name="Date"/>
    <w:lsdException w:qFormat="1" w:uiPriority="99" w:semiHidden="0" w:name="Body Text First Indent"/>
    <w:lsdException w:qFormat="1" w:unhideWhenUsed="0" w:uiPriority="0" w:semiHidden="0" w:name="Body Text First Indent 2"/>
    <w:lsdException w:uiPriority="99" w:name="Note Heading"/>
    <w:lsdException w:qFormat="1" w:uiPriority="99" w:semiHidden="0" w:name="Body Text 2"/>
    <w:lsdException w:qFormat="1" w:uiPriority="99" w:semiHidden="0" w:name="Body Text 3"/>
    <w:lsdException w:qFormat="1" w:uiPriority="99" w:semiHidden="0" w:name="Body Text Indent 2"/>
    <w:lsdException w:qFormat="1" w:uiPriority="99" w:semiHidden="0" w:name="Body Text Indent 3"/>
    <w:lsdException w:qFormat="1" w:uiPriority="99"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66"/>
    <w:qFormat/>
    <w:uiPriority w:val="9"/>
    <w:pPr>
      <w:keepNext/>
      <w:keepLines/>
      <w:numPr>
        <w:ilvl w:val="0"/>
        <w:numId w:val="1"/>
      </w:numPr>
      <w:spacing w:before="340" w:after="330" w:line="576" w:lineRule="auto"/>
      <w:ind w:left="0" w:firstLine="0"/>
      <w:jc w:val="center"/>
      <w:outlineLvl w:val="0"/>
    </w:pPr>
    <w:rPr>
      <w:b/>
      <w:kern w:val="44"/>
      <w:sz w:val="44"/>
    </w:rPr>
  </w:style>
  <w:style w:type="paragraph" w:styleId="2">
    <w:name w:val="heading 2"/>
    <w:basedOn w:val="3"/>
    <w:next w:val="1"/>
    <w:link w:val="67"/>
    <w:qFormat/>
    <w:uiPriority w:val="9"/>
    <w:pPr>
      <w:spacing w:before="260" w:after="260" w:line="415" w:lineRule="auto"/>
      <w:outlineLvl w:val="1"/>
    </w:pPr>
    <w:rPr>
      <w:rFonts w:ascii="Arial" w:hAnsi="Arial" w:eastAsia="黑体"/>
      <w:bCs/>
      <w:sz w:val="32"/>
      <w:szCs w:val="32"/>
    </w:rPr>
  </w:style>
  <w:style w:type="paragraph" w:styleId="4">
    <w:name w:val="heading 3"/>
    <w:basedOn w:val="1"/>
    <w:next w:val="1"/>
    <w:link w:val="95"/>
    <w:qFormat/>
    <w:uiPriority w:val="9"/>
    <w:pPr>
      <w:keepNext/>
      <w:keepLines/>
      <w:numPr>
        <w:ilvl w:val="2"/>
        <w:numId w:val="1"/>
      </w:numPr>
      <w:spacing w:before="260" w:after="260" w:line="415" w:lineRule="auto"/>
      <w:ind w:left="0" w:firstLine="0"/>
      <w:outlineLvl w:val="2"/>
    </w:pPr>
    <w:rPr>
      <w:b/>
      <w:bCs/>
      <w:sz w:val="32"/>
      <w:szCs w:val="32"/>
    </w:rPr>
  </w:style>
  <w:style w:type="paragraph" w:styleId="5">
    <w:name w:val="heading 4"/>
    <w:basedOn w:val="1"/>
    <w:next w:val="1"/>
    <w:link w:val="69"/>
    <w:qFormat/>
    <w:uiPriority w:val="9"/>
    <w:pPr>
      <w:keepNext/>
      <w:keepLines/>
      <w:tabs>
        <w:tab w:val="left" w:pos="1984"/>
      </w:tabs>
      <w:spacing w:before="280" w:after="290" w:line="372" w:lineRule="auto"/>
      <w:ind w:left="1984" w:hanging="708"/>
      <w:outlineLvl w:val="3"/>
    </w:pPr>
    <w:rPr>
      <w:rFonts w:ascii="Arial" w:hAnsi="Arial" w:eastAsia="黑体"/>
      <w:b/>
      <w:sz w:val="28"/>
      <w:szCs w:val="22"/>
    </w:rPr>
  </w:style>
  <w:style w:type="paragraph" w:styleId="6">
    <w:name w:val="heading 5"/>
    <w:basedOn w:val="1"/>
    <w:next w:val="1"/>
    <w:link w:val="70"/>
    <w:qFormat/>
    <w:uiPriority w:val="9"/>
    <w:pPr>
      <w:keepNext/>
      <w:keepLines/>
      <w:spacing w:before="280" w:after="290" w:line="374" w:lineRule="auto"/>
      <w:outlineLvl w:val="4"/>
    </w:pPr>
    <w:rPr>
      <w:b/>
      <w:bCs/>
      <w:sz w:val="28"/>
      <w:szCs w:val="28"/>
    </w:rPr>
  </w:style>
  <w:style w:type="paragraph" w:styleId="7">
    <w:name w:val="heading 6"/>
    <w:basedOn w:val="1"/>
    <w:next w:val="1"/>
    <w:link w:val="71"/>
    <w:qFormat/>
    <w:uiPriority w:val="9"/>
    <w:pPr>
      <w:keepNext/>
      <w:keepLines/>
      <w:spacing w:before="240" w:after="64" w:line="316" w:lineRule="auto"/>
      <w:ind w:left="1152" w:hanging="1152"/>
      <w:outlineLvl w:val="5"/>
    </w:pPr>
    <w:rPr>
      <w:rFonts w:ascii="Calibri Light" w:hAnsi="Calibri Light"/>
      <w:b/>
      <w:bCs/>
      <w:sz w:val="24"/>
      <w:szCs w:val="24"/>
    </w:rPr>
  </w:style>
  <w:style w:type="paragraph" w:styleId="8">
    <w:name w:val="heading 7"/>
    <w:basedOn w:val="1"/>
    <w:next w:val="1"/>
    <w:link w:val="72"/>
    <w:qFormat/>
    <w:uiPriority w:val="1"/>
    <w:pPr>
      <w:keepNext/>
      <w:keepLines/>
      <w:spacing w:before="240" w:after="64" w:line="316" w:lineRule="auto"/>
      <w:ind w:left="1296" w:hanging="1296"/>
      <w:outlineLvl w:val="6"/>
    </w:pPr>
    <w:rPr>
      <w:b/>
      <w:bCs/>
      <w:sz w:val="24"/>
      <w:szCs w:val="24"/>
    </w:rPr>
  </w:style>
  <w:style w:type="paragraph" w:styleId="9">
    <w:name w:val="heading 8"/>
    <w:basedOn w:val="1"/>
    <w:next w:val="1"/>
    <w:link w:val="73"/>
    <w:qFormat/>
    <w:uiPriority w:val="1"/>
    <w:pPr>
      <w:keepNext/>
      <w:keepLines/>
      <w:spacing w:before="240" w:after="64" w:line="316" w:lineRule="auto"/>
      <w:ind w:left="1440" w:hanging="1440"/>
      <w:outlineLvl w:val="7"/>
    </w:pPr>
    <w:rPr>
      <w:rFonts w:ascii="Calibri Light" w:hAnsi="Calibri Light"/>
      <w:sz w:val="24"/>
      <w:szCs w:val="24"/>
    </w:rPr>
  </w:style>
  <w:style w:type="paragraph" w:styleId="10">
    <w:name w:val="heading 9"/>
    <w:basedOn w:val="1"/>
    <w:next w:val="1"/>
    <w:link w:val="74"/>
    <w:qFormat/>
    <w:uiPriority w:val="1"/>
    <w:pPr>
      <w:keepNext/>
      <w:keepLines/>
      <w:spacing w:before="240" w:after="64" w:line="316" w:lineRule="auto"/>
      <w:ind w:left="1584" w:hanging="1584"/>
      <w:outlineLvl w:val="8"/>
    </w:pPr>
    <w:rPr>
      <w:rFonts w:ascii="Calibri Light" w:hAnsi="Calibri Light"/>
      <w:szCs w:val="21"/>
    </w:rPr>
  </w:style>
  <w:style w:type="character" w:default="1" w:styleId="59">
    <w:name w:val="Default Paragraph Font"/>
    <w:semiHidden/>
    <w:unhideWhenUsed/>
    <w:qFormat/>
    <w:uiPriority w:val="1"/>
  </w:style>
  <w:style w:type="table" w:default="1" w:styleId="57">
    <w:name w:val="Normal Table"/>
    <w:semiHidden/>
    <w:unhideWhenUsed/>
    <w:qFormat/>
    <w:uiPriority w:val="99"/>
    <w:tblPr>
      <w:tblCellMar>
        <w:top w:w="0" w:type="dxa"/>
        <w:left w:w="108" w:type="dxa"/>
        <w:bottom w:w="0" w:type="dxa"/>
        <w:right w:w="108" w:type="dxa"/>
      </w:tblCellMar>
    </w:tblPr>
  </w:style>
  <w:style w:type="paragraph" w:styleId="11">
    <w:name w:val="List 3"/>
    <w:basedOn w:val="1"/>
    <w:unhideWhenUsed/>
    <w:qFormat/>
    <w:uiPriority w:val="99"/>
    <w:pPr>
      <w:adjustRightInd w:val="0"/>
      <w:spacing w:line="360" w:lineRule="atLeast"/>
      <w:ind w:left="100" w:leftChars="400" w:hanging="200" w:hangingChars="200"/>
      <w:jc w:val="left"/>
    </w:pPr>
    <w:rPr>
      <w:kern w:val="0"/>
      <w:sz w:val="24"/>
    </w:rPr>
  </w:style>
  <w:style w:type="paragraph" w:styleId="12">
    <w:name w:val="toc 7"/>
    <w:basedOn w:val="1"/>
    <w:next w:val="1"/>
    <w:unhideWhenUsed/>
    <w:qFormat/>
    <w:uiPriority w:val="39"/>
    <w:pPr>
      <w:ind w:left="2520" w:leftChars="1200"/>
    </w:pPr>
    <w:rPr>
      <w:szCs w:val="24"/>
    </w:rPr>
  </w:style>
  <w:style w:type="paragraph" w:styleId="13">
    <w:name w:val="Normal Indent"/>
    <w:basedOn w:val="1"/>
    <w:link w:val="75"/>
    <w:unhideWhenUsed/>
    <w:qFormat/>
    <w:uiPriority w:val="99"/>
    <w:pPr>
      <w:ind w:firstLine="420"/>
    </w:pPr>
  </w:style>
  <w:style w:type="paragraph" w:styleId="14">
    <w:name w:val="index 5"/>
    <w:basedOn w:val="1"/>
    <w:next w:val="1"/>
    <w:unhideWhenUsed/>
    <w:qFormat/>
    <w:uiPriority w:val="99"/>
    <w:pPr>
      <w:ind w:left="800" w:leftChars="800"/>
    </w:pPr>
    <w:rPr>
      <w:szCs w:val="24"/>
    </w:rPr>
  </w:style>
  <w:style w:type="paragraph" w:styleId="15">
    <w:name w:val="List Bullet"/>
    <w:basedOn w:val="1"/>
    <w:unhideWhenUsed/>
    <w:qFormat/>
    <w:uiPriority w:val="99"/>
    <w:pPr>
      <w:tabs>
        <w:tab w:val="left" w:pos="360"/>
        <w:tab w:val="left" w:pos="1260"/>
      </w:tabs>
      <w:ind w:left="1260" w:hanging="420"/>
    </w:pPr>
    <w:rPr>
      <w:szCs w:val="24"/>
    </w:rPr>
  </w:style>
  <w:style w:type="paragraph" w:styleId="16">
    <w:name w:val="Document Map"/>
    <w:basedOn w:val="1"/>
    <w:link w:val="76"/>
    <w:unhideWhenUsed/>
    <w:qFormat/>
    <w:uiPriority w:val="99"/>
    <w:pPr>
      <w:shd w:val="clear" w:color="auto" w:fill="000080"/>
    </w:pPr>
  </w:style>
  <w:style w:type="paragraph" w:styleId="17">
    <w:name w:val="annotation text"/>
    <w:basedOn w:val="1"/>
    <w:link w:val="77"/>
    <w:unhideWhenUsed/>
    <w:qFormat/>
    <w:uiPriority w:val="99"/>
    <w:pPr>
      <w:jc w:val="left"/>
    </w:pPr>
  </w:style>
  <w:style w:type="paragraph" w:styleId="18">
    <w:name w:val="Body Text 3"/>
    <w:basedOn w:val="1"/>
    <w:link w:val="78"/>
    <w:unhideWhenUsed/>
    <w:qFormat/>
    <w:uiPriority w:val="99"/>
    <w:pPr>
      <w:adjustRightInd w:val="0"/>
      <w:spacing w:after="120" w:line="360" w:lineRule="atLeast"/>
      <w:jc w:val="left"/>
    </w:pPr>
    <w:rPr>
      <w:kern w:val="0"/>
      <w:sz w:val="16"/>
      <w:szCs w:val="16"/>
    </w:rPr>
  </w:style>
  <w:style w:type="paragraph" w:styleId="19">
    <w:name w:val="List Bullet 3"/>
    <w:basedOn w:val="1"/>
    <w:unhideWhenUsed/>
    <w:qFormat/>
    <w:uiPriority w:val="99"/>
    <w:pPr>
      <w:numPr>
        <w:ilvl w:val="0"/>
        <w:numId w:val="2"/>
      </w:numPr>
      <w:tabs>
        <w:tab w:val="left" w:pos="420"/>
      </w:tabs>
      <w:adjustRightInd w:val="0"/>
      <w:spacing w:line="360" w:lineRule="atLeast"/>
      <w:jc w:val="left"/>
    </w:pPr>
    <w:rPr>
      <w:kern w:val="0"/>
      <w:sz w:val="24"/>
    </w:rPr>
  </w:style>
  <w:style w:type="paragraph" w:styleId="20">
    <w:name w:val="Body Text"/>
    <w:basedOn w:val="1"/>
    <w:next w:val="21"/>
    <w:link w:val="79"/>
    <w:unhideWhenUsed/>
    <w:qFormat/>
    <w:uiPriority w:val="1"/>
    <w:rPr>
      <w:rFonts w:ascii="宋体" w:hAnsi="Arial"/>
      <w:sz w:val="24"/>
    </w:rPr>
  </w:style>
  <w:style w:type="paragraph" w:styleId="21">
    <w:name w:val="Date"/>
    <w:basedOn w:val="1"/>
    <w:next w:val="1"/>
    <w:link w:val="80"/>
    <w:unhideWhenUsed/>
    <w:qFormat/>
    <w:uiPriority w:val="99"/>
    <w:rPr>
      <w:sz w:val="24"/>
    </w:rPr>
  </w:style>
  <w:style w:type="paragraph" w:styleId="22">
    <w:name w:val="Body Text Indent"/>
    <w:basedOn w:val="1"/>
    <w:link w:val="81"/>
    <w:unhideWhenUsed/>
    <w:qFormat/>
    <w:uiPriority w:val="99"/>
    <w:pPr>
      <w:spacing w:after="120"/>
      <w:ind w:left="420" w:leftChars="200"/>
    </w:pPr>
  </w:style>
  <w:style w:type="paragraph" w:styleId="23">
    <w:name w:val="List 2"/>
    <w:basedOn w:val="1"/>
    <w:unhideWhenUsed/>
    <w:qFormat/>
    <w:uiPriority w:val="99"/>
    <w:pPr>
      <w:adjustRightInd w:val="0"/>
      <w:ind w:left="100" w:hanging="200"/>
    </w:pPr>
  </w:style>
  <w:style w:type="paragraph" w:styleId="24">
    <w:name w:val="List Continue"/>
    <w:basedOn w:val="1"/>
    <w:unhideWhenUsed/>
    <w:qFormat/>
    <w:uiPriority w:val="99"/>
    <w:pPr>
      <w:numPr>
        <w:ilvl w:val="0"/>
        <w:numId w:val="3"/>
      </w:numPr>
      <w:adjustRightInd w:val="0"/>
      <w:spacing w:after="120" w:line="360" w:lineRule="atLeast"/>
      <w:ind w:left="200" w:leftChars="200" w:firstLine="0"/>
      <w:jc w:val="left"/>
    </w:pPr>
    <w:rPr>
      <w:kern w:val="0"/>
      <w:sz w:val="24"/>
    </w:rPr>
  </w:style>
  <w:style w:type="paragraph" w:styleId="25">
    <w:name w:val="Block Text"/>
    <w:basedOn w:val="1"/>
    <w:unhideWhenUsed/>
    <w:qFormat/>
    <w:uiPriority w:val="99"/>
    <w:pPr>
      <w:spacing w:after="120"/>
      <w:ind w:left="1440" w:leftChars="700" w:right="1440" w:rightChars="700"/>
    </w:pPr>
    <w:rPr>
      <w:szCs w:val="24"/>
    </w:rPr>
  </w:style>
  <w:style w:type="paragraph" w:styleId="26">
    <w:name w:val="toc 5"/>
    <w:basedOn w:val="1"/>
    <w:next w:val="1"/>
    <w:unhideWhenUsed/>
    <w:qFormat/>
    <w:uiPriority w:val="39"/>
    <w:pPr>
      <w:ind w:left="1680" w:leftChars="800"/>
    </w:pPr>
    <w:rPr>
      <w:szCs w:val="24"/>
    </w:rPr>
  </w:style>
  <w:style w:type="paragraph" w:styleId="27">
    <w:name w:val="toc 3"/>
    <w:basedOn w:val="1"/>
    <w:next w:val="1"/>
    <w:unhideWhenUsed/>
    <w:qFormat/>
    <w:uiPriority w:val="39"/>
    <w:pPr>
      <w:ind w:left="840" w:leftChars="400"/>
    </w:pPr>
  </w:style>
  <w:style w:type="paragraph" w:styleId="28">
    <w:name w:val="Plain Text"/>
    <w:basedOn w:val="1"/>
    <w:link w:val="82"/>
    <w:unhideWhenUsed/>
    <w:qFormat/>
    <w:uiPriority w:val="99"/>
    <w:rPr>
      <w:rFonts w:ascii="宋体" w:hAnsi="Courier New"/>
    </w:rPr>
  </w:style>
  <w:style w:type="paragraph" w:styleId="29">
    <w:name w:val="toc 8"/>
    <w:basedOn w:val="1"/>
    <w:next w:val="1"/>
    <w:unhideWhenUsed/>
    <w:qFormat/>
    <w:uiPriority w:val="39"/>
    <w:pPr>
      <w:ind w:left="2940" w:leftChars="1400"/>
    </w:pPr>
    <w:rPr>
      <w:szCs w:val="24"/>
    </w:rPr>
  </w:style>
  <w:style w:type="paragraph" w:styleId="30">
    <w:name w:val="Body Text Indent 2"/>
    <w:basedOn w:val="1"/>
    <w:link w:val="83"/>
    <w:unhideWhenUsed/>
    <w:qFormat/>
    <w:uiPriority w:val="99"/>
    <w:pPr>
      <w:spacing w:after="120" w:line="480" w:lineRule="auto"/>
      <w:ind w:left="420" w:leftChars="200"/>
    </w:pPr>
  </w:style>
  <w:style w:type="paragraph" w:styleId="31">
    <w:name w:val="endnote text"/>
    <w:basedOn w:val="1"/>
    <w:link w:val="84"/>
    <w:unhideWhenUsed/>
    <w:qFormat/>
    <w:uiPriority w:val="99"/>
    <w:pPr>
      <w:snapToGrid w:val="0"/>
      <w:jc w:val="left"/>
    </w:pPr>
    <w:rPr>
      <w:szCs w:val="24"/>
    </w:rPr>
  </w:style>
  <w:style w:type="paragraph" w:styleId="32">
    <w:name w:val="List Continue 5"/>
    <w:basedOn w:val="1"/>
    <w:unhideWhenUsed/>
    <w:qFormat/>
    <w:uiPriority w:val="99"/>
    <w:pPr>
      <w:adjustRightInd w:val="0"/>
      <w:spacing w:after="120" w:line="360" w:lineRule="atLeast"/>
      <w:ind w:left="2100" w:leftChars="1000"/>
      <w:jc w:val="left"/>
    </w:pPr>
    <w:rPr>
      <w:kern w:val="0"/>
      <w:sz w:val="24"/>
    </w:rPr>
  </w:style>
  <w:style w:type="paragraph" w:styleId="33">
    <w:name w:val="Balloon Text"/>
    <w:basedOn w:val="1"/>
    <w:link w:val="85"/>
    <w:unhideWhenUsed/>
    <w:qFormat/>
    <w:uiPriority w:val="99"/>
    <w:rPr>
      <w:sz w:val="18"/>
      <w:szCs w:val="18"/>
    </w:rPr>
  </w:style>
  <w:style w:type="paragraph" w:styleId="34">
    <w:name w:val="footer"/>
    <w:basedOn w:val="1"/>
    <w:link w:val="86"/>
    <w:unhideWhenUsed/>
    <w:qFormat/>
    <w:uiPriority w:val="99"/>
    <w:pPr>
      <w:tabs>
        <w:tab w:val="center" w:pos="4153"/>
        <w:tab w:val="right" w:pos="8306"/>
      </w:tabs>
      <w:snapToGrid w:val="0"/>
      <w:jc w:val="left"/>
    </w:pPr>
    <w:rPr>
      <w:sz w:val="18"/>
      <w:szCs w:val="18"/>
    </w:rPr>
  </w:style>
  <w:style w:type="paragraph" w:styleId="35">
    <w:name w:val="header"/>
    <w:basedOn w:val="1"/>
    <w:link w:val="87"/>
    <w:unhideWhenUsed/>
    <w:qFormat/>
    <w:uiPriority w:val="99"/>
    <w:pPr>
      <w:pBdr>
        <w:bottom w:val="single" w:color="auto" w:sz="6" w:space="1"/>
      </w:pBdr>
      <w:tabs>
        <w:tab w:val="center" w:pos="4153"/>
        <w:tab w:val="right" w:pos="8306"/>
      </w:tabs>
      <w:snapToGrid w:val="0"/>
      <w:jc w:val="center"/>
    </w:pPr>
    <w:rPr>
      <w:sz w:val="18"/>
      <w:szCs w:val="18"/>
    </w:rPr>
  </w:style>
  <w:style w:type="paragraph" w:styleId="36">
    <w:name w:val="toc 1"/>
    <w:basedOn w:val="1"/>
    <w:next w:val="1"/>
    <w:unhideWhenUsed/>
    <w:qFormat/>
    <w:uiPriority w:val="39"/>
  </w:style>
  <w:style w:type="paragraph" w:styleId="37">
    <w:name w:val="toc 4"/>
    <w:basedOn w:val="1"/>
    <w:next w:val="1"/>
    <w:unhideWhenUsed/>
    <w:qFormat/>
    <w:uiPriority w:val="39"/>
    <w:pPr>
      <w:ind w:left="1260" w:leftChars="600"/>
    </w:pPr>
    <w:rPr>
      <w:szCs w:val="24"/>
    </w:rPr>
  </w:style>
  <w:style w:type="paragraph" w:styleId="38">
    <w:name w:val="Subtitle"/>
    <w:basedOn w:val="1"/>
    <w:next w:val="1"/>
    <w:link w:val="88"/>
    <w:qFormat/>
    <w:uiPriority w:val="99"/>
    <w:pPr>
      <w:spacing w:before="240" w:after="60" w:line="312" w:lineRule="auto"/>
      <w:jc w:val="center"/>
      <w:outlineLvl w:val="1"/>
    </w:pPr>
    <w:rPr>
      <w:rFonts w:ascii="Cambria" w:hAnsi="Cambria"/>
      <w:b/>
      <w:bCs/>
      <w:kern w:val="28"/>
      <w:sz w:val="32"/>
      <w:szCs w:val="32"/>
    </w:rPr>
  </w:style>
  <w:style w:type="paragraph" w:styleId="39">
    <w:name w:val="List"/>
    <w:basedOn w:val="1"/>
    <w:unhideWhenUsed/>
    <w:qFormat/>
    <w:uiPriority w:val="99"/>
    <w:pPr>
      <w:adjustRightInd w:val="0"/>
      <w:spacing w:line="360" w:lineRule="atLeast"/>
      <w:ind w:left="200" w:hanging="200" w:hangingChars="200"/>
      <w:jc w:val="left"/>
    </w:pPr>
    <w:rPr>
      <w:kern w:val="0"/>
      <w:sz w:val="24"/>
    </w:rPr>
  </w:style>
  <w:style w:type="paragraph" w:styleId="40">
    <w:name w:val="toc 6"/>
    <w:basedOn w:val="1"/>
    <w:next w:val="1"/>
    <w:unhideWhenUsed/>
    <w:qFormat/>
    <w:uiPriority w:val="39"/>
    <w:pPr>
      <w:ind w:left="2100" w:leftChars="1000"/>
    </w:pPr>
    <w:rPr>
      <w:szCs w:val="24"/>
    </w:rPr>
  </w:style>
  <w:style w:type="paragraph" w:styleId="41">
    <w:name w:val="List 5"/>
    <w:basedOn w:val="1"/>
    <w:unhideWhenUsed/>
    <w:qFormat/>
    <w:uiPriority w:val="99"/>
    <w:pPr>
      <w:adjustRightInd w:val="0"/>
      <w:spacing w:line="360" w:lineRule="atLeast"/>
      <w:ind w:left="100" w:leftChars="800" w:hanging="200" w:hangingChars="200"/>
      <w:jc w:val="left"/>
    </w:pPr>
    <w:rPr>
      <w:kern w:val="0"/>
      <w:sz w:val="24"/>
    </w:rPr>
  </w:style>
  <w:style w:type="paragraph" w:styleId="42">
    <w:name w:val="Body Text Indent 3"/>
    <w:basedOn w:val="1"/>
    <w:link w:val="89"/>
    <w:unhideWhenUsed/>
    <w:qFormat/>
    <w:uiPriority w:val="99"/>
    <w:pPr>
      <w:ind w:left="2" w:firstLine="628"/>
    </w:pPr>
    <w:rPr>
      <w:rFonts w:ascii="Arial" w:hAnsi="Arial" w:eastAsia="仿宋_GB2312"/>
      <w:b/>
      <w:sz w:val="32"/>
    </w:rPr>
  </w:style>
  <w:style w:type="paragraph" w:styleId="43">
    <w:name w:val="index 7"/>
    <w:basedOn w:val="1"/>
    <w:next w:val="1"/>
    <w:unhideWhenUsed/>
    <w:qFormat/>
    <w:uiPriority w:val="99"/>
    <w:pPr>
      <w:spacing w:after="120" w:line="360" w:lineRule="auto"/>
      <w:ind w:left="1200" w:leftChars="1200"/>
    </w:pPr>
  </w:style>
  <w:style w:type="paragraph" w:styleId="44">
    <w:name w:val="toc 2"/>
    <w:basedOn w:val="1"/>
    <w:next w:val="1"/>
    <w:unhideWhenUsed/>
    <w:qFormat/>
    <w:uiPriority w:val="39"/>
    <w:pPr>
      <w:ind w:left="420" w:leftChars="200"/>
    </w:pPr>
  </w:style>
  <w:style w:type="paragraph" w:styleId="45">
    <w:name w:val="toc 9"/>
    <w:basedOn w:val="1"/>
    <w:next w:val="1"/>
    <w:unhideWhenUsed/>
    <w:qFormat/>
    <w:uiPriority w:val="39"/>
    <w:pPr>
      <w:ind w:left="3360" w:leftChars="1600"/>
    </w:pPr>
    <w:rPr>
      <w:szCs w:val="24"/>
    </w:rPr>
  </w:style>
  <w:style w:type="paragraph" w:styleId="46">
    <w:name w:val="Body Text 2"/>
    <w:basedOn w:val="1"/>
    <w:link w:val="90"/>
    <w:unhideWhenUsed/>
    <w:qFormat/>
    <w:uiPriority w:val="99"/>
    <w:pPr>
      <w:spacing w:after="120" w:line="480" w:lineRule="auto"/>
    </w:pPr>
  </w:style>
  <w:style w:type="paragraph" w:styleId="47">
    <w:name w:val="List 4"/>
    <w:basedOn w:val="1"/>
    <w:unhideWhenUsed/>
    <w:qFormat/>
    <w:uiPriority w:val="99"/>
    <w:pPr>
      <w:adjustRightInd w:val="0"/>
      <w:spacing w:line="360" w:lineRule="atLeast"/>
      <w:ind w:left="100" w:leftChars="600" w:hanging="200" w:hangingChars="200"/>
      <w:jc w:val="left"/>
    </w:pPr>
    <w:rPr>
      <w:kern w:val="0"/>
      <w:sz w:val="24"/>
    </w:rPr>
  </w:style>
  <w:style w:type="paragraph" w:styleId="48">
    <w:name w:val="List Continue 2"/>
    <w:basedOn w:val="1"/>
    <w:unhideWhenUsed/>
    <w:qFormat/>
    <w:uiPriority w:val="99"/>
    <w:pPr>
      <w:adjustRightInd w:val="0"/>
      <w:spacing w:after="120" w:line="360" w:lineRule="atLeast"/>
      <w:ind w:left="840" w:leftChars="400"/>
      <w:jc w:val="left"/>
    </w:pPr>
    <w:rPr>
      <w:kern w:val="0"/>
      <w:sz w:val="24"/>
    </w:rPr>
  </w:style>
  <w:style w:type="paragraph" w:styleId="49">
    <w:name w:val="HTML Preformatted"/>
    <w:basedOn w:val="1"/>
    <w:link w:val="91"/>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rPr>
  </w:style>
  <w:style w:type="paragraph" w:styleId="50">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51">
    <w:name w:val="List Continue 3"/>
    <w:basedOn w:val="1"/>
    <w:unhideWhenUsed/>
    <w:qFormat/>
    <w:uiPriority w:val="99"/>
    <w:pPr>
      <w:adjustRightInd w:val="0"/>
      <w:spacing w:after="120" w:line="360" w:lineRule="atLeast"/>
      <w:ind w:left="1260" w:leftChars="600"/>
      <w:jc w:val="left"/>
    </w:pPr>
    <w:rPr>
      <w:kern w:val="0"/>
      <w:sz w:val="24"/>
    </w:rPr>
  </w:style>
  <w:style w:type="paragraph" w:styleId="52">
    <w:name w:val="index 1"/>
    <w:basedOn w:val="1"/>
    <w:next w:val="1"/>
    <w:unhideWhenUsed/>
    <w:qFormat/>
    <w:uiPriority w:val="99"/>
    <w:pPr>
      <w:tabs>
        <w:tab w:val="left" w:pos="0"/>
      </w:tabs>
      <w:ind w:left="420"/>
      <w:jc w:val="left"/>
    </w:pPr>
    <w:rPr>
      <w:sz w:val="24"/>
    </w:rPr>
  </w:style>
  <w:style w:type="paragraph" w:styleId="53">
    <w:name w:val="Title"/>
    <w:basedOn w:val="1"/>
    <w:next w:val="1"/>
    <w:link w:val="92"/>
    <w:qFormat/>
    <w:uiPriority w:val="99"/>
    <w:pPr>
      <w:spacing w:before="240" w:after="60"/>
      <w:jc w:val="center"/>
      <w:outlineLvl w:val="0"/>
    </w:pPr>
    <w:rPr>
      <w:rFonts w:ascii="Cambria" w:hAnsi="Cambria"/>
      <w:b/>
      <w:bCs/>
      <w:sz w:val="32"/>
      <w:szCs w:val="32"/>
    </w:rPr>
  </w:style>
  <w:style w:type="paragraph" w:styleId="54">
    <w:name w:val="annotation subject"/>
    <w:basedOn w:val="17"/>
    <w:next w:val="17"/>
    <w:link w:val="93"/>
    <w:unhideWhenUsed/>
    <w:qFormat/>
    <w:uiPriority w:val="99"/>
    <w:rPr>
      <w:b/>
      <w:bCs/>
      <w:szCs w:val="24"/>
    </w:rPr>
  </w:style>
  <w:style w:type="paragraph" w:styleId="55">
    <w:name w:val="Body Text First Indent"/>
    <w:basedOn w:val="20"/>
    <w:link w:val="94"/>
    <w:unhideWhenUsed/>
    <w:qFormat/>
    <w:uiPriority w:val="99"/>
    <w:pPr>
      <w:spacing w:after="120"/>
      <w:ind w:firstLine="420" w:firstLineChars="100"/>
    </w:pPr>
    <w:rPr>
      <w:szCs w:val="24"/>
    </w:rPr>
  </w:style>
  <w:style w:type="paragraph" w:styleId="56">
    <w:name w:val="Body Text First Indent 2"/>
    <w:basedOn w:val="22"/>
    <w:qFormat/>
    <w:uiPriority w:val="0"/>
    <w:pPr>
      <w:ind w:firstLine="420" w:firstLineChars="200"/>
    </w:pPr>
  </w:style>
  <w:style w:type="table" w:styleId="58">
    <w:name w:val="Table Grid"/>
    <w:basedOn w:val="5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0">
    <w:name w:val="Strong"/>
    <w:basedOn w:val="59"/>
    <w:qFormat/>
    <w:uiPriority w:val="0"/>
    <w:rPr>
      <w:b/>
      <w:bCs/>
    </w:rPr>
  </w:style>
  <w:style w:type="character" w:styleId="61">
    <w:name w:val="endnote reference"/>
    <w:unhideWhenUsed/>
    <w:qFormat/>
    <w:uiPriority w:val="0"/>
    <w:rPr>
      <w:vertAlign w:val="superscript"/>
    </w:rPr>
  </w:style>
  <w:style w:type="character" w:styleId="62">
    <w:name w:val="FollowedHyperlink"/>
    <w:unhideWhenUsed/>
    <w:qFormat/>
    <w:uiPriority w:val="99"/>
    <w:rPr>
      <w:color w:val="800080"/>
      <w:u w:val="single"/>
    </w:rPr>
  </w:style>
  <w:style w:type="character" w:styleId="63">
    <w:name w:val="Hyperlink"/>
    <w:unhideWhenUsed/>
    <w:qFormat/>
    <w:uiPriority w:val="99"/>
    <w:rPr>
      <w:color w:val="0000FF"/>
      <w:u w:val="single"/>
    </w:rPr>
  </w:style>
  <w:style w:type="character" w:styleId="64">
    <w:name w:val="annotation reference"/>
    <w:basedOn w:val="59"/>
    <w:unhideWhenUsed/>
    <w:qFormat/>
    <w:uiPriority w:val="0"/>
    <w:rPr>
      <w:sz w:val="21"/>
      <w:szCs w:val="21"/>
    </w:rPr>
  </w:style>
  <w:style w:type="paragraph" w:customStyle="1" w:styleId="65">
    <w:name w:val="样式 10 磅31114"/>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66">
    <w:name w:val="标题 1 Char"/>
    <w:link w:val="3"/>
    <w:qFormat/>
    <w:locked/>
    <w:uiPriority w:val="9"/>
    <w:rPr>
      <w:rFonts w:ascii="Times New Roman" w:hAnsi="Times New Roman" w:eastAsia="宋体" w:cs="Times New Roman"/>
      <w:b/>
      <w:kern w:val="44"/>
      <w:sz w:val="44"/>
      <w:szCs w:val="20"/>
    </w:rPr>
  </w:style>
  <w:style w:type="character" w:customStyle="1" w:styleId="67">
    <w:name w:val="标题 2 Char"/>
    <w:link w:val="2"/>
    <w:semiHidden/>
    <w:qFormat/>
    <w:locked/>
    <w:uiPriority w:val="9"/>
    <w:rPr>
      <w:rFonts w:ascii="Arial" w:hAnsi="Arial" w:eastAsia="黑体" w:cs="Times New Roman"/>
      <w:b/>
      <w:bCs/>
      <w:sz w:val="32"/>
      <w:szCs w:val="32"/>
    </w:rPr>
  </w:style>
  <w:style w:type="character" w:customStyle="1" w:styleId="68">
    <w:name w:val="标题 3 字符"/>
    <w:link w:val="4"/>
    <w:semiHidden/>
    <w:qFormat/>
    <w:uiPriority w:val="9"/>
    <w:rPr>
      <w:rFonts w:ascii="Times New Roman" w:hAnsi="Times New Roman" w:eastAsia="宋体" w:cs="Times New Roman"/>
      <w:b/>
      <w:bCs/>
      <w:sz w:val="32"/>
      <w:szCs w:val="32"/>
    </w:rPr>
  </w:style>
  <w:style w:type="character" w:customStyle="1" w:styleId="69">
    <w:name w:val="标题 4 Char"/>
    <w:link w:val="5"/>
    <w:semiHidden/>
    <w:qFormat/>
    <w:locked/>
    <w:uiPriority w:val="9"/>
    <w:rPr>
      <w:rFonts w:ascii="Arial" w:hAnsi="Arial" w:eastAsia="黑体" w:cs="Times New Roman"/>
      <w:b/>
      <w:sz w:val="28"/>
    </w:rPr>
  </w:style>
  <w:style w:type="character" w:customStyle="1" w:styleId="70">
    <w:name w:val="标题 5 Char"/>
    <w:link w:val="6"/>
    <w:semiHidden/>
    <w:qFormat/>
    <w:locked/>
    <w:uiPriority w:val="9"/>
    <w:rPr>
      <w:rFonts w:ascii="Times New Roman" w:hAnsi="Times New Roman" w:eastAsia="宋体" w:cs="Times New Roman"/>
      <w:b/>
      <w:bCs/>
      <w:sz w:val="28"/>
      <w:szCs w:val="28"/>
    </w:rPr>
  </w:style>
  <w:style w:type="character" w:customStyle="1" w:styleId="71">
    <w:name w:val="标题 6 Char"/>
    <w:link w:val="7"/>
    <w:semiHidden/>
    <w:qFormat/>
    <w:uiPriority w:val="9"/>
    <w:rPr>
      <w:rFonts w:ascii="Calibri Light" w:hAnsi="Calibri Light" w:eastAsia="宋体" w:cs="Times New Roman"/>
      <w:b/>
      <w:bCs/>
      <w:sz w:val="24"/>
      <w:szCs w:val="24"/>
    </w:rPr>
  </w:style>
  <w:style w:type="character" w:customStyle="1" w:styleId="72">
    <w:name w:val="标题 7 Char"/>
    <w:link w:val="8"/>
    <w:semiHidden/>
    <w:qFormat/>
    <w:uiPriority w:val="1"/>
    <w:rPr>
      <w:rFonts w:ascii="Times New Roman" w:hAnsi="Times New Roman" w:eastAsia="宋体" w:cs="Times New Roman"/>
      <w:b/>
      <w:bCs/>
      <w:sz w:val="24"/>
      <w:szCs w:val="24"/>
    </w:rPr>
  </w:style>
  <w:style w:type="character" w:customStyle="1" w:styleId="73">
    <w:name w:val="标题 8 Char"/>
    <w:link w:val="9"/>
    <w:semiHidden/>
    <w:qFormat/>
    <w:uiPriority w:val="1"/>
    <w:rPr>
      <w:rFonts w:ascii="Calibri Light" w:hAnsi="Calibri Light" w:eastAsia="宋体" w:cs="Times New Roman"/>
      <w:sz w:val="24"/>
      <w:szCs w:val="24"/>
    </w:rPr>
  </w:style>
  <w:style w:type="character" w:customStyle="1" w:styleId="74">
    <w:name w:val="标题 9 Char"/>
    <w:link w:val="10"/>
    <w:semiHidden/>
    <w:qFormat/>
    <w:uiPriority w:val="1"/>
    <w:rPr>
      <w:rFonts w:ascii="Calibri Light" w:hAnsi="Calibri Light" w:eastAsia="宋体" w:cs="Times New Roman"/>
      <w:szCs w:val="21"/>
    </w:rPr>
  </w:style>
  <w:style w:type="character" w:customStyle="1" w:styleId="75">
    <w:name w:val="正文缩进 Char"/>
    <w:link w:val="13"/>
    <w:semiHidden/>
    <w:qFormat/>
    <w:locked/>
    <w:uiPriority w:val="99"/>
    <w:rPr>
      <w:rFonts w:ascii="Times New Roman" w:hAnsi="Times New Roman" w:eastAsia="宋体" w:cs="Times New Roman"/>
      <w:szCs w:val="20"/>
    </w:rPr>
  </w:style>
  <w:style w:type="character" w:customStyle="1" w:styleId="76">
    <w:name w:val="文档结构图 Char1"/>
    <w:link w:val="16"/>
    <w:semiHidden/>
    <w:qFormat/>
    <w:uiPriority w:val="99"/>
    <w:rPr>
      <w:rFonts w:ascii="Times New Roman" w:hAnsi="Times New Roman" w:eastAsia="宋体" w:cs="Times New Roman"/>
      <w:szCs w:val="20"/>
      <w:shd w:val="clear" w:color="auto" w:fill="000080"/>
    </w:rPr>
  </w:style>
  <w:style w:type="character" w:customStyle="1" w:styleId="77">
    <w:name w:val="批注文字 Char2"/>
    <w:link w:val="17"/>
    <w:semiHidden/>
    <w:qFormat/>
    <w:locked/>
    <w:uiPriority w:val="99"/>
    <w:rPr>
      <w:rFonts w:ascii="Times New Roman" w:hAnsi="Times New Roman" w:eastAsia="宋体" w:cs="Times New Roman"/>
      <w:szCs w:val="20"/>
    </w:rPr>
  </w:style>
  <w:style w:type="character" w:customStyle="1" w:styleId="78">
    <w:name w:val="正文文本 3 Char"/>
    <w:link w:val="18"/>
    <w:semiHidden/>
    <w:qFormat/>
    <w:uiPriority w:val="99"/>
    <w:rPr>
      <w:rFonts w:ascii="Times New Roman" w:hAnsi="Times New Roman" w:eastAsia="宋体" w:cs="Times New Roman"/>
      <w:kern w:val="0"/>
      <w:sz w:val="16"/>
      <w:szCs w:val="16"/>
    </w:rPr>
  </w:style>
  <w:style w:type="character" w:customStyle="1" w:styleId="79">
    <w:name w:val="正文文本 Char"/>
    <w:link w:val="20"/>
    <w:semiHidden/>
    <w:qFormat/>
    <w:uiPriority w:val="1"/>
    <w:rPr>
      <w:rFonts w:ascii="宋体" w:hAnsi="Arial" w:eastAsia="宋体" w:cs="Times New Roman"/>
      <w:sz w:val="24"/>
      <w:szCs w:val="20"/>
    </w:rPr>
  </w:style>
  <w:style w:type="character" w:customStyle="1" w:styleId="80">
    <w:name w:val="日期 Char2"/>
    <w:link w:val="21"/>
    <w:semiHidden/>
    <w:qFormat/>
    <w:uiPriority w:val="99"/>
    <w:rPr>
      <w:rFonts w:ascii="Times New Roman" w:hAnsi="Times New Roman" w:eastAsia="宋体" w:cs="Times New Roman"/>
      <w:sz w:val="24"/>
      <w:szCs w:val="20"/>
    </w:rPr>
  </w:style>
  <w:style w:type="character" w:customStyle="1" w:styleId="81">
    <w:name w:val="正文文本缩进 Char1"/>
    <w:link w:val="22"/>
    <w:semiHidden/>
    <w:qFormat/>
    <w:uiPriority w:val="99"/>
    <w:rPr>
      <w:rFonts w:ascii="Times New Roman" w:hAnsi="Times New Roman" w:eastAsia="宋体" w:cs="Times New Roman"/>
      <w:szCs w:val="20"/>
    </w:rPr>
  </w:style>
  <w:style w:type="character" w:customStyle="1" w:styleId="82">
    <w:name w:val="纯文本 Char2"/>
    <w:link w:val="28"/>
    <w:semiHidden/>
    <w:qFormat/>
    <w:uiPriority w:val="99"/>
    <w:rPr>
      <w:rFonts w:ascii="宋体" w:hAnsi="Courier New" w:eastAsia="宋体" w:cs="Times New Roman"/>
      <w:szCs w:val="20"/>
    </w:rPr>
  </w:style>
  <w:style w:type="character" w:customStyle="1" w:styleId="83">
    <w:name w:val="正文文本缩进 2 Char1"/>
    <w:link w:val="30"/>
    <w:semiHidden/>
    <w:qFormat/>
    <w:uiPriority w:val="99"/>
    <w:rPr>
      <w:rFonts w:ascii="Times New Roman" w:hAnsi="Times New Roman" w:eastAsia="宋体" w:cs="Times New Roman"/>
      <w:szCs w:val="20"/>
    </w:rPr>
  </w:style>
  <w:style w:type="character" w:customStyle="1" w:styleId="84">
    <w:name w:val="尾注文本 Char"/>
    <w:link w:val="31"/>
    <w:semiHidden/>
    <w:qFormat/>
    <w:uiPriority w:val="99"/>
    <w:rPr>
      <w:rFonts w:ascii="Times New Roman" w:hAnsi="Times New Roman" w:eastAsia="宋体" w:cs="Times New Roman"/>
      <w:szCs w:val="24"/>
    </w:rPr>
  </w:style>
  <w:style w:type="character" w:customStyle="1" w:styleId="85">
    <w:name w:val="批注框文本 Char2"/>
    <w:link w:val="33"/>
    <w:semiHidden/>
    <w:qFormat/>
    <w:uiPriority w:val="99"/>
    <w:rPr>
      <w:rFonts w:ascii="Times New Roman" w:hAnsi="Times New Roman" w:eastAsia="宋体" w:cs="Times New Roman"/>
      <w:sz w:val="18"/>
      <w:szCs w:val="18"/>
    </w:rPr>
  </w:style>
  <w:style w:type="character" w:customStyle="1" w:styleId="86">
    <w:name w:val="页脚 Char"/>
    <w:link w:val="34"/>
    <w:qFormat/>
    <w:uiPriority w:val="99"/>
    <w:rPr>
      <w:sz w:val="18"/>
      <w:szCs w:val="18"/>
    </w:rPr>
  </w:style>
  <w:style w:type="character" w:customStyle="1" w:styleId="87">
    <w:name w:val="页眉 Char"/>
    <w:link w:val="35"/>
    <w:qFormat/>
    <w:uiPriority w:val="99"/>
    <w:rPr>
      <w:sz w:val="18"/>
      <w:szCs w:val="18"/>
    </w:rPr>
  </w:style>
  <w:style w:type="character" w:customStyle="1" w:styleId="88">
    <w:name w:val="副标题 Char"/>
    <w:link w:val="38"/>
    <w:qFormat/>
    <w:uiPriority w:val="99"/>
    <w:rPr>
      <w:rFonts w:ascii="Cambria" w:hAnsi="Cambria" w:eastAsia="宋体" w:cs="Times New Roman"/>
      <w:b/>
      <w:bCs/>
      <w:kern w:val="28"/>
      <w:sz w:val="32"/>
      <w:szCs w:val="32"/>
    </w:rPr>
  </w:style>
  <w:style w:type="character" w:customStyle="1" w:styleId="89">
    <w:name w:val="正文文本缩进 3 Char"/>
    <w:link w:val="42"/>
    <w:semiHidden/>
    <w:qFormat/>
    <w:uiPriority w:val="99"/>
    <w:rPr>
      <w:rFonts w:ascii="Arial" w:hAnsi="Arial" w:eastAsia="仿宋_GB2312" w:cs="Times New Roman"/>
      <w:b/>
      <w:sz w:val="32"/>
      <w:szCs w:val="20"/>
    </w:rPr>
  </w:style>
  <w:style w:type="character" w:customStyle="1" w:styleId="90">
    <w:name w:val="正文文本 2 Char"/>
    <w:link w:val="46"/>
    <w:semiHidden/>
    <w:qFormat/>
    <w:uiPriority w:val="99"/>
    <w:rPr>
      <w:rFonts w:ascii="Times New Roman" w:hAnsi="Times New Roman" w:eastAsia="宋体" w:cs="Times New Roman"/>
      <w:szCs w:val="20"/>
    </w:rPr>
  </w:style>
  <w:style w:type="character" w:customStyle="1" w:styleId="91">
    <w:name w:val="HTML 预设格式 Char"/>
    <w:link w:val="49"/>
    <w:semiHidden/>
    <w:qFormat/>
    <w:uiPriority w:val="0"/>
    <w:rPr>
      <w:rFonts w:ascii="黑体" w:hAnsi="Courier New" w:eastAsia="黑体" w:cs="Times New Roman"/>
      <w:kern w:val="0"/>
      <w:sz w:val="20"/>
      <w:szCs w:val="20"/>
    </w:rPr>
  </w:style>
  <w:style w:type="character" w:customStyle="1" w:styleId="92">
    <w:name w:val="标题 Char1"/>
    <w:link w:val="53"/>
    <w:qFormat/>
    <w:uiPriority w:val="99"/>
    <w:rPr>
      <w:rFonts w:ascii="Cambria" w:hAnsi="Cambria" w:eastAsia="宋体" w:cs="Times New Roman"/>
      <w:b/>
      <w:bCs/>
      <w:sz w:val="32"/>
      <w:szCs w:val="32"/>
    </w:rPr>
  </w:style>
  <w:style w:type="character" w:customStyle="1" w:styleId="93">
    <w:name w:val="批注主题 Char1"/>
    <w:link w:val="54"/>
    <w:semiHidden/>
    <w:qFormat/>
    <w:uiPriority w:val="99"/>
    <w:rPr>
      <w:rFonts w:ascii="Times New Roman" w:hAnsi="Times New Roman" w:eastAsia="宋体" w:cs="Times New Roman"/>
      <w:b/>
      <w:bCs/>
      <w:szCs w:val="24"/>
    </w:rPr>
  </w:style>
  <w:style w:type="character" w:customStyle="1" w:styleId="94">
    <w:name w:val="正文首行缩进 Char"/>
    <w:link w:val="55"/>
    <w:semiHidden/>
    <w:qFormat/>
    <w:uiPriority w:val="99"/>
    <w:rPr>
      <w:rFonts w:ascii="Times New Roman" w:hAnsi="Times New Roman" w:eastAsia="宋体" w:cs="Times New Roman"/>
      <w:sz w:val="24"/>
      <w:szCs w:val="24"/>
    </w:rPr>
  </w:style>
  <w:style w:type="character" w:customStyle="1" w:styleId="95">
    <w:name w:val="标题 3 Char"/>
    <w:link w:val="4"/>
    <w:semiHidden/>
    <w:qFormat/>
    <w:locked/>
    <w:uiPriority w:val="9"/>
    <w:rPr>
      <w:rFonts w:ascii="Times New Roman" w:hAnsi="Times New Roman" w:eastAsia="宋体" w:cs="Times New Roman"/>
      <w:b/>
      <w:bCs/>
      <w:sz w:val="32"/>
      <w:szCs w:val="32"/>
    </w:rPr>
  </w:style>
  <w:style w:type="character" w:customStyle="1" w:styleId="96">
    <w:name w:val="批注文字 字符"/>
    <w:semiHidden/>
    <w:qFormat/>
    <w:uiPriority w:val="99"/>
    <w:rPr>
      <w:rFonts w:ascii="Times New Roman" w:hAnsi="Times New Roman" w:eastAsia="宋体" w:cs="Times New Roman"/>
      <w:szCs w:val="20"/>
    </w:rPr>
  </w:style>
  <w:style w:type="character" w:customStyle="1" w:styleId="97">
    <w:name w:val="RDGStyle"/>
    <w:qFormat/>
    <w:uiPriority w:val="0"/>
    <w:rPr>
      <w:bCs/>
      <w:color w:val="000000"/>
      <w:sz w:val="36"/>
      <w:szCs w:val="36"/>
    </w:rPr>
  </w:style>
  <w:style w:type="character" w:customStyle="1" w:styleId="98">
    <w:name w:val="h4 Char"/>
    <w:qFormat/>
    <w:uiPriority w:val="0"/>
    <w:rPr>
      <w:rFonts w:hint="default" w:ascii="Arial" w:hAnsi="Arial" w:eastAsia="黑体" w:cs="Arial"/>
      <w:b/>
      <w:bCs/>
      <w:sz w:val="28"/>
      <w:szCs w:val="28"/>
      <w:lang w:val="en-US" w:eastAsia="zh-CN" w:bidi="ar-SA"/>
    </w:rPr>
  </w:style>
  <w:style w:type="character" w:customStyle="1" w:styleId="99">
    <w:name w:val="批注框文本 Char1"/>
    <w:semiHidden/>
    <w:qFormat/>
    <w:uiPriority w:val="99"/>
    <w:rPr>
      <w:sz w:val="18"/>
      <w:szCs w:val="18"/>
    </w:rPr>
  </w:style>
  <w:style w:type="character" w:customStyle="1" w:styleId="100">
    <w:name w:val="apple-style-span"/>
    <w:qFormat/>
    <w:uiPriority w:val="0"/>
  </w:style>
  <w:style w:type="character" w:customStyle="1" w:styleId="101">
    <w:name w:val="标题 1 字符"/>
    <w:qFormat/>
    <w:uiPriority w:val="9"/>
    <w:rPr>
      <w:rFonts w:ascii="Times New Roman" w:hAnsi="Times New Roman" w:eastAsia="宋体" w:cs="Times New Roman"/>
      <w:b/>
      <w:bCs/>
      <w:kern w:val="44"/>
      <w:sz w:val="44"/>
      <w:szCs w:val="44"/>
    </w:rPr>
  </w:style>
  <w:style w:type="character" w:customStyle="1" w:styleId="102">
    <w:name w:val="font161"/>
    <w:qFormat/>
    <w:uiPriority w:val="0"/>
    <w:rPr>
      <w:b/>
      <w:bCs/>
      <w:sz w:val="32"/>
      <w:szCs w:val="32"/>
    </w:rPr>
  </w:style>
  <w:style w:type="character" w:customStyle="1" w:styleId="103">
    <w:name w:val="标题 5 字符"/>
    <w:semiHidden/>
    <w:qFormat/>
    <w:uiPriority w:val="9"/>
    <w:rPr>
      <w:rFonts w:ascii="Times New Roman" w:hAnsi="Times New Roman" w:eastAsia="宋体" w:cs="Times New Roman"/>
      <w:b/>
      <w:bCs/>
      <w:sz w:val="28"/>
      <w:szCs w:val="28"/>
    </w:rPr>
  </w:style>
  <w:style w:type="character" w:customStyle="1" w:styleId="104">
    <w:name w:val="Char Char2"/>
    <w:qFormat/>
    <w:uiPriority w:val="0"/>
    <w:rPr>
      <w:rFonts w:hint="default" w:ascii="Cambria" w:hAnsi="Cambria" w:cs="Times New Roman"/>
      <w:b/>
      <w:bCs/>
      <w:kern w:val="28"/>
      <w:sz w:val="28"/>
      <w:szCs w:val="32"/>
    </w:rPr>
  </w:style>
  <w:style w:type="character" w:customStyle="1" w:styleId="105">
    <w:name w:val="Char Char5"/>
    <w:qFormat/>
    <w:uiPriority w:val="0"/>
    <w:rPr>
      <w:kern w:val="2"/>
      <w:sz w:val="18"/>
      <w:szCs w:val="18"/>
    </w:rPr>
  </w:style>
  <w:style w:type="character" w:customStyle="1" w:styleId="106">
    <w:name w:val="样式1 Char"/>
    <w:qFormat/>
    <w:uiPriority w:val="0"/>
    <w:rPr>
      <w:rFonts w:hint="eastAsia" w:ascii="宋体" w:hAnsi="宋体" w:eastAsia="宋体"/>
      <w:sz w:val="21"/>
      <w:szCs w:val="21"/>
      <w:lang w:val="en-US" w:eastAsia="zh-CN" w:bidi="ar-SA"/>
    </w:rPr>
  </w:style>
  <w:style w:type="character" w:customStyle="1" w:styleId="107">
    <w:name w:val="标题 2 字符"/>
    <w:semiHidden/>
    <w:qFormat/>
    <w:uiPriority w:val="9"/>
    <w:rPr>
      <w:rFonts w:ascii="等线 Light" w:hAnsi="等线 Light" w:eastAsia="等线 Light" w:cs="Times New Roman"/>
      <w:b/>
      <w:bCs/>
      <w:sz w:val="32"/>
      <w:szCs w:val="32"/>
    </w:rPr>
  </w:style>
  <w:style w:type="character" w:customStyle="1" w:styleId="108">
    <w:name w:val="正文缩进 字符"/>
    <w:semiHidden/>
    <w:qFormat/>
    <w:locked/>
    <w:uiPriority w:val="0"/>
    <w:rPr>
      <w:rFonts w:hint="eastAsia" w:ascii="宋体" w:hAnsi="Times New Roman" w:eastAsia="宋体"/>
      <w:sz w:val="24"/>
    </w:rPr>
  </w:style>
  <w:style w:type="character" w:customStyle="1" w:styleId="109">
    <w:name w:val="日期 Char1"/>
    <w:semiHidden/>
    <w:qFormat/>
    <w:uiPriority w:val="99"/>
  </w:style>
  <w:style w:type="character" w:customStyle="1" w:styleId="110">
    <w:name w:val="正文 四号"/>
    <w:qFormat/>
    <w:uiPriority w:val="0"/>
    <w:rPr>
      <w:sz w:val="28"/>
    </w:rPr>
  </w:style>
  <w:style w:type="character" w:customStyle="1" w:styleId="111">
    <w:name w:val="页码1"/>
    <w:qFormat/>
    <w:uiPriority w:val="0"/>
  </w:style>
  <w:style w:type="character" w:customStyle="1" w:styleId="112">
    <w:name w:val="标题 4 Char Char Char Char Char Char Char Char Char Char Char Char Char Char"/>
    <w:qFormat/>
    <w:uiPriority w:val="0"/>
    <w:rPr>
      <w:rFonts w:hint="default" w:ascii="Arial" w:hAnsi="Arial" w:eastAsia="黑体" w:cs="Arial"/>
      <w:bCs/>
      <w:kern w:val="2"/>
      <w:sz w:val="24"/>
      <w:szCs w:val="28"/>
      <w:lang w:val="en-US" w:eastAsia="zh-CN" w:bidi="ar-SA"/>
    </w:rPr>
  </w:style>
  <w:style w:type="character" w:customStyle="1" w:styleId="113">
    <w:name w:val="text"/>
    <w:qFormat/>
    <w:uiPriority w:val="0"/>
  </w:style>
  <w:style w:type="character" w:customStyle="1" w:styleId="114">
    <w:name w:val="正文文本首行缩进 字符1"/>
    <w:semiHidden/>
    <w:qFormat/>
    <w:uiPriority w:val="0"/>
    <w:rPr>
      <w:rFonts w:hint="default" w:ascii="Times New Roman" w:hAnsi="Times New Roman" w:eastAsia="宋体" w:cs="Times New Roman"/>
      <w:kern w:val="2"/>
      <w:sz w:val="21"/>
      <w:szCs w:val="20"/>
    </w:rPr>
  </w:style>
  <w:style w:type="character" w:customStyle="1" w:styleId="115">
    <w:name w:val="Char Char"/>
    <w:qFormat/>
    <w:uiPriority w:val="0"/>
    <w:rPr>
      <w:rFonts w:hint="default" w:ascii="Arial" w:hAnsi="Arial" w:eastAsia="黑体" w:cs="Arial"/>
      <w:b/>
      <w:bCs/>
      <w:kern w:val="2"/>
      <w:sz w:val="32"/>
      <w:szCs w:val="32"/>
      <w:lang w:val="en-US" w:eastAsia="zh-CN" w:bidi="ar-SA"/>
    </w:rPr>
  </w:style>
  <w:style w:type="character" w:customStyle="1" w:styleId="116">
    <w:name w:val="标题 Char"/>
    <w:qFormat/>
    <w:locked/>
    <w:uiPriority w:val="0"/>
    <w:rPr>
      <w:rFonts w:hint="default" w:ascii="Cambria" w:hAnsi="Cambria"/>
      <w:b/>
      <w:bCs/>
      <w:kern w:val="2"/>
      <w:sz w:val="32"/>
      <w:szCs w:val="32"/>
    </w:rPr>
  </w:style>
  <w:style w:type="character" w:customStyle="1" w:styleId="117">
    <w:name w:val="已访问的超链接1"/>
    <w:qFormat/>
    <w:uiPriority w:val="99"/>
    <w:rPr>
      <w:color w:val="800080"/>
      <w:u w:val="single"/>
    </w:rPr>
  </w:style>
  <w:style w:type="character" w:customStyle="1" w:styleId="118">
    <w:name w:val="样式 正文缩进 + 首行缩进:  2 字符 Char"/>
    <w:link w:val="119"/>
    <w:qFormat/>
    <w:locked/>
    <w:uiPriority w:val="0"/>
    <w:rPr>
      <w:sz w:val="24"/>
    </w:rPr>
  </w:style>
  <w:style w:type="paragraph" w:customStyle="1" w:styleId="119">
    <w:name w:val="样式 正文缩进 + 首行缩进:  2 字符"/>
    <w:basedOn w:val="13"/>
    <w:link w:val="118"/>
    <w:qFormat/>
    <w:uiPriority w:val="0"/>
    <w:pPr>
      <w:spacing w:line="360" w:lineRule="auto"/>
      <w:ind w:firstLine="200" w:firstLineChars="200"/>
    </w:pPr>
    <w:rPr>
      <w:rFonts w:ascii="等线" w:hAnsi="等线" w:eastAsia="等线"/>
      <w:sz w:val="24"/>
      <w:szCs w:val="22"/>
    </w:rPr>
  </w:style>
  <w:style w:type="character" w:customStyle="1" w:styleId="120">
    <w:name w:val="页眉 字符2"/>
    <w:semiHidden/>
    <w:qFormat/>
    <w:locked/>
    <w:uiPriority w:val="99"/>
    <w:rPr>
      <w:rFonts w:ascii="Times New Roman" w:hAnsi="Times New Roman" w:eastAsia="宋体" w:cs="Times New Roman"/>
      <w:sz w:val="18"/>
      <w:szCs w:val="18"/>
    </w:rPr>
  </w:style>
  <w:style w:type="character" w:customStyle="1" w:styleId="121">
    <w:name w:val="页眉 字符1"/>
    <w:semiHidden/>
    <w:qFormat/>
    <w:uiPriority w:val="0"/>
    <w:rPr>
      <w:kern w:val="2"/>
      <w:sz w:val="18"/>
      <w:szCs w:val="18"/>
    </w:rPr>
  </w:style>
  <w:style w:type="character" w:customStyle="1" w:styleId="122">
    <w:name w:val="Char Char1"/>
    <w:qFormat/>
    <w:uiPriority w:val="0"/>
    <w:rPr>
      <w:rFonts w:hint="eastAsia" w:ascii="宋体" w:hAnsi="宋体" w:eastAsia="宋体"/>
      <w:kern w:val="2"/>
      <w:sz w:val="24"/>
      <w:lang w:val="en-US" w:eastAsia="zh-CN" w:bidi="ar-SA"/>
    </w:rPr>
  </w:style>
  <w:style w:type="character" w:customStyle="1" w:styleId="123">
    <w:name w:val="标题 4 字符"/>
    <w:semiHidden/>
    <w:qFormat/>
    <w:uiPriority w:val="9"/>
    <w:rPr>
      <w:rFonts w:ascii="等线 Light" w:hAnsi="等线 Light" w:eastAsia="等线 Light" w:cs="Times New Roman"/>
      <w:b/>
      <w:bCs/>
      <w:sz w:val="28"/>
      <w:szCs w:val="28"/>
    </w:rPr>
  </w:style>
  <w:style w:type="character" w:customStyle="1" w:styleId="124">
    <w:name w:val="Normal_20 Char"/>
    <w:link w:val="125"/>
    <w:qFormat/>
    <w:locked/>
    <w:uiPriority w:val="0"/>
    <w:rPr>
      <w:rFonts w:ascii="Times New Roman" w:hAnsi="Times New Roman" w:eastAsia="Times New Roman" w:cs="Times New Roman"/>
      <w:sz w:val="22"/>
      <w:lang w:eastAsia="en-US"/>
    </w:rPr>
  </w:style>
  <w:style w:type="paragraph" w:customStyle="1" w:styleId="125">
    <w:name w:val="Normal_20"/>
    <w:link w:val="124"/>
    <w:qFormat/>
    <w:uiPriority w:val="0"/>
    <w:pPr>
      <w:spacing w:before="120" w:after="240"/>
      <w:jc w:val="both"/>
    </w:pPr>
    <w:rPr>
      <w:rFonts w:ascii="Times New Roman" w:hAnsi="Times New Roman" w:eastAsia="Times New Roman" w:cs="Times New Roman"/>
      <w:kern w:val="2"/>
      <w:sz w:val="22"/>
      <w:szCs w:val="22"/>
      <w:lang w:val="en-US" w:eastAsia="en-US" w:bidi="ar-SA"/>
    </w:rPr>
  </w:style>
  <w:style w:type="character" w:customStyle="1" w:styleId="126">
    <w:name w:val="h1 Char"/>
    <w:qFormat/>
    <w:uiPriority w:val="0"/>
    <w:rPr>
      <w:rFonts w:hint="eastAsia" w:ascii="宋体" w:hAnsi="宋体" w:eastAsia="宋体"/>
      <w:b/>
      <w:bCs/>
      <w:kern w:val="44"/>
      <w:sz w:val="44"/>
      <w:szCs w:val="44"/>
      <w:lang w:val="en-US" w:eastAsia="zh-CN" w:bidi="ar-SA"/>
    </w:rPr>
  </w:style>
  <w:style w:type="character" w:customStyle="1" w:styleId="127">
    <w:name w:val="gonggao-downline1"/>
    <w:qFormat/>
    <w:uiPriority w:val="0"/>
    <w:rPr>
      <w:b/>
      <w:bCs/>
      <w:u w:val="single"/>
    </w:rPr>
  </w:style>
  <w:style w:type="character" w:customStyle="1" w:styleId="128">
    <w:name w:val="Syl-正文 Char"/>
    <w:link w:val="129"/>
    <w:qFormat/>
    <w:locked/>
    <w:uiPriority w:val="0"/>
    <w:rPr>
      <w:rFonts w:ascii="宋体" w:hAnsi="宋体" w:eastAsia="宋体"/>
      <w:sz w:val="24"/>
    </w:rPr>
  </w:style>
  <w:style w:type="paragraph" w:customStyle="1" w:styleId="129">
    <w:name w:val="Syl-正文"/>
    <w:basedOn w:val="1"/>
    <w:link w:val="128"/>
    <w:qFormat/>
    <w:uiPriority w:val="0"/>
    <w:pPr>
      <w:adjustRightInd w:val="0"/>
      <w:snapToGrid w:val="0"/>
      <w:spacing w:line="360" w:lineRule="auto"/>
      <w:ind w:firstLine="482" w:firstLineChars="200"/>
    </w:pPr>
    <w:rPr>
      <w:rFonts w:ascii="宋体" w:hAnsi="宋体"/>
      <w:sz w:val="24"/>
      <w:szCs w:val="22"/>
    </w:rPr>
  </w:style>
  <w:style w:type="character" w:customStyle="1" w:styleId="130">
    <w:name w:val="fontstyle01"/>
    <w:qFormat/>
    <w:uiPriority w:val="0"/>
    <w:rPr>
      <w:rFonts w:hint="default" w:ascii="TT2F3o00" w:hAnsi="TT2F3o00"/>
      <w:color w:val="000000"/>
      <w:sz w:val="24"/>
      <w:szCs w:val="24"/>
    </w:rPr>
  </w:style>
  <w:style w:type="character" w:customStyle="1" w:styleId="131">
    <w:name w:val="批注文字 Char"/>
    <w:qFormat/>
    <w:uiPriority w:val="0"/>
    <w:rPr>
      <w:kern w:val="2"/>
      <w:sz w:val="21"/>
      <w:szCs w:val="24"/>
    </w:rPr>
  </w:style>
  <w:style w:type="character" w:customStyle="1" w:styleId="132">
    <w:name w:val="文档结构图 Char"/>
    <w:qFormat/>
    <w:locked/>
    <w:uiPriority w:val="0"/>
    <w:rPr>
      <w:kern w:val="2"/>
      <w:sz w:val="21"/>
      <w:shd w:val="clear" w:color="auto" w:fill="000080"/>
    </w:rPr>
  </w:style>
  <w:style w:type="character" w:customStyle="1" w:styleId="133">
    <w:name w:val="小标题 Char"/>
    <w:qFormat/>
    <w:uiPriority w:val="0"/>
    <w:rPr>
      <w:rFonts w:hint="default" w:ascii="Tahoma" w:hAnsi="Tahoma" w:eastAsia="仿宋_GB2312" w:cs="Century"/>
      <w:b/>
      <w:bCs/>
      <w:kern w:val="2"/>
      <w:sz w:val="24"/>
      <w:szCs w:val="24"/>
      <w:lang w:val="en-US" w:eastAsia="zh-CN" w:bidi="ar-SA"/>
    </w:rPr>
  </w:style>
  <w:style w:type="character" w:customStyle="1" w:styleId="134">
    <w:name w:val="para1"/>
    <w:qFormat/>
    <w:uiPriority w:val="0"/>
    <w:rPr>
      <w:rFonts w:hint="default" w:ascii="Arial" w:hAnsi="Arial" w:cs="Arial"/>
      <w:sz w:val="18"/>
      <w:szCs w:val="18"/>
    </w:rPr>
  </w:style>
  <w:style w:type="character" w:customStyle="1" w:styleId="135">
    <w:name w:val="页脚 字符2"/>
    <w:semiHidden/>
    <w:qFormat/>
    <w:locked/>
    <w:uiPriority w:val="99"/>
    <w:rPr>
      <w:rFonts w:ascii="Times New Roman" w:hAnsi="Times New Roman" w:eastAsia="宋体" w:cs="Times New Roman"/>
      <w:sz w:val="18"/>
      <w:szCs w:val="18"/>
    </w:rPr>
  </w:style>
  <w:style w:type="character" w:customStyle="1" w:styleId="136">
    <w:name w:val="样式 粉红"/>
    <w:qFormat/>
    <w:uiPriority w:val="0"/>
    <w:rPr>
      <w:color w:val="auto"/>
      <w:u w:val="none"/>
    </w:rPr>
  </w:style>
  <w:style w:type="character" w:customStyle="1" w:styleId="137">
    <w:name w:val="日期 Char"/>
    <w:qFormat/>
    <w:locked/>
    <w:uiPriority w:val="0"/>
    <w:rPr>
      <w:kern w:val="2"/>
      <w:sz w:val="24"/>
    </w:rPr>
  </w:style>
  <w:style w:type="character" w:customStyle="1" w:styleId="138">
    <w:name w:val="正文缩进 Char2"/>
    <w:qFormat/>
    <w:uiPriority w:val="0"/>
    <w:rPr>
      <w:kern w:val="2"/>
      <w:sz w:val="21"/>
    </w:rPr>
  </w:style>
  <w:style w:type="character" w:customStyle="1" w:styleId="139">
    <w:name w:val="正文缩进 Char1"/>
    <w:qFormat/>
    <w:uiPriority w:val="0"/>
    <w:rPr>
      <w:rFonts w:hint="eastAsia" w:ascii="宋体" w:hAnsi="宋体" w:eastAsia="宋体"/>
      <w:sz w:val="24"/>
    </w:rPr>
  </w:style>
  <w:style w:type="character" w:customStyle="1" w:styleId="140">
    <w:name w:val="页脚 字符1"/>
    <w:semiHidden/>
    <w:qFormat/>
    <w:uiPriority w:val="0"/>
    <w:rPr>
      <w:kern w:val="2"/>
      <w:sz w:val="18"/>
      <w:szCs w:val="18"/>
    </w:rPr>
  </w:style>
  <w:style w:type="character" w:customStyle="1" w:styleId="141">
    <w:name w:val="一级标题 Char"/>
    <w:link w:val="142"/>
    <w:qFormat/>
    <w:locked/>
    <w:uiPriority w:val="0"/>
    <w:rPr>
      <w:rFonts w:ascii="仿宋" w:hAnsi="仿宋" w:eastAsia="黑体"/>
      <w:b/>
      <w:sz w:val="32"/>
    </w:rPr>
  </w:style>
  <w:style w:type="paragraph" w:customStyle="1" w:styleId="142">
    <w:name w:val="一级标题"/>
    <w:next w:val="1"/>
    <w:link w:val="141"/>
    <w:qFormat/>
    <w:uiPriority w:val="0"/>
    <w:pPr>
      <w:spacing w:before="312" w:after="312"/>
      <w:ind w:left="432" w:hanging="432"/>
      <w:outlineLvl w:val="0"/>
    </w:pPr>
    <w:rPr>
      <w:rFonts w:ascii="仿宋" w:hAnsi="仿宋" w:eastAsia="黑体" w:cs="Times New Roman"/>
      <w:b/>
      <w:kern w:val="2"/>
      <w:sz w:val="32"/>
      <w:szCs w:val="22"/>
      <w:lang w:val="en-US" w:eastAsia="zh-CN" w:bidi="ar-SA"/>
    </w:rPr>
  </w:style>
  <w:style w:type="character" w:customStyle="1" w:styleId="143">
    <w:name w:val="批注主题 Char"/>
    <w:qFormat/>
    <w:locked/>
    <w:uiPriority w:val="0"/>
    <w:rPr>
      <w:b/>
      <w:bCs/>
      <w:kern w:val="2"/>
      <w:sz w:val="21"/>
      <w:szCs w:val="24"/>
    </w:rPr>
  </w:style>
  <w:style w:type="character" w:customStyle="1" w:styleId="144">
    <w:name w:val="正文文本缩进 Char"/>
    <w:qFormat/>
    <w:locked/>
    <w:uiPriority w:val="0"/>
    <w:rPr>
      <w:kern w:val="2"/>
      <w:sz w:val="21"/>
    </w:rPr>
  </w:style>
  <w:style w:type="character" w:customStyle="1" w:styleId="145">
    <w:name w:val="Char Char4"/>
    <w:qFormat/>
    <w:uiPriority w:val="0"/>
    <w:rPr>
      <w:kern w:val="2"/>
      <w:sz w:val="21"/>
      <w:szCs w:val="24"/>
    </w:rPr>
  </w:style>
  <w:style w:type="character" w:customStyle="1" w:styleId="146">
    <w:name w:val="正文文本 3 字符1"/>
    <w:semiHidden/>
    <w:qFormat/>
    <w:uiPriority w:val="0"/>
    <w:rPr>
      <w:kern w:val="2"/>
      <w:sz w:val="16"/>
      <w:szCs w:val="16"/>
    </w:rPr>
  </w:style>
  <w:style w:type="character" w:customStyle="1" w:styleId="147">
    <w:name w:val="纯文本 Char"/>
    <w:qFormat/>
    <w:locked/>
    <w:uiPriority w:val="0"/>
    <w:rPr>
      <w:rFonts w:hint="eastAsia" w:ascii="宋体" w:hAnsi="Courier New" w:eastAsia="宋体"/>
      <w:kern w:val="2"/>
      <w:sz w:val="21"/>
    </w:rPr>
  </w:style>
  <w:style w:type="character" w:customStyle="1" w:styleId="148">
    <w:name w:val="批注框文本 Char"/>
    <w:semiHidden/>
    <w:qFormat/>
    <w:locked/>
    <w:uiPriority w:val="0"/>
    <w:rPr>
      <w:kern w:val="2"/>
      <w:sz w:val="18"/>
      <w:szCs w:val="18"/>
    </w:rPr>
  </w:style>
  <w:style w:type="character" w:customStyle="1" w:styleId="149">
    <w:name w:val="页码2"/>
    <w:qFormat/>
    <w:uiPriority w:val="0"/>
  </w:style>
  <w:style w:type="character" w:customStyle="1" w:styleId="150">
    <w:name w:val="op-map-singlepoint-info-right1"/>
    <w:qFormat/>
    <w:uiPriority w:val="0"/>
  </w:style>
  <w:style w:type="character" w:customStyle="1" w:styleId="151">
    <w:name w:val="正文表格 Char"/>
    <w:link w:val="152"/>
    <w:qFormat/>
    <w:locked/>
    <w:uiPriority w:val="0"/>
    <w:rPr>
      <w:rFonts w:ascii="宋体" w:hAnsi="宋体" w:eastAsia="宋体"/>
      <w:color w:val="000000"/>
      <w:szCs w:val="21"/>
    </w:rPr>
  </w:style>
  <w:style w:type="paragraph" w:customStyle="1" w:styleId="152">
    <w:name w:val="正文表格"/>
    <w:basedOn w:val="1"/>
    <w:link w:val="151"/>
    <w:qFormat/>
    <w:uiPriority w:val="0"/>
    <w:pPr>
      <w:adjustRightInd w:val="0"/>
      <w:snapToGrid w:val="0"/>
      <w:jc w:val="center"/>
    </w:pPr>
    <w:rPr>
      <w:rFonts w:ascii="宋体" w:hAnsi="宋体"/>
      <w:color w:val="000000"/>
      <w:szCs w:val="21"/>
    </w:rPr>
  </w:style>
  <w:style w:type="character" w:customStyle="1" w:styleId="153">
    <w:name w:val="页码3"/>
    <w:qFormat/>
    <w:uiPriority w:val="0"/>
  </w:style>
  <w:style w:type="character" w:customStyle="1" w:styleId="154">
    <w:name w:val="tdrownotice1"/>
    <w:qFormat/>
    <w:uiPriority w:val="0"/>
    <w:rPr>
      <w:sz w:val="22"/>
      <w:szCs w:val="22"/>
    </w:rPr>
  </w:style>
  <w:style w:type="character" w:customStyle="1" w:styleId="155">
    <w:name w:val="标题 2 Char Char Char"/>
    <w:qFormat/>
    <w:uiPriority w:val="0"/>
    <w:rPr>
      <w:rFonts w:hint="default" w:ascii="Arial" w:hAnsi="Arial" w:eastAsia="黑体" w:cs="Arial"/>
      <w:b/>
      <w:bCs/>
      <w:kern w:val="2"/>
      <w:sz w:val="32"/>
      <w:szCs w:val="32"/>
      <w:lang w:val="en-US" w:eastAsia="zh-CN" w:bidi="ar-SA"/>
    </w:rPr>
  </w:style>
  <w:style w:type="character" w:customStyle="1" w:styleId="156">
    <w:name w:val="Char Char21"/>
    <w:qFormat/>
    <w:uiPriority w:val="0"/>
    <w:rPr>
      <w:rFonts w:hint="eastAsia" w:ascii="宋体" w:hAnsi="宋体" w:eastAsia="宋体"/>
      <w:kern w:val="2"/>
      <w:sz w:val="21"/>
      <w:szCs w:val="24"/>
      <w:lang w:val="en-US" w:eastAsia="zh-CN" w:bidi="ar-SA"/>
    </w:rPr>
  </w:style>
  <w:style w:type="character" w:customStyle="1" w:styleId="157">
    <w:name w:val="纯文本 Char1"/>
    <w:qFormat/>
    <w:locked/>
    <w:uiPriority w:val="0"/>
    <w:rPr>
      <w:rFonts w:hint="eastAsia" w:ascii="宋体" w:hAnsi="Courier New" w:eastAsia="宋体"/>
      <w:kern w:val="2"/>
      <w:sz w:val="21"/>
    </w:rPr>
  </w:style>
  <w:style w:type="character" w:customStyle="1" w:styleId="158">
    <w:name w:val="Heading 3 - old Char"/>
    <w:qFormat/>
    <w:uiPriority w:val="0"/>
    <w:rPr>
      <w:rFonts w:hint="default" w:ascii="Palatino Linotype" w:hAnsi="Palatino Linotype" w:eastAsia="宋体" w:cs="Times New Roman"/>
      <w:b/>
      <w:bCs/>
      <w:szCs w:val="24"/>
    </w:rPr>
  </w:style>
  <w:style w:type="character" w:styleId="159">
    <w:name w:val="Placeholder Text"/>
    <w:semiHidden/>
    <w:qFormat/>
    <w:uiPriority w:val="99"/>
    <w:rPr>
      <w:color w:val="808080"/>
    </w:rPr>
  </w:style>
  <w:style w:type="character" w:customStyle="1" w:styleId="160">
    <w:name w:val="正文文本缩进 2 Char"/>
    <w:qFormat/>
    <w:locked/>
    <w:uiPriority w:val="0"/>
    <w:rPr>
      <w:kern w:val="2"/>
      <w:sz w:val="21"/>
    </w:rPr>
  </w:style>
  <w:style w:type="character" w:customStyle="1" w:styleId="161">
    <w:name w:val="Char Char6"/>
    <w:qFormat/>
    <w:uiPriority w:val="0"/>
    <w:rPr>
      <w:kern w:val="2"/>
      <w:sz w:val="18"/>
      <w:szCs w:val="18"/>
    </w:rPr>
  </w:style>
  <w:style w:type="character" w:customStyle="1" w:styleId="162">
    <w:name w:val="批注文字 Char1"/>
    <w:qFormat/>
    <w:uiPriority w:val="99"/>
    <w:rPr>
      <w:kern w:val="2"/>
      <w:sz w:val="21"/>
    </w:rPr>
  </w:style>
  <w:style w:type="paragraph" w:customStyle="1" w:styleId="163">
    <w:name w:val="xl7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164">
    <w:name w:val="修订1"/>
    <w:semiHidden/>
    <w:qFormat/>
    <w:uiPriority w:val="99"/>
    <w:rPr>
      <w:rFonts w:ascii="Times New Roman" w:hAnsi="Times New Roman" w:eastAsia="宋体" w:cs="Times New Roman"/>
      <w:kern w:val="2"/>
      <w:sz w:val="21"/>
      <w:lang w:val="en-US" w:eastAsia="zh-CN" w:bidi="ar-SA"/>
    </w:rPr>
  </w:style>
  <w:style w:type="paragraph" w:customStyle="1" w:styleId="165">
    <w:name w:val="xl76"/>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166">
    <w:name w:val="xl7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4"/>
      <w:szCs w:val="24"/>
    </w:rPr>
  </w:style>
  <w:style w:type="paragraph" w:customStyle="1" w:styleId="167">
    <w:name w:val="列表段落1"/>
    <w:basedOn w:val="1"/>
    <w:qFormat/>
    <w:uiPriority w:val="99"/>
    <w:pPr>
      <w:ind w:firstLine="420" w:firstLineChars="200"/>
    </w:pPr>
    <w:rPr>
      <w:szCs w:val="24"/>
    </w:rPr>
  </w:style>
  <w:style w:type="paragraph" w:customStyle="1" w:styleId="168">
    <w:name w:val="普通(网站)1"/>
    <w:basedOn w:val="1"/>
    <w:qFormat/>
    <w:uiPriority w:val="99"/>
    <w:pPr>
      <w:widowControl/>
      <w:spacing w:before="100" w:beforeAutospacing="1" w:after="100" w:afterAutospacing="1"/>
      <w:jc w:val="left"/>
    </w:pPr>
    <w:rPr>
      <w:rFonts w:ascii="宋体" w:hAnsi="宋体"/>
      <w:kern w:val="0"/>
      <w:sz w:val="24"/>
      <w:szCs w:val="24"/>
    </w:rPr>
  </w:style>
  <w:style w:type="paragraph" w:customStyle="1" w:styleId="169">
    <w:name w:val="标题 91"/>
    <w:basedOn w:val="1"/>
    <w:qFormat/>
    <w:uiPriority w:val="1"/>
    <w:pPr>
      <w:ind w:left="139"/>
      <w:jc w:val="left"/>
    </w:pPr>
    <w:rPr>
      <w:rFonts w:ascii="黑体" w:hAnsi="黑体" w:eastAsia="黑体"/>
      <w:b/>
      <w:bCs/>
      <w:kern w:val="0"/>
      <w:sz w:val="28"/>
      <w:szCs w:val="28"/>
      <w:lang w:eastAsia="en-US"/>
    </w:rPr>
  </w:style>
  <w:style w:type="paragraph" w:customStyle="1" w:styleId="170">
    <w:name w:val="普通(网站)2"/>
    <w:basedOn w:val="1"/>
    <w:qFormat/>
    <w:uiPriority w:val="99"/>
    <w:pPr>
      <w:widowControl/>
      <w:spacing w:before="100" w:beforeAutospacing="1" w:after="100" w:afterAutospacing="1"/>
      <w:jc w:val="left"/>
    </w:pPr>
    <w:rPr>
      <w:rFonts w:ascii="宋体" w:hAnsi="宋体"/>
      <w:kern w:val="0"/>
      <w:sz w:val="24"/>
      <w:szCs w:val="22"/>
    </w:rPr>
  </w:style>
  <w:style w:type="paragraph" w:customStyle="1" w:styleId="171">
    <w:name w:val="xl6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72">
    <w:name w:val="Normal_2"/>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styleId="173">
    <w:name w:val="List Paragraph"/>
    <w:basedOn w:val="1"/>
    <w:qFormat/>
    <w:uiPriority w:val="99"/>
    <w:pPr>
      <w:ind w:firstLine="420" w:firstLineChars="200"/>
    </w:pPr>
  </w:style>
  <w:style w:type="paragraph" w:customStyle="1" w:styleId="174">
    <w:name w:val="正文 A"/>
    <w:qFormat/>
    <w:uiPriority w:val="99"/>
    <w:rPr>
      <w:rFonts w:ascii="Arial Unicode MS" w:hAnsi="Arial Unicode MS" w:eastAsia="Times New Roman" w:cs="宋体"/>
      <w:color w:val="000000"/>
      <w:sz w:val="24"/>
      <w:szCs w:val="24"/>
      <w:lang w:val="en-US" w:eastAsia="zh-CN" w:bidi="ar-SA"/>
    </w:rPr>
  </w:style>
  <w:style w:type="paragraph" w:customStyle="1" w:styleId="175">
    <w:name w:val="xl6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76">
    <w:name w:val="列出段落2"/>
    <w:basedOn w:val="1"/>
    <w:qFormat/>
    <w:uiPriority w:val="99"/>
    <w:pPr>
      <w:ind w:firstLine="420" w:firstLineChars="200"/>
    </w:pPr>
    <w:rPr>
      <w:rFonts w:ascii="Calibri" w:hAnsi="Calibri"/>
      <w:szCs w:val="22"/>
    </w:rPr>
  </w:style>
  <w:style w:type="paragraph" w:customStyle="1" w:styleId="177">
    <w:name w:val="目录标题"/>
    <w:basedOn w:val="3"/>
    <w:next w:val="1"/>
    <w:qFormat/>
    <w:uiPriority w:val="39"/>
    <w:pPr>
      <w:widowControl/>
      <w:spacing w:before="480" w:after="0" w:line="276" w:lineRule="auto"/>
      <w:ind w:left="432" w:hanging="432"/>
      <w:jc w:val="left"/>
      <w:outlineLvl w:val="9"/>
    </w:pPr>
    <w:rPr>
      <w:rFonts w:ascii="Cambria" w:hAnsi="Cambria"/>
      <w:bCs/>
      <w:color w:val="365F91"/>
      <w:kern w:val="0"/>
      <w:sz w:val="28"/>
      <w:szCs w:val="28"/>
    </w:rPr>
  </w:style>
  <w:style w:type="paragraph" w:customStyle="1" w:styleId="178">
    <w:name w:val="正文缩进1"/>
    <w:basedOn w:val="1"/>
    <w:qFormat/>
    <w:uiPriority w:val="99"/>
    <w:pPr>
      <w:ind w:firstLine="420" w:firstLineChars="200"/>
    </w:pPr>
    <w:rPr>
      <w:szCs w:val="24"/>
    </w:rPr>
  </w:style>
  <w:style w:type="paragraph" w:customStyle="1" w:styleId="179">
    <w:name w:val="Normal_149"/>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180">
    <w:name w:val="默认"/>
    <w:qFormat/>
    <w:uiPriority w:val="99"/>
    <w:rPr>
      <w:rFonts w:ascii="Arial Unicode MS" w:hAnsi="Arial Unicode MS" w:eastAsia="Helvetica" w:cs="宋体"/>
      <w:color w:val="000000"/>
      <w:sz w:val="22"/>
      <w:szCs w:val="22"/>
      <w:lang w:val="en-US" w:eastAsia="zh-CN" w:bidi="ar-SA"/>
    </w:rPr>
  </w:style>
  <w:style w:type="paragraph" w:customStyle="1" w:styleId="181">
    <w:name w:val="修订11"/>
    <w:qFormat/>
    <w:uiPriority w:val="99"/>
    <w:rPr>
      <w:rFonts w:ascii="Times New Roman" w:hAnsi="Times New Roman" w:eastAsia="宋体" w:cs="Times New Roman"/>
      <w:kern w:val="2"/>
      <w:sz w:val="21"/>
      <w:lang w:val="en-US" w:eastAsia="zh-CN" w:bidi="ar-SA"/>
    </w:rPr>
  </w:style>
  <w:style w:type="paragraph" w:customStyle="1" w:styleId="182">
    <w:name w:val="font5"/>
    <w:basedOn w:val="1"/>
    <w:qFormat/>
    <w:uiPriority w:val="99"/>
    <w:pPr>
      <w:widowControl/>
      <w:spacing w:before="100" w:beforeAutospacing="1" w:after="100" w:afterAutospacing="1"/>
      <w:jc w:val="left"/>
    </w:pPr>
    <w:rPr>
      <w:rFonts w:ascii="宋体" w:hAnsi="宋体" w:cs="宋体"/>
      <w:kern w:val="0"/>
      <w:sz w:val="22"/>
      <w:szCs w:val="22"/>
    </w:rPr>
  </w:style>
  <w:style w:type="paragraph" w:customStyle="1" w:styleId="183">
    <w:name w:val="g2"/>
    <w:basedOn w:val="1"/>
    <w:qFormat/>
    <w:uiPriority w:val="99"/>
    <w:pPr>
      <w:widowControl/>
      <w:spacing w:before="100" w:beforeAutospacing="1" w:after="100" w:afterAutospacing="1"/>
      <w:jc w:val="left"/>
    </w:pPr>
    <w:rPr>
      <w:rFonts w:ascii="仿宋_GB2312" w:hAnsi="宋体" w:eastAsia="仿宋_GB2312" w:cs="宋体"/>
      <w:kern w:val="0"/>
      <w:sz w:val="33"/>
      <w:szCs w:val="33"/>
    </w:rPr>
  </w:style>
  <w:style w:type="paragraph" w:customStyle="1" w:styleId="184">
    <w:name w:val="xl81"/>
    <w:basedOn w:val="1"/>
    <w:qFormat/>
    <w:uiPriority w:val="99"/>
    <w:pPr>
      <w:widowControl/>
      <w:spacing w:before="100" w:beforeAutospacing="1" w:after="100" w:afterAutospacing="1"/>
      <w:jc w:val="center"/>
    </w:pPr>
    <w:rPr>
      <w:rFonts w:ascii="宋体" w:hAnsi="宋体" w:cs="宋体"/>
      <w:b/>
      <w:bCs/>
      <w:kern w:val="0"/>
      <w:sz w:val="24"/>
      <w:szCs w:val="24"/>
    </w:rPr>
  </w:style>
  <w:style w:type="paragraph" w:customStyle="1" w:styleId="185">
    <w:name w:val="纯文本1"/>
    <w:basedOn w:val="1"/>
    <w:qFormat/>
    <w:uiPriority w:val="99"/>
    <w:pPr>
      <w:adjustRightInd w:val="0"/>
    </w:pPr>
    <w:rPr>
      <w:rFonts w:ascii="宋体" w:hAnsi="Courier New"/>
    </w:rPr>
  </w:style>
  <w:style w:type="paragraph" w:customStyle="1" w:styleId="186">
    <w:name w:val="xl69"/>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87">
    <w:name w:val="xl3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b/>
      <w:bCs/>
      <w:color w:val="000000"/>
      <w:kern w:val="0"/>
      <w:sz w:val="18"/>
      <w:szCs w:val="18"/>
    </w:rPr>
  </w:style>
  <w:style w:type="paragraph" w:customStyle="1" w:styleId="188">
    <w:name w:val="xl8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89">
    <w:name w:val="表格样式 1"/>
    <w:qFormat/>
    <w:uiPriority w:val="99"/>
    <w:rPr>
      <w:rFonts w:ascii="Arial Unicode MS" w:hAnsi="Arial Unicode MS" w:eastAsia="宋体" w:cs="宋体"/>
      <w:color w:val="000000"/>
      <w:lang w:val="en-US" w:eastAsia="zh-CN" w:bidi="ar-SA"/>
    </w:rPr>
  </w:style>
  <w:style w:type="paragraph" w:customStyle="1" w:styleId="190">
    <w:name w:val="Normal_115"/>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191">
    <w:name w:val="样式 样式 标题 2 + 宋体 五号 非加粗 黑色 + 段前: 6 磅 段后: 0 磅 行距: 单倍行距"/>
    <w:basedOn w:val="192"/>
    <w:qFormat/>
    <w:uiPriority w:val="99"/>
    <w:pPr>
      <w:spacing w:before="120" w:after="0" w:line="240" w:lineRule="auto"/>
    </w:pPr>
    <w:rPr>
      <w:szCs w:val="20"/>
    </w:rPr>
  </w:style>
  <w:style w:type="paragraph" w:customStyle="1" w:styleId="192">
    <w:name w:val="样式 标题 2 + 宋体 五号 非加粗 黑色"/>
    <w:basedOn w:val="2"/>
    <w:qFormat/>
    <w:uiPriority w:val="99"/>
    <w:pPr>
      <w:adjustRightInd w:val="0"/>
      <w:spacing w:line="416" w:lineRule="atLeast"/>
      <w:jc w:val="left"/>
    </w:pPr>
    <w:rPr>
      <w:rFonts w:ascii="宋体" w:hAnsi="宋体" w:eastAsia="宋体"/>
      <w:b w:val="0"/>
      <w:bCs w:val="0"/>
      <w:color w:val="000000"/>
      <w:kern w:val="0"/>
      <w:sz w:val="21"/>
    </w:rPr>
  </w:style>
  <w:style w:type="paragraph" w:customStyle="1" w:styleId="193">
    <w:name w:val="正文重点"/>
    <w:basedOn w:val="1"/>
    <w:qFormat/>
    <w:uiPriority w:val="99"/>
    <w:pPr>
      <w:adjustRightInd w:val="0"/>
      <w:spacing w:line="360" w:lineRule="auto"/>
      <w:ind w:firstLine="200" w:firstLineChars="200"/>
      <w:jc w:val="left"/>
    </w:pPr>
    <w:rPr>
      <w:b/>
      <w:kern w:val="0"/>
      <w:sz w:val="24"/>
    </w:rPr>
  </w:style>
  <w:style w:type="paragraph" w:customStyle="1" w:styleId="194">
    <w:name w:val="1."/>
    <w:basedOn w:val="1"/>
    <w:qFormat/>
    <w:uiPriority w:val="99"/>
    <w:pPr>
      <w:tabs>
        <w:tab w:val="left" w:pos="0"/>
        <w:tab w:val="left" w:pos="426"/>
      </w:tabs>
      <w:autoSpaceDE w:val="0"/>
      <w:autoSpaceDN w:val="0"/>
      <w:adjustRightInd w:val="0"/>
      <w:spacing w:before="60" w:after="60" w:line="360" w:lineRule="atLeast"/>
      <w:ind w:left="426" w:hanging="426"/>
    </w:pPr>
    <w:rPr>
      <w:rFonts w:ascii="宋体"/>
      <w:kern w:val="0"/>
      <w:sz w:val="24"/>
    </w:rPr>
  </w:style>
  <w:style w:type="paragraph" w:customStyle="1" w:styleId="195">
    <w:name w:val="列出段落3"/>
    <w:basedOn w:val="1"/>
    <w:qFormat/>
    <w:uiPriority w:val="99"/>
    <w:pPr>
      <w:ind w:firstLine="420" w:firstLineChars="200"/>
    </w:pPr>
    <w:rPr>
      <w:szCs w:val="24"/>
    </w:rPr>
  </w:style>
  <w:style w:type="paragraph" w:customStyle="1" w:styleId="196">
    <w:name w:val="xl7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97">
    <w:name w:val="font6"/>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198">
    <w:name w:val="CM100"/>
    <w:basedOn w:val="199"/>
    <w:next w:val="199"/>
    <w:qFormat/>
    <w:uiPriority w:val="99"/>
  </w:style>
  <w:style w:type="paragraph" w:customStyle="1" w:styleId="199">
    <w:name w:val="Default"/>
    <w:qFormat/>
    <w:uiPriority w:val="99"/>
    <w:pPr>
      <w:widowControl w:val="0"/>
      <w:autoSpaceDE w:val="0"/>
      <w:autoSpaceDN w:val="0"/>
      <w:adjustRightInd w:val="0"/>
    </w:pPr>
    <w:rPr>
      <w:rFonts w:ascii="宋体" w:hAnsi="宋体" w:eastAsia="宋体" w:cs="Times New Roman"/>
      <w:color w:val="000000"/>
      <w:sz w:val="24"/>
      <w:szCs w:val="22"/>
      <w:lang w:val="en-US" w:eastAsia="zh-CN" w:bidi="ar-SA"/>
    </w:rPr>
  </w:style>
  <w:style w:type="paragraph" w:customStyle="1" w:styleId="200">
    <w:name w:val="xl6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01">
    <w:name w:val="样式 样式 样式 样式 标题 2 + 宋体 五号 非加粗 黑色 + 段前: 6 磅 段后: 0 磅 行距: 单倍行距 + 段前:..."/>
    <w:basedOn w:val="1"/>
    <w:qFormat/>
    <w:uiPriority w:val="99"/>
    <w:pPr>
      <w:keepNext/>
      <w:keepLines/>
      <w:numPr>
        <w:ilvl w:val="1"/>
        <w:numId w:val="2"/>
      </w:numPr>
      <w:adjustRightInd w:val="0"/>
      <w:spacing w:before="240"/>
      <w:jc w:val="left"/>
      <w:outlineLvl w:val="1"/>
    </w:pPr>
    <w:rPr>
      <w:rFonts w:ascii="宋体" w:hAnsi="宋体" w:cs="宋体"/>
      <w:b/>
      <w:bCs/>
      <w:color w:val="000000"/>
      <w:kern w:val="0"/>
    </w:rPr>
  </w:style>
  <w:style w:type="paragraph" w:customStyle="1" w:styleId="202">
    <w:name w:val="Normal_3"/>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203">
    <w:name w:val="TOC 标题1"/>
    <w:basedOn w:val="3"/>
    <w:next w:val="1"/>
    <w:unhideWhenUsed/>
    <w:qFormat/>
    <w:uiPriority w:val="39"/>
    <w:pPr>
      <w:widowControl/>
      <w:spacing w:before="480" w:after="0" w:line="276" w:lineRule="auto"/>
      <w:jc w:val="left"/>
      <w:outlineLvl w:val="9"/>
    </w:pPr>
    <w:rPr>
      <w:rFonts w:ascii="Cambria" w:hAnsi="Cambria"/>
      <w:bCs/>
      <w:color w:val="365F91"/>
      <w:kern w:val="0"/>
      <w:sz w:val="28"/>
      <w:szCs w:val="28"/>
    </w:rPr>
  </w:style>
  <w:style w:type="paragraph" w:customStyle="1" w:styleId="204">
    <w:name w:val="List Paragraph1"/>
    <w:basedOn w:val="1"/>
    <w:qFormat/>
    <w:uiPriority w:val="99"/>
    <w:pPr>
      <w:ind w:firstLine="420" w:firstLineChars="200"/>
    </w:pPr>
  </w:style>
  <w:style w:type="paragraph" w:customStyle="1" w:styleId="205">
    <w:name w:val="xl4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18"/>
      <w:szCs w:val="18"/>
    </w:rPr>
  </w:style>
  <w:style w:type="paragraph" w:customStyle="1" w:styleId="206">
    <w:name w:val="Char1"/>
    <w:basedOn w:val="1"/>
    <w:qFormat/>
    <w:uiPriority w:val="99"/>
  </w:style>
  <w:style w:type="paragraph" w:customStyle="1" w:styleId="207">
    <w:name w:val="Normal_62"/>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208">
    <w:name w:val="xl7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209">
    <w:name w:val="样式 样式 首行缩进:  2 字符 + 首行缩进:  2 字符"/>
    <w:basedOn w:val="1"/>
    <w:qFormat/>
    <w:uiPriority w:val="99"/>
    <w:pPr>
      <w:adjustRightInd w:val="0"/>
      <w:snapToGrid w:val="0"/>
      <w:spacing w:line="360" w:lineRule="auto"/>
      <w:ind w:firstLine="480" w:firstLineChars="200"/>
      <w:jc w:val="left"/>
    </w:pPr>
    <w:rPr>
      <w:rFonts w:cs="宋体"/>
      <w:sz w:val="24"/>
    </w:rPr>
  </w:style>
  <w:style w:type="paragraph" w:customStyle="1" w:styleId="210">
    <w:name w:val="列出段落1"/>
    <w:basedOn w:val="1"/>
    <w:qFormat/>
    <w:uiPriority w:val="34"/>
    <w:pPr>
      <w:ind w:firstLine="420" w:firstLineChars="200"/>
    </w:pPr>
    <w:rPr>
      <w:rFonts w:ascii="Calibri" w:hAnsi="Calibri"/>
      <w:szCs w:val="22"/>
    </w:rPr>
  </w:style>
  <w:style w:type="paragraph" w:customStyle="1" w:styleId="211">
    <w:name w:val="Normal_4"/>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212">
    <w:name w:val="正文文本缩进2"/>
    <w:basedOn w:val="1"/>
    <w:qFormat/>
    <w:uiPriority w:val="99"/>
    <w:pPr>
      <w:ind w:left="420" w:leftChars="200"/>
    </w:pPr>
    <w:rPr>
      <w:kern w:val="0"/>
      <w:sz w:val="20"/>
    </w:rPr>
  </w:style>
  <w:style w:type="paragraph" w:customStyle="1" w:styleId="213">
    <w:name w:val="Char"/>
    <w:basedOn w:val="1"/>
    <w:qFormat/>
    <w:uiPriority w:val="99"/>
    <w:pPr>
      <w:tabs>
        <w:tab w:val="left" w:pos="360"/>
      </w:tabs>
    </w:pPr>
    <w:rPr>
      <w:sz w:val="24"/>
      <w:szCs w:val="24"/>
    </w:rPr>
  </w:style>
  <w:style w:type="paragraph" w:customStyle="1" w:styleId="214">
    <w:name w:val="日期1"/>
    <w:basedOn w:val="1"/>
    <w:next w:val="1"/>
    <w:qFormat/>
    <w:uiPriority w:val="99"/>
    <w:pPr>
      <w:ind w:left="100" w:leftChars="2500"/>
    </w:pPr>
    <w:rPr>
      <w:szCs w:val="24"/>
    </w:rPr>
  </w:style>
  <w:style w:type="paragraph" w:customStyle="1" w:styleId="215">
    <w:name w:val="font10"/>
    <w:basedOn w:val="1"/>
    <w:qFormat/>
    <w:uiPriority w:val="99"/>
    <w:pPr>
      <w:widowControl/>
      <w:spacing w:before="100" w:beforeAutospacing="1" w:after="100" w:afterAutospacing="1"/>
      <w:jc w:val="left"/>
    </w:pPr>
    <w:rPr>
      <w:rFonts w:ascii="宋体" w:hAnsi="宋体"/>
      <w:b/>
      <w:bCs/>
      <w:color w:val="000000"/>
      <w:kern w:val="0"/>
      <w:sz w:val="18"/>
      <w:szCs w:val="18"/>
    </w:rPr>
  </w:style>
  <w:style w:type="paragraph" w:customStyle="1" w:styleId="216">
    <w:name w:val="标题 71"/>
    <w:basedOn w:val="1"/>
    <w:qFormat/>
    <w:uiPriority w:val="1"/>
    <w:pPr>
      <w:spacing w:before="5"/>
      <w:ind w:left="281"/>
      <w:jc w:val="left"/>
      <w:outlineLvl w:val="7"/>
    </w:pPr>
    <w:rPr>
      <w:rFonts w:ascii="黑体" w:hAnsi="黑体" w:eastAsia="黑体"/>
      <w:b/>
      <w:bCs/>
      <w:kern w:val="0"/>
      <w:sz w:val="32"/>
      <w:szCs w:val="32"/>
      <w:lang w:eastAsia="en-US"/>
    </w:rPr>
  </w:style>
  <w:style w:type="paragraph" w:customStyle="1" w:styleId="217">
    <w:name w:val="正文文本缩进 21"/>
    <w:basedOn w:val="1"/>
    <w:qFormat/>
    <w:uiPriority w:val="99"/>
    <w:pPr>
      <w:spacing w:after="120" w:line="480" w:lineRule="auto"/>
      <w:ind w:left="420" w:leftChars="200"/>
    </w:pPr>
    <w:rPr>
      <w:szCs w:val="24"/>
    </w:rPr>
  </w:style>
  <w:style w:type="paragraph" w:customStyle="1" w:styleId="218">
    <w:name w:val="xl7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219">
    <w:name w:val="Normal_117"/>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220">
    <w:name w:val="Normal_15"/>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221">
    <w:name w:val="Normal_25"/>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222">
    <w:name w:val="Normal_79"/>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223">
    <w:name w:val="xl2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color w:val="000000"/>
      <w:kern w:val="0"/>
      <w:sz w:val="18"/>
      <w:szCs w:val="18"/>
    </w:rPr>
  </w:style>
  <w:style w:type="paragraph" w:customStyle="1" w:styleId="224">
    <w:name w:val="文档结构图1"/>
    <w:basedOn w:val="1"/>
    <w:qFormat/>
    <w:uiPriority w:val="99"/>
    <w:pPr>
      <w:shd w:val="clear" w:color="auto" w:fill="000080"/>
    </w:pPr>
    <w:rPr>
      <w:szCs w:val="24"/>
    </w:rPr>
  </w:style>
  <w:style w:type="paragraph" w:customStyle="1" w:styleId="225">
    <w:name w:val="缺省文本"/>
    <w:basedOn w:val="1"/>
    <w:qFormat/>
    <w:uiPriority w:val="99"/>
    <w:pPr>
      <w:widowControl/>
      <w:overflowPunct w:val="0"/>
      <w:autoSpaceDE w:val="0"/>
      <w:autoSpaceDN w:val="0"/>
      <w:adjustRightInd w:val="0"/>
      <w:spacing w:line="360" w:lineRule="auto"/>
      <w:ind w:firstLine="720"/>
    </w:pPr>
    <w:rPr>
      <w:rFonts w:ascii="宋体" w:eastAsia="仿宋_GB2312"/>
      <w:kern w:val="0"/>
      <w:sz w:val="28"/>
    </w:rPr>
  </w:style>
  <w:style w:type="paragraph" w:customStyle="1" w:styleId="226">
    <w:name w:val="样式2"/>
    <w:basedOn w:val="1"/>
    <w:qFormat/>
    <w:uiPriority w:val="99"/>
    <w:pPr>
      <w:spacing w:line="300" w:lineRule="auto"/>
      <w:jc w:val="center"/>
      <w:outlineLvl w:val="0"/>
    </w:pPr>
    <w:rPr>
      <w:b/>
      <w:sz w:val="24"/>
    </w:rPr>
  </w:style>
  <w:style w:type="paragraph" w:customStyle="1" w:styleId="227">
    <w:name w:val="修订111"/>
    <w:semiHidden/>
    <w:qFormat/>
    <w:uiPriority w:val="99"/>
    <w:rPr>
      <w:rFonts w:ascii="Times New Roman" w:hAnsi="Times New Roman" w:eastAsia="宋体" w:cs="Times New Roman"/>
      <w:kern w:val="2"/>
      <w:sz w:val="21"/>
      <w:lang w:val="en-US" w:eastAsia="zh-CN" w:bidi="ar-SA"/>
    </w:rPr>
  </w:style>
  <w:style w:type="paragraph" w:customStyle="1" w:styleId="228">
    <w:name w:val="彩色列表1"/>
    <w:basedOn w:val="1"/>
    <w:qFormat/>
    <w:uiPriority w:val="34"/>
    <w:pPr>
      <w:ind w:firstLine="420" w:firstLineChars="200"/>
    </w:pPr>
    <w:rPr>
      <w:rFonts w:ascii="Calibri" w:hAnsi="Calibri"/>
      <w:szCs w:val="22"/>
    </w:rPr>
  </w:style>
  <w:style w:type="paragraph" w:customStyle="1" w:styleId="229">
    <w:name w:val="Normal_71"/>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230">
    <w:name w:val="Char Char Char"/>
    <w:basedOn w:val="1"/>
    <w:qFormat/>
    <w:uiPriority w:val="99"/>
    <w:pPr>
      <w:spacing w:before="120" w:after="120" w:line="360" w:lineRule="auto"/>
      <w:ind w:firstLine="200" w:firstLineChars="200"/>
    </w:pPr>
    <w:rPr>
      <w:rFonts w:ascii="Tahoma" w:hAnsi="Tahoma"/>
      <w:sz w:val="24"/>
    </w:rPr>
  </w:style>
  <w:style w:type="paragraph" w:customStyle="1" w:styleId="231">
    <w:name w:val="样式1"/>
    <w:basedOn w:val="6"/>
    <w:qFormat/>
    <w:uiPriority w:val="99"/>
    <w:pPr>
      <w:widowControl/>
      <w:tabs>
        <w:tab w:val="left" w:pos="0"/>
        <w:tab w:val="left" w:pos="945"/>
      </w:tabs>
      <w:ind w:left="945" w:hanging="420"/>
      <w:jc w:val="left"/>
    </w:pPr>
    <w:rPr>
      <w:rFonts w:ascii="宋体" w:hAnsi="宋体" w:eastAsia="黑体"/>
      <w:b w:val="0"/>
      <w:bCs w:val="0"/>
      <w:color w:val="000000"/>
      <w:sz w:val="32"/>
      <w:szCs w:val="22"/>
    </w:rPr>
  </w:style>
  <w:style w:type="paragraph" w:customStyle="1" w:styleId="232">
    <w:name w:val="Normal_67"/>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233">
    <w:name w:val="p0"/>
    <w:basedOn w:val="1"/>
    <w:qFormat/>
    <w:uiPriority w:val="99"/>
    <w:pPr>
      <w:widowControl/>
      <w:jc w:val="left"/>
    </w:pPr>
    <w:rPr>
      <w:rFonts w:ascii="宋体" w:hAnsi="宋体" w:cs="宋体"/>
      <w:kern w:val="0"/>
      <w:sz w:val="24"/>
      <w:szCs w:val="24"/>
    </w:rPr>
  </w:style>
  <w:style w:type="paragraph" w:customStyle="1" w:styleId="234">
    <w:name w:val="纯文本11"/>
    <w:basedOn w:val="1"/>
    <w:qFormat/>
    <w:uiPriority w:val="99"/>
    <w:rPr>
      <w:rFonts w:ascii="宋体" w:hAnsi="Courier New" w:cs="Courier New"/>
      <w:szCs w:val="21"/>
    </w:rPr>
  </w:style>
  <w:style w:type="paragraph" w:customStyle="1" w:styleId="235">
    <w:name w:val="样式 标题 3 + (中文) 黑体 小四 非加粗 段前: 7.8 磅 段后: 0 磅 行距: 固定值 20 磅"/>
    <w:basedOn w:val="4"/>
    <w:qFormat/>
    <w:uiPriority w:val="99"/>
    <w:pPr>
      <w:spacing w:before="0" w:after="0" w:line="400" w:lineRule="exact"/>
    </w:pPr>
    <w:rPr>
      <w:rFonts w:eastAsia="黑体"/>
      <w:b w:val="0"/>
      <w:bCs w:val="0"/>
      <w:sz w:val="24"/>
      <w:szCs w:val="20"/>
    </w:rPr>
  </w:style>
  <w:style w:type="paragraph" w:customStyle="1" w:styleId="236">
    <w:name w:val="样式 标题 3头H3l3CT第二层条第三层论文标题 21.1.1 标题 3头 Char标题 3 Char C..."/>
    <w:basedOn w:val="4"/>
    <w:qFormat/>
    <w:uiPriority w:val="99"/>
    <w:pPr>
      <w:tabs>
        <w:tab w:val="left" w:pos="1260"/>
        <w:tab w:val="left" w:pos="4320"/>
      </w:tabs>
      <w:autoSpaceDE w:val="0"/>
      <w:autoSpaceDN w:val="0"/>
      <w:adjustRightInd w:val="0"/>
      <w:spacing w:before="120" w:after="0" w:line="360" w:lineRule="auto"/>
      <w:ind w:left="1260" w:hanging="420"/>
      <w:jc w:val="left"/>
    </w:pPr>
    <w:rPr>
      <w:bCs w:val="0"/>
      <w:sz w:val="24"/>
      <w:szCs w:val="24"/>
    </w:rPr>
  </w:style>
  <w:style w:type="paragraph" w:customStyle="1" w:styleId="237">
    <w:name w:val="Char Char11 Char Char Char Char Char Char"/>
    <w:basedOn w:val="1"/>
    <w:qFormat/>
    <w:uiPriority w:val="99"/>
    <w:rPr>
      <w:szCs w:val="24"/>
    </w:rPr>
  </w:style>
  <w:style w:type="paragraph" w:customStyle="1" w:styleId="238">
    <w:name w:val="样式 首行缩进:  2 字符1"/>
    <w:basedOn w:val="1"/>
    <w:qFormat/>
    <w:uiPriority w:val="99"/>
    <w:pPr>
      <w:adjustRightInd w:val="0"/>
      <w:snapToGrid w:val="0"/>
      <w:spacing w:line="360" w:lineRule="auto"/>
      <w:ind w:firstLine="480" w:firstLineChars="200"/>
    </w:pPr>
    <w:rPr>
      <w:rFonts w:cs="宋体"/>
      <w:sz w:val="24"/>
    </w:rPr>
  </w:style>
  <w:style w:type="paragraph" w:customStyle="1" w:styleId="239">
    <w:name w:val="xl7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240">
    <w:name w:val="List Paragraph11"/>
    <w:basedOn w:val="1"/>
    <w:qFormat/>
    <w:uiPriority w:val="99"/>
    <w:pPr>
      <w:ind w:left="720"/>
    </w:pPr>
    <w:rPr>
      <w:szCs w:val="21"/>
    </w:rPr>
  </w:style>
  <w:style w:type="paragraph" w:customStyle="1" w:styleId="241">
    <w:name w:val="Normal_88"/>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242">
    <w:name w:val="正文文本 21"/>
    <w:basedOn w:val="1"/>
    <w:qFormat/>
    <w:uiPriority w:val="99"/>
    <w:pPr>
      <w:spacing w:after="120" w:line="480" w:lineRule="auto"/>
    </w:pPr>
    <w:rPr>
      <w:szCs w:val="24"/>
    </w:rPr>
  </w:style>
  <w:style w:type="paragraph" w:customStyle="1" w:styleId="243">
    <w:name w:val="Normal_129"/>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244">
    <w:name w:val="列出段落6"/>
    <w:basedOn w:val="1"/>
    <w:qFormat/>
    <w:uiPriority w:val="99"/>
    <w:pPr>
      <w:ind w:firstLine="420" w:firstLineChars="200"/>
    </w:pPr>
    <w:rPr>
      <w:szCs w:val="24"/>
    </w:rPr>
  </w:style>
  <w:style w:type="paragraph" w:customStyle="1" w:styleId="245">
    <w:name w:val="彩色底纹 - 强调文字颜色 61"/>
    <w:basedOn w:val="3"/>
    <w:next w:val="1"/>
    <w:qFormat/>
    <w:uiPriority w:val="39"/>
    <w:pPr>
      <w:widowControl/>
      <w:spacing w:before="480" w:after="0" w:line="276" w:lineRule="auto"/>
      <w:jc w:val="left"/>
      <w:outlineLvl w:val="9"/>
    </w:pPr>
    <w:rPr>
      <w:rFonts w:ascii="Cambria" w:hAnsi="Cambria"/>
      <w:bCs/>
      <w:color w:val="365F91"/>
      <w:kern w:val="0"/>
      <w:sz w:val="28"/>
      <w:szCs w:val="28"/>
    </w:rPr>
  </w:style>
  <w:style w:type="paragraph" w:customStyle="1" w:styleId="246">
    <w:name w:val="msonormal"/>
    <w:basedOn w:val="1"/>
    <w:qFormat/>
    <w:uiPriority w:val="99"/>
    <w:rPr>
      <w:rFonts w:ascii="Calibri" w:hAnsi="Calibri"/>
      <w:sz w:val="24"/>
      <w:szCs w:val="24"/>
    </w:rPr>
  </w:style>
  <w:style w:type="paragraph" w:customStyle="1" w:styleId="247">
    <w:name w:val="xl75"/>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48">
    <w:name w:val="Normal_145"/>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249">
    <w:name w:val="纯文本2"/>
    <w:basedOn w:val="1"/>
    <w:qFormat/>
    <w:uiPriority w:val="99"/>
    <w:pPr>
      <w:adjustRightInd w:val="0"/>
    </w:pPr>
    <w:rPr>
      <w:rFonts w:ascii="宋体"/>
      <w:kern w:val="0"/>
      <w:sz w:val="24"/>
    </w:rPr>
  </w:style>
  <w:style w:type="paragraph" w:customStyle="1" w:styleId="250">
    <w:name w:val="正文+宋体"/>
    <w:basedOn w:val="1"/>
    <w:qFormat/>
    <w:uiPriority w:val="99"/>
    <w:pPr>
      <w:spacing w:afterLines="50" w:line="360" w:lineRule="auto"/>
    </w:pPr>
    <w:rPr>
      <w:rFonts w:ascii="Arial" w:hAnsi="Arial" w:cs="Arial"/>
      <w:color w:val="000000"/>
      <w:szCs w:val="21"/>
    </w:rPr>
  </w:style>
  <w:style w:type="paragraph" w:customStyle="1" w:styleId="251">
    <w:name w:val="xl7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252">
    <w:name w:val="Normal_9"/>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253">
    <w:name w:val="_Style 6"/>
    <w:basedOn w:val="1"/>
    <w:qFormat/>
    <w:uiPriority w:val="34"/>
    <w:pPr>
      <w:spacing w:line="500" w:lineRule="exact"/>
      <w:ind w:firstLine="420" w:firstLineChars="200"/>
    </w:pPr>
    <w:rPr>
      <w:szCs w:val="24"/>
    </w:rPr>
  </w:style>
  <w:style w:type="paragraph" w:customStyle="1" w:styleId="254">
    <w:name w:val="Normal_45"/>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255">
    <w:name w:val="Paragraph 3"/>
    <w:basedOn w:val="1"/>
    <w:qFormat/>
    <w:uiPriority w:val="99"/>
    <w:pPr>
      <w:widowControl/>
      <w:tabs>
        <w:tab w:val="right" w:pos="10296"/>
      </w:tabs>
      <w:spacing w:before="60" w:after="60"/>
      <w:ind w:left="2100" w:hanging="420"/>
      <w:jc w:val="left"/>
      <w:outlineLvl w:val="4"/>
    </w:pPr>
    <w:rPr>
      <w:rFonts w:ascii="Arial" w:hAnsi="Arial"/>
      <w:kern w:val="0"/>
      <w:sz w:val="20"/>
      <w:lang w:eastAsia="en-US"/>
    </w:rPr>
  </w:style>
  <w:style w:type="paragraph" w:customStyle="1" w:styleId="256">
    <w:name w:val="列出段落5"/>
    <w:basedOn w:val="1"/>
    <w:qFormat/>
    <w:uiPriority w:val="99"/>
    <w:pPr>
      <w:ind w:firstLine="420" w:firstLineChars="200"/>
    </w:pPr>
    <w:rPr>
      <w:szCs w:val="24"/>
    </w:rPr>
  </w:style>
  <w:style w:type="paragraph" w:customStyle="1" w:styleId="257">
    <w:name w:val="样式"/>
    <w:qFormat/>
    <w:uiPriority w:val="99"/>
    <w:pPr>
      <w:widowControl w:val="0"/>
      <w:autoSpaceDE w:val="0"/>
      <w:autoSpaceDN w:val="0"/>
      <w:adjustRightInd w:val="0"/>
      <w:jc w:val="both"/>
    </w:pPr>
    <w:rPr>
      <w:rFonts w:ascii="宋体" w:hAnsi="Times New Roman" w:eastAsia="宋体" w:cs="Times New Roman"/>
      <w:sz w:val="24"/>
      <w:lang w:val="en-US" w:eastAsia="zh-CN" w:bidi="ar-SA"/>
    </w:rPr>
  </w:style>
  <w:style w:type="paragraph" w:customStyle="1" w:styleId="258">
    <w:name w:val="font8"/>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259">
    <w:name w:val="xl4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18"/>
      <w:szCs w:val="18"/>
    </w:rPr>
  </w:style>
  <w:style w:type="paragraph" w:customStyle="1" w:styleId="260">
    <w:name w:val="彩色底纹1"/>
    <w:semiHidden/>
    <w:qFormat/>
    <w:uiPriority w:val="99"/>
    <w:rPr>
      <w:rFonts w:ascii="Times New Roman" w:hAnsi="Times New Roman" w:eastAsia="宋体" w:cs="Times New Roman"/>
      <w:kern w:val="2"/>
      <w:sz w:val="21"/>
      <w:lang w:val="en-US" w:eastAsia="zh-CN" w:bidi="ar-SA"/>
    </w:rPr>
  </w:style>
  <w:style w:type="paragraph" w:customStyle="1" w:styleId="261">
    <w:name w:val="Char Char Char1"/>
    <w:basedOn w:val="1"/>
    <w:qFormat/>
    <w:uiPriority w:val="99"/>
    <w:rPr>
      <w:rFonts w:ascii="Tahoma" w:hAnsi="Tahoma"/>
      <w:sz w:val="24"/>
    </w:rPr>
  </w:style>
  <w:style w:type="paragraph" w:customStyle="1" w:styleId="262">
    <w:name w:val="_Style 172"/>
    <w:basedOn w:val="1"/>
    <w:next w:val="173"/>
    <w:qFormat/>
    <w:uiPriority w:val="99"/>
    <w:pPr>
      <w:ind w:firstLine="420" w:firstLineChars="200"/>
    </w:pPr>
    <w:rPr>
      <w:rFonts w:ascii="Calibri" w:hAnsi="Calibri"/>
      <w:szCs w:val="22"/>
    </w:rPr>
  </w:style>
  <w:style w:type="paragraph" w:customStyle="1" w:styleId="263">
    <w:name w:val="标题3"/>
    <w:basedOn w:val="1"/>
    <w:qFormat/>
    <w:uiPriority w:val="99"/>
    <w:pPr>
      <w:spacing w:line="360" w:lineRule="auto"/>
      <w:outlineLvl w:val="1"/>
    </w:pPr>
    <w:rPr>
      <w:rFonts w:ascii="宋体" w:hAnsi="宋体"/>
      <w:sz w:val="24"/>
      <w:szCs w:val="24"/>
    </w:rPr>
  </w:style>
  <w:style w:type="paragraph" w:customStyle="1" w:styleId="264">
    <w:name w:val="Normal_127"/>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265">
    <w:name w:val="xl6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266">
    <w:name w:val="Normal_37"/>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267">
    <w:name w:val="样式 样式 纯文本普通文字 Char普通文字 Char1普通文字 Char Char Char Char Char Char C..."/>
    <w:qFormat/>
    <w:uiPriority w:val="99"/>
    <w:rPr>
      <w:rFonts w:ascii="Times New Roman" w:hAnsi="Times New Roman" w:eastAsia="宋体" w:cs="Times New Roman"/>
      <w:lang w:val="en-US" w:eastAsia="zh-CN" w:bidi="ar-SA"/>
    </w:rPr>
  </w:style>
  <w:style w:type="paragraph" w:customStyle="1" w:styleId="268">
    <w:name w:val="Normal_39"/>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269">
    <w:name w:val="列出段落8"/>
    <w:basedOn w:val="1"/>
    <w:qFormat/>
    <w:uiPriority w:val="99"/>
    <w:pPr>
      <w:ind w:firstLine="420" w:firstLineChars="200"/>
    </w:pPr>
    <w:rPr>
      <w:szCs w:val="24"/>
    </w:rPr>
  </w:style>
  <w:style w:type="paragraph" w:customStyle="1" w:styleId="270">
    <w:name w:val="Normal_140"/>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271">
    <w:name w:val="Normal_121"/>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272">
    <w:name w:val="Normal_123"/>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273">
    <w:name w:val="Normal_124"/>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274">
    <w:name w:val="Normal_8"/>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275">
    <w:name w:val="Normal_147"/>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276">
    <w:name w:val="font7"/>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277">
    <w:name w:val="Normal_80"/>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278">
    <w:name w:val="Normal_72"/>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279">
    <w:name w:val="文档正文"/>
    <w:basedOn w:val="1"/>
    <w:qFormat/>
    <w:uiPriority w:val="99"/>
    <w:pPr>
      <w:adjustRightInd w:val="0"/>
      <w:spacing w:line="312" w:lineRule="atLeast"/>
      <w:ind w:firstLine="567"/>
    </w:pPr>
    <w:rPr>
      <w:rFonts w:ascii="Tahoma" w:hAnsi="Tahoma"/>
      <w:kern w:val="0"/>
      <w:sz w:val="28"/>
    </w:rPr>
  </w:style>
  <w:style w:type="paragraph" w:customStyle="1" w:styleId="280">
    <w:name w:val="Normal_100"/>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281">
    <w:name w:val="font11"/>
    <w:basedOn w:val="1"/>
    <w:qFormat/>
    <w:uiPriority w:val="99"/>
    <w:pPr>
      <w:widowControl/>
      <w:spacing w:before="100" w:beforeAutospacing="1" w:after="100" w:afterAutospacing="1"/>
      <w:jc w:val="left"/>
    </w:pPr>
    <w:rPr>
      <w:b/>
      <w:bCs/>
      <w:color w:val="000000"/>
      <w:kern w:val="0"/>
      <w:sz w:val="18"/>
      <w:szCs w:val="18"/>
    </w:rPr>
  </w:style>
  <w:style w:type="paragraph" w:customStyle="1" w:styleId="282">
    <w:name w:val="样式 标题 3h3H3sect1.2.3 + 五号 段前: 6 磅 段后: 6 磅 行距: 单倍行距"/>
    <w:basedOn w:val="4"/>
    <w:qFormat/>
    <w:uiPriority w:val="99"/>
    <w:pPr>
      <w:numPr>
        <w:ilvl w:val="0"/>
        <w:numId w:val="4"/>
      </w:numPr>
      <w:adjustRightInd w:val="0"/>
      <w:spacing w:before="120" w:after="120" w:line="240" w:lineRule="auto"/>
      <w:jc w:val="left"/>
    </w:pPr>
    <w:rPr>
      <w:kern w:val="0"/>
      <w:sz w:val="21"/>
      <w:szCs w:val="20"/>
    </w:rPr>
  </w:style>
  <w:style w:type="paragraph" w:customStyle="1" w:styleId="283">
    <w:name w:val="Normal_108"/>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284">
    <w:name w:val="xl4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b/>
      <w:bCs/>
      <w:color w:val="000000"/>
      <w:kern w:val="0"/>
      <w:sz w:val="18"/>
      <w:szCs w:val="18"/>
    </w:rPr>
  </w:style>
  <w:style w:type="paragraph" w:customStyle="1" w:styleId="285">
    <w:name w:val="xl46"/>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b/>
      <w:bCs/>
      <w:kern w:val="0"/>
      <w:sz w:val="18"/>
      <w:szCs w:val="18"/>
    </w:rPr>
  </w:style>
  <w:style w:type="paragraph" w:customStyle="1" w:styleId="286">
    <w:name w:val="Normal_120"/>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287">
    <w:name w:val="Normal_69"/>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288">
    <w:name w:val="Normal_110"/>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289">
    <w:name w:val="Normal_90"/>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290">
    <w:name w:val="Normal_142"/>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291">
    <w:name w:val="Normal_23"/>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292">
    <w:name w:val="Normal_158"/>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293">
    <w:name w:val="xl5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olor w:val="000000"/>
      <w:kern w:val="0"/>
      <w:sz w:val="18"/>
      <w:szCs w:val="18"/>
    </w:rPr>
  </w:style>
  <w:style w:type="paragraph" w:customStyle="1" w:styleId="294">
    <w:name w:val="Normal_97"/>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295">
    <w:name w:val="项目"/>
    <w:basedOn w:val="1"/>
    <w:qFormat/>
    <w:uiPriority w:val="99"/>
    <w:pPr>
      <w:widowControl/>
      <w:tabs>
        <w:tab w:val="left" w:pos="780"/>
        <w:tab w:val="left" w:pos="840"/>
      </w:tabs>
      <w:spacing w:after="156" w:line="360" w:lineRule="exact"/>
      <w:ind w:left="840" w:hanging="420"/>
      <w:jc w:val="left"/>
    </w:pPr>
    <w:rPr>
      <w:rFonts w:ascii="宋体" w:hAnsi="宋体"/>
      <w:kern w:val="0"/>
      <w:sz w:val="24"/>
      <w:szCs w:val="24"/>
    </w:rPr>
  </w:style>
  <w:style w:type="paragraph" w:customStyle="1" w:styleId="296">
    <w:name w:val="Normal_40"/>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297">
    <w:name w:val="Normal_87"/>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298">
    <w:name w:val="xl57"/>
    <w:basedOn w:val="1"/>
    <w:qFormat/>
    <w:uiPriority w:val="99"/>
    <w:pPr>
      <w:widowControl/>
      <w:pBdr>
        <w:top w:val="single" w:color="auto" w:sz="4" w:space="0"/>
        <w:left w:val="single" w:color="auto" w:sz="4" w:space="0"/>
        <w:bottom w:val="single" w:color="auto" w:sz="4" w:space="0"/>
        <w:right w:val="single" w:color="auto" w:sz="4" w:space="0"/>
      </w:pBdr>
      <w:shd w:val="clear" w:color="auto" w:fill="FF99CC"/>
      <w:spacing w:before="100" w:beforeAutospacing="1" w:after="100" w:afterAutospacing="1"/>
      <w:jc w:val="center"/>
    </w:pPr>
    <w:rPr>
      <w:rFonts w:ascii="宋体" w:hAnsi="宋体"/>
      <w:b/>
      <w:bCs/>
      <w:kern w:val="0"/>
      <w:sz w:val="18"/>
      <w:szCs w:val="18"/>
    </w:rPr>
  </w:style>
  <w:style w:type="paragraph" w:customStyle="1" w:styleId="299">
    <w:name w:val="Normal_49"/>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300">
    <w:name w:val="xl4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18"/>
      <w:szCs w:val="18"/>
    </w:rPr>
  </w:style>
  <w:style w:type="paragraph" w:customStyle="1" w:styleId="301">
    <w:name w:val="表格样式 2"/>
    <w:qFormat/>
    <w:uiPriority w:val="99"/>
    <w:pPr>
      <w:spacing w:line="276" w:lineRule="auto"/>
      <w:ind w:left="-2" w:leftChars="-6" w:hanging="11" w:hangingChars="6"/>
    </w:pPr>
    <w:rPr>
      <w:rFonts w:ascii="宋体" w:hAnsi="宋体" w:eastAsia="宋体" w:cs="微软雅黑"/>
      <w:color w:val="000000"/>
      <w:sz w:val="18"/>
      <w:szCs w:val="18"/>
      <w:lang w:val="en-US" w:eastAsia="zh-CN" w:bidi="ar-SA"/>
    </w:rPr>
  </w:style>
  <w:style w:type="paragraph" w:customStyle="1" w:styleId="302">
    <w:name w:val="Normal_61"/>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303">
    <w:name w:val="样式 样式 标题 5 + 段前: 5 磅 段后: 5 磅 行距: 单倍行距 + 五号"/>
    <w:basedOn w:val="304"/>
    <w:qFormat/>
    <w:uiPriority w:val="99"/>
    <w:pPr>
      <w:tabs>
        <w:tab w:val="left" w:pos="1080"/>
      </w:tabs>
    </w:pPr>
    <w:rPr>
      <w:sz w:val="21"/>
    </w:rPr>
  </w:style>
  <w:style w:type="paragraph" w:customStyle="1" w:styleId="304">
    <w:name w:val="样式 标题 5 + 段前: 5 磅 段后: 5 磅 行距: 单倍行距"/>
    <w:basedOn w:val="6"/>
    <w:qFormat/>
    <w:uiPriority w:val="99"/>
    <w:pPr>
      <w:numPr>
        <w:ilvl w:val="4"/>
        <w:numId w:val="5"/>
      </w:numPr>
      <w:tabs>
        <w:tab w:val="left" w:pos="1080"/>
      </w:tabs>
      <w:adjustRightInd w:val="0"/>
      <w:spacing w:before="100" w:after="100" w:line="240" w:lineRule="auto"/>
      <w:jc w:val="left"/>
    </w:pPr>
    <w:rPr>
      <w:rFonts w:cs="宋体"/>
      <w:kern w:val="0"/>
      <w:szCs w:val="20"/>
    </w:rPr>
  </w:style>
  <w:style w:type="paragraph" w:customStyle="1" w:styleId="305">
    <w:name w:val="列出段落4"/>
    <w:basedOn w:val="1"/>
    <w:qFormat/>
    <w:uiPriority w:val="99"/>
    <w:pPr>
      <w:ind w:firstLine="420" w:firstLineChars="200"/>
    </w:pPr>
    <w:rPr>
      <w:szCs w:val="24"/>
    </w:rPr>
  </w:style>
  <w:style w:type="paragraph" w:customStyle="1" w:styleId="306">
    <w:name w:val="Char Char Char Char Char Char Char1"/>
    <w:basedOn w:val="1"/>
    <w:qFormat/>
    <w:uiPriority w:val="99"/>
    <w:rPr>
      <w:szCs w:val="24"/>
    </w:rPr>
  </w:style>
  <w:style w:type="paragraph" w:customStyle="1" w:styleId="307">
    <w:name w:val="Normal_103"/>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308">
    <w:name w:val="xl43"/>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kern w:val="0"/>
      <w:sz w:val="18"/>
      <w:szCs w:val="18"/>
    </w:rPr>
  </w:style>
  <w:style w:type="paragraph" w:customStyle="1" w:styleId="309">
    <w:name w:val="表样式"/>
    <w:basedOn w:val="1"/>
    <w:qFormat/>
    <w:uiPriority w:val="99"/>
    <w:pPr>
      <w:tabs>
        <w:tab w:val="center" w:pos="4153"/>
        <w:tab w:val="right" w:pos="8306"/>
      </w:tabs>
      <w:autoSpaceDE w:val="0"/>
      <w:autoSpaceDN w:val="0"/>
      <w:adjustRightInd w:val="0"/>
      <w:spacing w:line="360" w:lineRule="auto"/>
      <w:ind w:left="181"/>
      <w:jc w:val="left"/>
    </w:pPr>
    <w:rPr>
      <w:rFonts w:ascii="宋体"/>
      <w:kern w:val="0"/>
    </w:rPr>
  </w:style>
  <w:style w:type="paragraph" w:customStyle="1" w:styleId="310">
    <w:name w:val="Normal_144"/>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311">
    <w:name w:val="Normal_28"/>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312">
    <w:name w:val="PMletterTextBullet"/>
    <w:basedOn w:val="313"/>
    <w:qFormat/>
    <w:uiPriority w:val="99"/>
    <w:pPr>
      <w:tabs>
        <w:tab w:val="left" w:pos="1800"/>
      </w:tabs>
      <w:ind w:left="1800" w:firstLine="288"/>
    </w:pPr>
  </w:style>
  <w:style w:type="paragraph" w:customStyle="1" w:styleId="313">
    <w:name w:val="PMletterText"/>
    <w:basedOn w:val="314"/>
    <w:qFormat/>
    <w:uiPriority w:val="99"/>
    <w:pPr>
      <w:spacing w:before="240"/>
      <w:ind w:left="720"/>
    </w:pPr>
  </w:style>
  <w:style w:type="paragraph" w:customStyle="1" w:styleId="314">
    <w:name w:val="PMstyle"/>
    <w:qFormat/>
    <w:uiPriority w:val="99"/>
    <w:rPr>
      <w:rFonts w:ascii="Tahoma" w:hAnsi="Tahoma" w:eastAsia="宋体" w:cs="Times New Roman"/>
      <w:sz w:val="22"/>
      <w:lang w:val="en-US" w:eastAsia="zh-CN" w:bidi="ar-SA"/>
    </w:rPr>
  </w:style>
  <w:style w:type="paragraph" w:customStyle="1" w:styleId="315">
    <w:name w:val="ds31"/>
    <w:basedOn w:val="1"/>
    <w:next w:val="1"/>
    <w:qFormat/>
    <w:uiPriority w:val="99"/>
    <w:pPr>
      <w:keepNext/>
      <w:keepLines/>
      <w:adjustRightInd w:val="0"/>
      <w:snapToGrid w:val="0"/>
      <w:spacing w:before="120" w:after="120"/>
      <w:outlineLvl w:val="4"/>
    </w:pPr>
    <w:rPr>
      <w:rFonts w:ascii="宋体" w:hAnsi="宋体"/>
      <w:b/>
      <w:bCs/>
      <w:color w:val="000000"/>
      <w:kern w:val="0"/>
      <w:sz w:val="28"/>
      <w:szCs w:val="28"/>
    </w:rPr>
  </w:style>
  <w:style w:type="paragraph" w:customStyle="1" w:styleId="316">
    <w:name w:val="表格文字"/>
    <w:basedOn w:val="1"/>
    <w:qFormat/>
    <w:uiPriority w:val="99"/>
    <w:pPr>
      <w:adjustRightInd w:val="0"/>
      <w:spacing w:line="420" w:lineRule="atLeast"/>
      <w:jc w:val="left"/>
    </w:pPr>
    <w:rPr>
      <w:kern w:val="0"/>
    </w:rPr>
  </w:style>
  <w:style w:type="paragraph" w:customStyle="1" w:styleId="317">
    <w:name w:val="Normal_77"/>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318">
    <w:name w:val="大标题下的概括说明文字"/>
    <w:basedOn w:val="1"/>
    <w:qFormat/>
    <w:uiPriority w:val="99"/>
    <w:pPr>
      <w:tabs>
        <w:tab w:val="left" w:pos="425"/>
        <w:tab w:val="left" w:pos="964"/>
      </w:tabs>
      <w:spacing w:line="360" w:lineRule="auto"/>
      <w:ind w:left="425" w:hanging="425"/>
    </w:pPr>
    <w:rPr>
      <w:rFonts w:ascii="宋体" w:hAnsi="宋体"/>
      <w:color w:val="000000"/>
      <w:sz w:val="28"/>
    </w:rPr>
  </w:style>
  <w:style w:type="paragraph" w:customStyle="1" w:styleId="319">
    <w:name w:val="Normal_41"/>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320">
    <w:name w:val="xl7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21">
    <w:name w:val="Normal_30"/>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322">
    <w:name w:val="Normal_26"/>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323">
    <w:name w:val="Normal_83"/>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324">
    <w:name w:val="彩色底纹 - 强调文字颜色 31"/>
    <w:basedOn w:val="1"/>
    <w:qFormat/>
    <w:uiPriority w:val="34"/>
    <w:pPr>
      <w:ind w:firstLine="420" w:firstLineChars="200"/>
    </w:pPr>
    <w:rPr>
      <w:rFonts w:ascii="Calibri" w:hAnsi="Calibri"/>
      <w:szCs w:val="22"/>
    </w:rPr>
  </w:style>
  <w:style w:type="paragraph" w:customStyle="1" w:styleId="325">
    <w:name w:val="xl47"/>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b/>
      <w:bCs/>
      <w:kern w:val="0"/>
      <w:sz w:val="18"/>
      <w:szCs w:val="18"/>
    </w:rPr>
  </w:style>
  <w:style w:type="paragraph" w:customStyle="1" w:styleId="326">
    <w:name w:val="xl45"/>
    <w:basedOn w:val="1"/>
    <w:qFormat/>
    <w:uiPriority w:val="99"/>
    <w:pPr>
      <w:widowControl/>
      <w:pBdr>
        <w:bottom w:val="single" w:color="auto" w:sz="4" w:space="0"/>
      </w:pBdr>
      <w:spacing w:before="100" w:beforeAutospacing="1" w:after="100" w:afterAutospacing="1"/>
      <w:jc w:val="center"/>
    </w:pPr>
    <w:rPr>
      <w:rFonts w:ascii="华文新魏" w:hAnsi="宋体" w:eastAsia="华文新魏"/>
      <w:color w:val="000000"/>
      <w:kern w:val="0"/>
      <w:sz w:val="40"/>
      <w:szCs w:val="40"/>
    </w:rPr>
  </w:style>
  <w:style w:type="paragraph" w:customStyle="1" w:styleId="327">
    <w:name w:val="Char3"/>
    <w:basedOn w:val="1"/>
    <w:qFormat/>
    <w:uiPriority w:val="99"/>
    <w:rPr>
      <w:rFonts w:ascii="Tahoma" w:hAnsi="Tahoma"/>
      <w:sz w:val="24"/>
    </w:rPr>
  </w:style>
  <w:style w:type="paragraph" w:customStyle="1" w:styleId="328">
    <w:name w:val="日期2"/>
    <w:basedOn w:val="1"/>
    <w:next w:val="1"/>
    <w:qFormat/>
    <w:uiPriority w:val="99"/>
    <w:pPr>
      <w:overflowPunct w:val="0"/>
      <w:autoSpaceDE w:val="0"/>
      <w:autoSpaceDN w:val="0"/>
      <w:adjustRightInd w:val="0"/>
    </w:pPr>
    <w:rPr>
      <w:rFonts w:ascii="宋体"/>
      <w:sz w:val="28"/>
    </w:rPr>
  </w:style>
  <w:style w:type="paragraph" w:customStyle="1" w:styleId="329">
    <w:name w:val="Normal_136"/>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330">
    <w:name w:val="图标题"/>
    <w:basedOn w:val="1"/>
    <w:qFormat/>
    <w:uiPriority w:val="99"/>
    <w:pPr>
      <w:numPr>
        <w:ilvl w:val="8"/>
        <w:numId w:val="2"/>
      </w:numPr>
      <w:tabs>
        <w:tab w:val="left" w:pos="1800"/>
        <w:tab w:val="left" w:pos="6480"/>
      </w:tabs>
      <w:adjustRightInd w:val="0"/>
      <w:spacing w:line="360" w:lineRule="atLeast"/>
      <w:jc w:val="left"/>
    </w:pPr>
    <w:rPr>
      <w:rFonts w:ascii="Calibri" w:hAnsi="Calibri"/>
      <w:kern w:val="0"/>
      <w:sz w:val="24"/>
      <w:szCs w:val="22"/>
    </w:rPr>
  </w:style>
  <w:style w:type="paragraph" w:customStyle="1" w:styleId="331">
    <w:name w:val="样式 标题 4 + 段前: 5 磅 段后: 5 磅 行距: 单倍行距"/>
    <w:basedOn w:val="5"/>
    <w:qFormat/>
    <w:uiPriority w:val="99"/>
    <w:pPr>
      <w:numPr>
        <w:ilvl w:val="3"/>
        <w:numId w:val="6"/>
      </w:numPr>
      <w:tabs>
        <w:tab w:val="left" w:pos="1680"/>
        <w:tab w:val="clear" w:pos="1984"/>
      </w:tabs>
      <w:adjustRightInd w:val="0"/>
      <w:spacing w:before="100" w:after="100" w:line="240" w:lineRule="auto"/>
      <w:jc w:val="left"/>
    </w:pPr>
    <w:rPr>
      <w:rFonts w:cs="宋体"/>
      <w:bCs/>
      <w:kern w:val="0"/>
      <w:szCs w:val="20"/>
    </w:rPr>
  </w:style>
  <w:style w:type="paragraph" w:customStyle="1" w:styleId="332">
    <w:name w:val="TOC 标题11"/>
    <w:basedOn w:val="3"/>
    <w:next w:val="1"/>
    <w:qFormat/>
    <w:uiPriority w:val="39"/>
    <w:pPr>
      <w:widowControl/>
      <w:spacing w:before="480" w:after="0" w:line="276" w:lineRule="auto"/>
      <w:jc w:val="left"/>
      <w:outlineLvl w:val="9"/>
    </w:pPr>
    <w:rPr>
      <w:rFonts w:ascii="等线 Light" w:hAnsi="等线 Light" w:eastAsia="等线 Light"/>
      <w:bCs/>
      <w:color w:val="2F5496"/>
      <w:kern w:val="0"/>
      <w:sz w:val="28"/>
      <w:szCs w:val="28"/>
    </w:rPr>
  </w:style>
  <w:style w:type="paragraph" w:customStyle="1" w:styleId="333">
    <w:name w:val="Normal_27"/>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334">
    <w:name w:val="Normal_137"/>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335">
    <w:name w:val="_Style 52"/>
    <w:basedOn w:val="1"/>
    <w:qFormat/>
    <w:uiPriority w:val="99"/>
    <w:pPr>
      <w:adjustRightInd w:val="0"/>
      <w:spacing w:line="360" w:lineRule="auto"/>
    </w:pPr>
    <w:rPr>
      <w:rFonts w:ascii="Calibri" w:hAnsi="Calibri"/>
      <w:szCs w:val="24"/>
    </w:rPr>
  </w:style>
  <w:style w:type="paragraph" w:customStyle="1" w:styleId="336">
    <w:name w:val="Normal_109"/>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337">
    <w:name w:val="Normal_116"/>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338">
    <w:name w:val="Normal_104"/>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339">
    <w:name w:val="样式 首行缩进:  0.85 厘米"/>
    <w:basedOn w:val="1"/>
    <w:qFormat/>
    <w:uiPriority w:val="99"/>
    <w:pPr>
      <w:adjustRightInd w:val="0"/>
      <w:snapToGrid w:val="0"/>
      <w:spacing w:line="360" w:lineRule="auto"/>
      <w:ind w:firstLine="475" w:firstLineChars="226"/>
    </w:pPr>
    <w:rPr>
      <w:rFonts w:cs="宋体"/>
    </w:rPr>
  </w:style>
  <w:style w:type="paragraph" w:customStyle="1" w:styleId="340">
    <w:name w:val="Normal_16"/>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341">
    <w:name w:val="Normal_47"/>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342">
    <w:name w:val="项目符号"/>
    <w:basedOn w:val="343"/>
    <w:qFormat/>
    <w:uiPriority w:val="99"/>
    <w:pPr>
      <w:ind w:firstLine="0" w:firstLineChars="0"/>
    </w:pPr>
  </w:style>
  <w:style w:type="paragraph" w:customStyle="1" w:styleId="343">
    <w:name w:val="文本正文"/>
    <w:basedOn w:val="1"/>
    <w:qFormat/>
    <w:uiPriority w:val="99"/>
    <w:pPr>
      <w:spacing w:line="360" w:lineRule="auto"/>
      <w:ind w:firstLine="200" w:firstLineChars="200"/>
    </w:pPr>
    <w:rPr>
      <w:rFonts w:ascii="Tahoma" w:hAnsi="Tahoma" w:cs="Arial"/>
      <w:sz w:val="24"/>
    </w:rPr>
  </w:style>
  <w:style w:type="paragraph" w:customStyle="1" w:styleId="344">
    <w:name w:val="Normal_17"/>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345">
    <w:name w:val="样式4"/>
    <w:basedOn w:val="1"/>
    <w:qFormat/>
    <w:uiPriority w:val="99"/>
    <w:pPr>
      <w:jc w:val="center"/>
      <w:outlineLvl w:val="0"/>
    </w:pPr>
    <w:rPr>
      <w:b/>
      <w:sz w:val="32"/>
    </w:rPr>
  </w:style>
  <w:style w:type="paragraph" w:customStyle="1" w:styleId="346">
    <w:name w:val="列出段落7"/>
    <w:basedOn w:val="1"/>
    <w:qFormat/>
    <w:uiPriority w:val="99"/>
    <w:pPr>
      <w:ind w:firstLine="420" w:firstLineChars="200"/>
    </w:pPr>
    <w:rPr>
      <w:szCs w:val="24"/>
    </w:rPr>
  </w:style>
  <w:style w:type="paragraph" w:customStyle="1" w:styleId="347">
    <w:name w:val="xl58"/>
    <w:basedOn w:val="1"/>
    <w:qFormat/>
    <w:uiPriority w:val="99"/>
    <w:pPr>
      <w:widowControl/>
      <w:pBdr>
        <w:top w:val="single" w:color="auto" w:sz="4" w:space="0"/>
        <w:left w:val="single" w:color="auto" w:sz="4" w:space="0"/>
        <w:bottom w:val="single" w:color="auto" w:sz="4" w:space="0"/>
        <w:right w:val="single" w:color="auto" w:sz="4" w:space="0"/>
      </w:pBdr>
      <w:shd w:val="clear" w:color="auto" w:fill="FF99CC"/>
      <w:spacing w:before="100" w:beforeAutospacing="1" w:after="100" w:afterAutospacing="1"/>
      <w:jc w:val="center"/>
    </w:pPr>
    <w:rPr>
      <w:rFonts w:ascii="宋体" w:hAnsi="宋体"/>
      <w:b/>
      <w:bCs/>
      <w:kern w:val="0"/>
      <w:sz w:val="18"/>
      <w:szCs w:val="18"/>
    </w:rPr>
  </w:style>
  <w:style w:type="paragraph" w:customStyle="1" w:styleId="348">
    <w:name w:val="Normal_74"/>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349">
    <w:name w:val="标题 41"/>
    <w:basedOn w:val="1"/>
    <w:qFormat/>
    <w:uiPriority w:val="1"/>
    <w:pPr>
      <w:ind w:left="2"/>
      <w:jc w:val="left"/>
      <w:outlineLvl w:val="4"/>
    </w:pPr>
    <w:rPr>
      <w:rFonts w:ascii="黑体" w:hAnsi="黑体" w:eastAsia="黑体"/>
      <w:b/>
      <w:bCs/>
      <w:kern w:val="0"/>
      <w:sz w:val="44"/>
      <w:szCs w:val="44"/>
      <w:lang w:eastAsia="en-US"/>
    </w:rPr>
  </w:style>
  <w:style w:type="paragraph" w:customStyle="1" w:styleId="350">
    <w:name w:val="Normal_98"/>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351">
    <w:name w:val="Normal_21"/>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352">
    <w:name w:val="Normal_34"/>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353">
    <w:name w:val="Normal_156"/>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354">
    <w:name w:val="样式 宋体 五号 两端对齐 行距: 单倍行距"/>
    <w:basedOn w:val="1"/>
    <w:qFormat/>
    <w:uiPriority w:val="99"/>
    <w:pPr>
      <w:adjustRightInd w:val="0"/>
    </w:pPr>
    <w:rPr>
      <w:rFonts w:ascii="宋体" w:hAnsi="宋体"/>
      <w:kern w:val="0"/>
    </w:rPr>
  </w:style>
  <w:style w:type="paragraph" w:customStyle="1" w:styleId="355">
    <w:name w:val="正文文本缩进1"/>
    <w:basedOn w:val="1"/>
    <w:qFormat/>
    <w:uiPriority w:val="99"/>
    <w:pPr>
      <w:spacing w:after="120"/>
      <w:ind w:left="420" w:leftChars="200"/>
    </w:pPr>
    <w:rPr>
      <w:szCs w:val="24"/>
    </w:rPr>
  </w:style>
  <w:style w:type="paragraph" w:customStyle="1" w:styleId="356">
    <w:name w:val="Char11"/>
    <w:basedOn w:val="1"/>
    <w:qFormat/>
    <w:uiPriority w:val="99"/>
    <w:rPr>
      <w:rFonts w:ascii="Tahoma" w:hAnsi="Tahoma"/>
      <w:sz w:val="24"/>
    </w:rPr>
  </w:style>
  <w:style w:type="paragraph" w:customStyle="1" w:styleId="357">
    <w:name w:val="Normal_6"/>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358">
    <w:name w:val="Normal_18"/>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359">
    <w:name w:val="Normal_135"/>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360">
    <w:name w:val="Normal_107"/>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361">
    <w:name w:val="Normal_29"/>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362">
    <w:name w:val="Normal_81"/>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363">
    <w:name w:val="1"/>
    <w:basedOn w:val="1"/>
    <w:next w:val="1"/>
    <w:qFormat/>
    <w:uiPriority w:val="99"/>
    <w:rPr>
      <w:szCs w:val="24"/>
    </w:rPr>
  </w:style>
  <w:style w:type="paragraph" w:customStyle="1" w:styleId="364">
    <w:name w:val="xl2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b/>
      <w:bCs/>
      <w:color w:val="000000"/>
      <w:kern w:val="0"/>
      <w:sz w:val="18"/>
      <w:szCs w:val="18"/>
    </w:rPr>
  </w:style>
  <w:style w:type="paragraph" w:customStyle="1" w:styleId="365">
    <w:name w:val="样式 标题 2 + Times New Roman 四号 非加粗 段前: 5 磅 段后: 0 磅 行距: 固定值 20..."/>
    <w:basedOn w:val="2"/>
    <w:qFormat/>
    <w:uiPriority w:val="99"/>
    <w:pPr>
      <w:adjustRightInd w:val="0"/>
      <w:spacing w:before="100" w:after="0" w:line="400" w:lineRule="exact"/>
      <w:jc w:val="left"/>
    </w:pPr>
    <w:rPr>
      <w:rFonts w:ascii="Times New Roman" w:hAnsi="Times New Roman" w:cs="宋体"/>
      <w:b w:val="0"/>
      <w:bCs w:val="0"/>
      <w:kern w:val="0"/>
      <w:sz w:val="28"/>
      <w:szCs w:val="20"/>
    </w:rPr>
  </w:style>
  <w:style w:type="paragraph" w:customStyle="1" w:styleId="366">
    <w:name w:val="Normal_38"/>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367">
    <w:name w:val="列表段落2"/>
    <w:basedOn w:val="1"/>
    <w:qFormat/>
    <w:uiPriority w:val="99"/>
    <w:pPr>
      <w:ind w:firstLine="420" w:firstLineChars="200"/>
    </w:pPr>
    <w:rPr>
      <w:rFonts w:ascii="Calibri" w:hAnsi="Calibri"/>
      <w:szCs w:val="22"/>
    </w:rPr>
  </w:style>
  <w:style w:type="paragraph" w:customStyle="1" w:styleId="368">
    <w:name w:val="Normal_42"/>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369">
    <w:name w:val="Normal_14"/>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370">
    <w:name w:val="Normal_146"/>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371">
    <w:name w:val="Normal_56"/>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372">
    <w:name w:val="Normal_122"/>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373">
    <w:name w:val="Body Text 21"/>
    <w:basedOn w:val="1"/>
    <w:qFormat/>
    <w:uiPriority w:val="99"/>
    <w:pPr>
      <w:adjustRightInd w:val="0"/>
      <w:spacing w:before="240" w:line="400" w:lineRule="exact"/>
      <w:ind w:firstLine="357"/>
    </w:pPr>
    <w:rPr>
      <w:sz w:val="28"/>
    </w:rPr>
  </w:style>
  <w:style w:type="paragraph" w:customStyle="1" w:styleId="374">
    <w:name w:val="Normal_10"/>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375">
    <w:name w:val="Normal_44"/>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376">
    <w:name w:val="Normal_46"/>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377">
    <w:name w:val="Normal_130"/>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378">
    <w:name w:val="Normal_133"/>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379">
    <w:name w:val="Normal_52"/>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380">
    <w:name w:val="XW正文"/>
    <w:basedOn w:val="22"/>
    <w:qFormat/>
    <w:uiPriority w:val="99"/>
    <w:pPr>
      <w:adjustRightInd w:val="0"/>
      <w:snapToGrid w:val="0"/>
      <w:spacing w:after="0" w:line="300" w:lineRule="auto"/>
      <w:ind w:left="0" w:leftChars="0" w:firstLine="520" w:firstLineChars="200"/>
      <w:jc w:val="left"/>
    </w:pPr>
    <w:rPr>
      <w:kern w:val="0"/>
      <w:szCs w:val="24"/>
    </w:rPr>
  </w:style>
  <w:style w:type="paragraph" w:customStyle="1" w:styleId="381">
    <w:name w:val="表格"/>
    <w:basedOn w:val="1"/>
    <w:qFormat/>
    <w:uiPriority w:val="99"/>
    <w:pPr>
      <w:spacing w:line="320" w:lineRule="exact"/>
      <w:jc w:val="center"/>
    </w:pPr>
    <w:rPr>
      <w:bCs/>
      <w:szCs w:val="21"/>
    </w:rPr>
  </w:style>
  <w:style w:type="paragraph" w:customStyle="1" w:styleId="382">
    <w:name w:val="Normal_55"/>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383">
    <w:name w:val="Normal_128"/>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384">
    <w:name w:val="Normal_139"/>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385">
    <w:name w:val="Normal_75"/>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386">
    <w:name w:val="黑列表"/>
    <w:basedOn w:val="1"/>
    <w:qFormat/>
    <w:uiPriority w:val="99"/>
    <w:pPr>
      <w:widowControl/>
      <w:tabs>
        <w:tab w:val="left" w:pos="482"/>
        <w:tab w:val="left" w:pos="960"/>
      </w:tabs>
      <w:adjustRightInd w:val="0"/>
      <w:spacing w:line="300" w:lineRule="auto"/>
      <w:ind w:left="840" w:hanging="240"/>
      <w:jc w:val="left"/>
    </w:pPr>
    <w:rPr>
      <w:kern w:val="0"/>
      <w:sz w:val="24"/>
    </w:rPr>
  </w:style>
  <w:style w:type="paragraph" w:customStyle="1" w:styleId="387">
    <w:name w:val="样式3"/>
    <w:basedOn w:val="1"/>
    <w:qFormat/>
    <w:uiPriority w:val="99"/>
    <w:pPr>
      <w:spacing w:line="300" w:lineRule="auto"/>
    </w:pPr>
    <w:rPr>
      <w:rFonts w:ascii="宋体"/>
      <w:sz w:val="24"/>
    </w:rPr>
  </w:style>
  <w:style w:type="paragraph" w:customStyle="1" w:styleId="388">
    <w:name w:val="Normal_148"/>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389">
    <w:name w:val="正文行"/>
    <w:basedOn w:val="1"/>
    <w:qFormat/>
    <w:uiPriority w:val="99"/>
    <w:pPr>
      <w:spacing w:line="360" w:lineRule="auto"/>
    </w:pPr>
    <w:rPr>
      <w:rFonts w:ascii="Tahoma" w:hAnsi="Tahoma"/>
      <w:sz w:val="24"/>
      <w:szCs w:val="24"/>
    </w:rPr>
  </w:style>
  <w:style w:type="paragraph" w:customStyle="1" w:styleId="390">
    <w:name w:val="Normal_53"/>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391">
    <w:name w:val="样式 标题 1 + 黑体 三号 非加粗 居中 段前: 6 磅 段后: 6 磅 行距: 固定值 20 磅"/>
    <w:basedOn w:val="3"/>
    <w:qFormat/>
    <w:uiPriority w:val="99"/>
    <w:pPr>
      <w:spacing w:before="120" w:after="120" w:line="400" w:lineRule="exact"/>
    </w:pPr>
    <w:rPr>
      <w:rFonts w:ascii="黑体" w:hAnsi="黑体" w:eastAsia="黑体" w:cs="宋体"/>
      <w:b w:val="0"/>
      <w:sz w:val="32"/>
    </w:rPr>
  </w:style>
  <w:style w:type="paragraph" w:customStyle="1" w:styleId="392">
    <w:name w:val="样式 标题 2 + 宋体 五号 行距: 单倍行距"/>
    <w:basedOn w:val="2"/>
    <w:qFormat/>
    <w:uiPriority w:val="99"/>
    <w:pPr>
      <w:adjustRightInd w:val="0"/>
      <w:spacing w:line="240" w:lineRule="auto"/>
      <w:jc w:val="left"/>
    </w:pPr>
    <w:rPr>
      <w:rFonts w:ascii="宋体" w:hAnsi="宋体" w:eastAsia="宋体"/>
      <w:kern w:val="0"/>
      <w:sz w:val="21"/>
      <w:szCs w:val="20"/>
    </w:rPr>
  </w:style>
  <w:style w:type="paragraph" w:customStyle="1" w:styleId="393">
    <w:name w:val="WW-日期"/>
    <w:basedOn w:val="1"/>
    <w:next w:val="1"/>
    <w:qFormat/>
    <w:uiPriority w:val="99"/>
    <w:pPr>
      <w:suppressAutoHyphens/>
      <w:ind w:left="100"/>
    </w:pPr>
    <w:rPr>
      <w:rFonts w:ascii="仿宋_GB2312" w:hAnsi="仿宋_GB2312" w:eastAsia="仿宋_GB2312"/>
      <w:color w:val="000000"/>
      <w:sz w:val="24"/>
      <w:szCs w:val="24"/>
      <w:lang w:eastAsia="ar-SA"/>
    </w:rPr>
  </w:style>
  <w:style w:type="paragraph" w:customStyle="1" w:styleId="394">
    <w:name w:val="Normal_138"/>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395">
    <w:name w:val="Normal_59"/>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396">
    <w:name w:val="Normal_48"/>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397">
    <w:name w:val="Normal_91"/>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398">
    <w:name w:val="Normal_153"/>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399">
    <w:name w:val="Normal_19"/>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400">
    <w:name w:val="xl38"/>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olor w:val="000000"/>
      <w:kern w:val="0"/>
      <w:sz w:val="18"/>
      <w:szCs w:val="18"/>
    </w:rPr>
  </w:style>
  <w:style w:type="paragraph" w:customStyle="1" w:styleId="401">
    <w:name w:val="GP正文(首行缩进)"/>
    <w:basedOn w:val="1"/>
    <w:qFormat/>
    <w:uiPriority w:val="99"/>
    <w:pPr>
      <w:ind w:firstLine="482"/>
    </w:pPr>
    <w:rPr>
      <w:rFonts w:ascii="宋体" w:hAnsi="宋体"/>
      <w:kern w:val="0"/>
      <w:sz w:val="24"/>
      <w:szCs w:val="24"/>
    </w:rPr>
  </w:style>
  <w:style w:type="paragraph" w:customStyle="1" w:styleId="402">
    <w:name w:val="Normal_82"/>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403">
    <w:name w:val="Normal_35"/>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404">
    <w:name w:val="Normal_157"/>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405">
    <w:name w:val="Normal_112"/>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406">
    <w:name w:val="Normal_84"/>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407">
    <w:name w:val="Normal_32"/>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408">
    <w:name w:val="Normal_31"/>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409">
    <w:name w:val="正文 首行缩进:  2 字符"/>
    <w:basedOn w:val="1"/>
    <w:qFormat/>
    <w:uiPriority w:val="99"/>
    <w:pPr>
      <w:spacing w:line="360" w:lineRule="auto"/>
      <w:ind w:firstLine="480"/>
    </w:pPr>
    <w:rPr>
      <w:kern w:val="0"/>
      <w:sz w:val="20"/>
    </w:rPr>
  </w:style>
  <w:style w:type="paragraph" w:customStyle="1" w:styleId="410">
    <w:name w:val="Normal_57"/>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411">
    <w:name w:val="样式 宋体 五号 两端对齐 行距: 单倍行距1"/>
    <w:basedOn w:val="1"/>
    <w:qFormat/>
    <w:uiPriority w:val="99"/>
    <w:pPr>
      <w:adjustRightInd w:val="0"/>
    </w:pPr>
    <w:rPr>
      <w:rFonts w:ascii="宋体" w:hAnsi="宋体" w:cs="宋体"/>
      <w:kern w:val="0"/>
    </w:rPr>
  </w:style>
  <w:style w:type="paragraph" w:customStyle="1" w:styleId="412">
    <w:name w:val="Normal_54"/>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413">
    <w:name w:val="Normal_162"/>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414">
    <w:name w:val="xl50"/>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b/>
      <w:bCs/>
      <w:color w:val="000000"/>
      <w:kern w:val="0"/>
      <w:sz w:val="18"/>
      <w:szCs w:val="18"/>
    </w:rPr>
  </w:style>
  <w:style w:type="paragraph" w:customStyle="1" w:styleId="415">
    <w:name w:val="Normal_76"/>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416">
    <w:name w:val="Normal_73"/>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417">
    <w:name w:val="正文内容"/>
    <w:basedOn w:val="1"/>
    <w:qFormat/>
    <w:uiPriority w:val="99"/>
    <w:pPr>
      <w:spacing w:line="360" w:lineRule="auto"/>
      <w:ind w:firstLine="480" w:firstLineChars="200"/>
    </w:pPr>
    <w:rPr>
      <w:rFonts w:ascii="Arial" w:hAnsi="Arial"/>
      <w:sz w:val="24"/>
      <w:szCs w:val="24"/>
    </w:rPr>
  </w:style>
  <w:style w:type="paragraph" w:customStyle="1" w:styleId="418">
    <w:name w:val="Normal_159"/>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419">
    <w:name w:val="xl3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b/>
      <w:bCs/>
      <w:kern w:val="0"/>
      <w:sz w:val="18"/>
      <w:szCs w:val="18"/>
    </w:rPr>
  </w:style>
  <w:style w:type="paragraph" w:customStyle="1" w:styleId="420">
    <w:name w:val="Normal_78"/>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421">
    <w:name w:val="Normal_65"/>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422">
    <w:name w:val="Normal_106"/>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423">
    <w:name w:val="xl3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color w:val="000000"/>
      <w:kern w:val="0"/>
      <w:sz w:val="18"/>
      <w:szCs w:val="18"/>
    </w:rPr>
  </w:style>
  <w:style w:type="paragraph" w:customStyle="1" w:styleId="424">
    <w:name w:val="Normal_132"/>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425">
    <w:name w:val="Normal_24"/>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426">
    <w:name w:val="3"/>
    <w:basedOn w:val="1"/>
    <w:qFormat/>
    <w:uiPriority w:val="99"/>
    <w:rPr>
      <w:rFonts w:ascii="宋体"/>
      <w:sz w:val="24"/>
    </w:rPr>
  </w:style>
  <w:style w:type="paragraph" w:customStyle="1" w:styleId="427">
    <w:name w:val="Body Text Indent 21"/>
    <w:basedOn w:val="1"/>
    <w:qFormat/>
    <w:uiPriority w:val="99"/>
    <w:pPr>
      <w:adjustRightInd w:val="0"/>
      <w:ind w:left="720" w:hanging="720"/>
    </w:pPr>
    <w:rPr>
      <w:b/>
      <w:sz w:val="28"/>
    </w:rPr>
  </w:style>
  <w:style w:type="paragraph" w:customStyle="1" w:styleId="428">
    <w:name w:val="Normal_126"/>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429">
    <w:name w:val="Normal_64"/>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430">
    <w:name w:val="Normal_95"/>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431">
    <w:name w:val="6'"/>
    <w:basedOn w:val="1"/>
    <w:qFormat/>
    <w:uiPriority w:val="99"/>
    <w:pPr>
      <w:autoSpaceDE w:val="0"/>
      <w:autoSpaceDN w:val="0"/>
      <w:adjustRightInd w:val="0"/>
      <w:snapToGrid w:val="0"/>
      <w:spacing w:line="320" w:lineRule="exact"/>
      <w:jc w:val="center"/>
    </w:pPr>
    <w:rPr>
      <w:spacing w:val="20"/>
      <w:kern w:val="28"/>
    </w:rPr>
  </w:style>
  <w:style w:type="paragraph" w:customStyle="1" w:styleId="432">
    <w:name w:val="Normal_113"/>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433">
    <w:name w:val="Normal_12"/>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434">
    <w:name w:val="p17"/>
    <w:basedOn w:val="1"/>
    <w:qFormat/>
    <w:uiPriority w:val="99"/>
    <w:pPr>
      <w:widowControl/>
    </w:pPr>
    <w:rPr>
      <w:kern w:val="0"/>
      <w:szCs w:val="21"/>
    </w:rPr>
  </w:style>
  <w:style w:type="paragraph" w:customStyle="1" w:styleId="435">
    <w:name w:val="Normal_5"/>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436">
    <w:name w:val="Normal_114"/>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437">
    <w:name w:val="PMtextBullet"/>
    <w:basedOn w:val="314"/>
    <w:qFormat/>
    <w:uiPriority w:val="99"/>
    <w:pPr>
      <w:tabs>
        <w:tab w:val="left" w:pos="2520"/>
      </w:tabs>
      <w:spacing w:after="200"/>
      <w:ind w:left="2520" w:hanging="709"/>
    </w:pPr>
  </w:style>
  <w:style w:type="paragraph" w:customStyle="1" w:styleId="438">
    <w:name w:val="Normal_7"/>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439">
    <w:name w:val="xl5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b/>
      <w:bCs/>
      <w:kern w:val="0"/>
      <w:sz w:val="18"/>
      <w:szCs w:val="18"/>
    </w:rPr>
  </w:style>
  <w:style w:type="paragraph" w:customStyle="1" w:styleId="440">
    <w:name w:val="Normal_50"/>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441">
    <w:name w:val="Normal_152"/>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442">
    <w:name w:val="xl24"/>
    <w:basedOn w:val="1"/>
    <w:qFormat/>
    <w:uiPriority w:val="99"/>
    <w:pPr>
      <w:widowControl/>
      <w:spacing w:before="100" w:after="100"/>
      <w:jc w:val="center"/>
    </w:pPr>
    <w:rPr>
      <w:rFonts w:ascii="宋体" w:hAnsi="宋体"/>
      <w:kern w:val="0"/>
      <w:sz w:val="24"/>
    </w:rPr>
  </w:style>
  <w:style w:type="paragraph" w:customStyle="1" w:styleId="443">
    <w:name w:val="Normal_151"/>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444">
    <w:name w:val="Normal_160"/>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445">
    <w:name w:val="小标题"/>
    <w:basedOn w:val="20"/>
    <w:qFormat/>
    <w:uiPriority w:val="99"/>
    <w:pPr>
      <w:ind w:left="100" w:leftChars="100"/>
    </w:pPr>
    <w:rPr>
      <w:rFonts w:ascii="Tahoma" w:hAnsi="Tahoma" w:eastAsia="仿宋_GB2312" w:cs="Century"/>
      <w:b/>
      <w:bCs/>
      <w:szCs w:val="24"/>
    </w:rPr>
  </w:style>
  <w:style w:type="paragraph" w:customStyle="1" w:styleId="446">
    <w:name w:val="Normal_154"/>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447">
    <w:name w:val="Normal_105"/>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448">
    <w:name w:val="彩色底纹 - 着色 11"/>
    <w:semiHidden/>
    <w:qFormat/>
    <w:uiPriority w:val="99"/>
    <w:rPr>
      <w:rFonts w:ascii="Times New Roman" w:hAnsi="Times New Roman" w:eastAsia="宋体" w:cs="Times New Roman"/>
      <w:kern w:val="2"/>
      <w:sz w:val="21"/>
      <w:szCs w:val="24"/>
      <w:lang w:val="en-US" w:eastAsia="zh-CN" w:bidi="ar-SA"/>
    </w:rPr>
  </w:style>
  <w:style w:type="paragraph" w:customStyle="1" w:styleId="449">
    <w:name w:val="xl41"/>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color w:val="000000"/>
      <w:kern w:val="0"/>
      <w:sz w:val="18"/>
      <w:szCs w:val="18"/>
    </w:rPr>
  </w:style>
  <w:style w:type="paragraph" w:customStyle="1" w:styleId="450">
    <w:name w:val="Normal_101"/>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451">
    <w:name w:val="修订2"/>
    <w:semiHidden/>
    <w:qFormat/>
    <w:uiPriority w:val="99"/>
    <w:rPr>
      <w:rFonts w:ascii="等线" w:hAnsi="等线" w:eastAsia="等线" w:cs="Times New Roman"/>
      <w:kern w:val="2"/>
      <w:sz w:val="21"/>
      <w:szCs w:val="22"/>
      <w:lang w:val="en-US" w:eastAsia="zh-CN" w:bidi="ar-SA"/>
    </w:rPr>
  </w:style>
  <w:style w:type="paragraph" w:customStyle="1" w:styleId="452">
    <w:name w:val="g3"/>
    <w:basedOn w:val="1"/>
    <w:qFormat/>
    <w:uiPriority w:val="99"/>
    <w:pPr>
      <w:widowControl/>
      <w:spacing w:before="100" w:beforeAutospacing="1" w:after="100" w:afterAutospacing="1" w:line="675" w:lineRule="atLeast"/>
      <w:jc w:val="left"/>
    </w:pPr>
    <w:rPr>
      <w:rFonts w:ascii="华文中宋" w:hAnsi="华文中宋" w:eastAsia="华文中宋" w:cs="宋体"/>
      <w:kern w:val="0"/>
      <w:sz w:val="32"/>
      <w:szCs w:val="32"/>
    </w:rPr>
  </w:style>
  <w:style w:type="paragraph" w:customStyle="1" w:styleId="453">
    <w:name w:val="xl37"/>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color w:val="000000"/>
      <w:kern w:val="0"/>
      <w:sz w:val="18"/>
      <w:szCs w:val="18"/>
    </w:rPr>
  </w:style>
  <w:style w:type="paragraph" w:customStyle="1" w:styleId="454">
    <w:name w:val="Normal_119"/>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455">
    <w:name w:val="Normal_125"/>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456">
    <w:name w:val="xl3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olor w:val="000000"/>
      <w:kern w:val="0"/>
      <w:sz w:val="18"/>
      <w:szCs w:val="18"/>
    </w:rPr>
  </w:style>
  <w:style w:type="paragraph" w:customStyle="1" w:styleId="457">
    <w:name w:val="xl5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18"/>
      <w:szCs w:val="18"/>
    </w:rPr>
  </w:style>
  <w:style w:type="paragraph" w:customStyle="1" w:styleId="458">
    <w:name w:val="Normal_99"/>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459">
    <w:name w:val="font9"/>
    <w:basedOn w:val="1"/>
    <w:qFormat/>
    <w:uiPriority w:val="99"/>
    <w:pPr>
      <w:widowControl/>
      <w:spacing w:before="100" w:beforeAutospacing="1" w:after="100" w:afterAutospacing="1"/>
      <w:jc w:val="left"/>
    </w:pPr>
    <w:rPr>
      <w:rFonts w:ascii="宋体" w:hAnsi="宋体"/>
      <w:color w:val="000000"/>
      <w:kern w:val="0"/>
      <w:sz w:val="18"/>
      <w:szCs w:val="18"/>
    </w:rPr>
  </w:style>
  <w:style w:type="paragraph" w:customStyle="1" w:styleId="460">
    <w:name w:val="小标题下列表"/>
    <w:basedOn w:val="20"/>
    <w:qFormat/>
    <w:uiPriority w:val="99"/>
    <w:pPr>
      <w:numPr>
        <w:ilvl w:val="1"/>
        <w:numId w:val="7"/>
      </w:numPr>
      <w:tabs>
        <w:tab w:val="left" w:pos="420"/>
        <w:tab w:val="left" w:pos="840"/>
      </w:tabs>
    </w:pPr>
    <w:rPr>
      <w:rFonts w:ascii="Tahoma" w:hAnsi="Tahoma" w:eastAsia="仿宋_GB2312"/>
      <w:szCs w:val="24"/>
    </w:rPr>
  </w:style>
  <w:style w:type="paragraph" w:customStyle="1" w:styleId="461">
    <w:name w:val="Normal_111"/>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462">
    <w:name w:val="Normal_43"/>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463">
    <w:name w:val="Normal_141"/>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464">
    <w:name w:val="xl5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olor w:val="000000"/>
      <w:kern w:val="0"/>
      <w:sz w:val="18"/>
      <w:szCs w:val="18"/>
    </w:rPr>
  </w:style>
  <w:style w:type="paragraph" w:customStyle="1" w:styleId="465">
    <w:name w:val="xl3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bCs/>
      <w:kern w:val="0"/>
      <w:sz w:val="18"/>
      <w:szCs w:val="18"/>
    </w:rPr>
  </w:style>
  <w:style w:type="paragraph" w:customStyle="1" w:styleId="466">
    <w:name w:val="正文段落内容"/>
    <w:basedOn w:val="1"/>
    <w:qFormat/>
    <w:uiPriority w:val="99"/>
    <w:pPr>
      <w:ind w:firstLine="425" w:firstLineChars="177"/>
    </w:pPr>
    <w:rPr>
      <w:rFonts w:ascii="宋体" w:hAnsi="宋体"/>
      <w:kern w:val="0"/>
      <w:sz w:val="24"/>
      <w:szCs w:val="24"/>
      <w:lang w:bidi="en-US"/>
    </w:rPr>
  </w:style>
  <w:style w:type="paragraph" w:customStyle="1" w:styleId="467">
    <w:name w:val="Normal_51"/>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468">
    <w:name w:val="Normal_131"/>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469">
    <w:name w:val="Normal_96"/>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470">
    <w:name w:val="样式 标题 1 + 四号 居中 段前: 12 磅 段后: 12 磅 行距: 单倍行距"/>
    <w:basedOn w:val="3"/>
    <w:qFormat/>
    <w:uiPriority w:val="99"/>
    <w:pPr>
      <w:adjustRightInd w:val="0"/>
      <w:spacing w:before="240" w:after="240" w:line="240" w:lineRule="auto"/>
    </w:pPr>
    <w:rPr>
      <w:bCs/>
      <w:sz w:val="28"/>
    </w:rPr>
  </w:style>
  <w:style w:type="paragraph" w:customStyle="1" w:styleId="471">
    <w:name w:val="Normal_143"/>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472">
    <w:name w:val="样式 样式 样式 标题 2 + 宋体 五号 非加粗 黑色 + 段前: 6 磅 段后: 0 磅 行距: 单倍行距 + 段前: 12..."/>
    <w:basedOn w:val="191"/>
    <w:qFormat/>
    <w:uiPriority w:val="99"/>
    <w:pPr>
      <w:spacing w:before="240"/>
    </w:pPr>
  </w:style>
  <w:style w:type="paragraph" w:customStyle="1" w:styleId="473">
    <w:name w:val="xl3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olor w:val="000000"/>
      <w:kern w:val="0"/>
      <w:sz w:val="18"/>
      <w:szCs w:val="18"/>
    </w:rPr>
  </w:style>
  <w:style w:type="paragraph" w:customStyle="1" w:styleId="474">
    <w:name w:val="彩色列表 - 着色 11"/>
    <w:basedOn w:val="1"/>
    <w:qFormat/>
    <w:uiPriority w:val="99"/>
    <w:pPr>
      <w:ind w:firstLine="420" w:firstLineChars="200"/>
    </w:pPr>
    <w:rPr>
      <w:szCs w:val="24"/>
    </w:rPr>
  </w:style>
  <w:style w:type="paragraph" w:customStyle="1" w:styleId="475">
    <w:name w:val="Char21"/>
    <w:basedOn w:val="1"/>
    <w:qFormat/>
    <w:uiPriority w:val="99"/>
    <w:pPr>
      <w:snapToGrid w:val="0"/>
      <w:spacing w:line="360" w:lineRule="auto"/>
      <w:ind w:firstLine="200" w:firstLineChars="200"/>
    </w:pPr>
    <w:rPr>
      <w:rFonts w:eastAsia="仿宋_GB2312"/>
      <w:sz w:val="24"/>
      <w:szCs w:val="24"/>
    </w:rPr>
  </w:style>
  <w:style w:type="paragraph" w:customStyle="1" w:styleId="476">
    <w:name w:val="xl5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olor w:val="333399"/>
      <w:kern w:val="0"/>
      <w:sz w:val="18"/>
      <w:szCs w:val="18"/>
    </w:rPr>
  </w:style>
  <w:style w:type="paragraph" w:customStyle="1" w:styleId="477">
    <w:name w:val="Normal_68"/>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478">
    <w:name w:val="xl3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color w:val="000000"/>
      <w:kern w:val="0"/>
      <w:sz w:val="18"/>
      <w:szCs w:val="18"/>
    </w:rPr>
  </w:style>
  <w:style w:type="paragraph" w:customStyle="1" w:styleId="479">
    <w:name w:val="Normal_161"/>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480">
    <w:name w:val="xl35"/>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b/>
      <w:bCs/>
      <w:color w:val="000000"/>
      <w:kern w:val="0"/>
      <w:sz w:val="18"/>
      <w:szCs w:val="18"/>
    </w:rPr>
  </w:style>
  <w:style w:type="paragraph" w:customStyle="1" w:styleId="481">
    <w:name w:val="_Style 1"/>
    <w:basedOn w:val="1"/>
    <w:qFormat/>
    <w:uiPriority w:val="99"/>
    <w:pPr>
      <w:ind w:firstLine="420" w:firstLineChars="200"/>
    </w:pPr>
    <w:rPr>
      <w:szCs w:val="24"/>
    </w:rPr>
  </w:style>
  <w:style w:type="paragraph" w:customStyle="1" w:styleId="482">
    <w:name w:val="Normal_134"/>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483">
    <w:name w:val="Normal_70"/>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484">
    <w:name w:val="Normal_85"/>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485">
    <w:name w:val="Normal_155"/>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486">
    <w:name w:val="Char Char Char Char"/>
    <w:basedOn w:val="23"/>
    <w:next w:val="28"/>
    <w:qFormat/>
    <w:uiPriority w:val="99"/>
    <w:pPr>
      <w:shd w:val="clear" w:color="auto" w:fill="000080"/>
      <w:spacing w:line="436" w:lineRule="exact"/>
      <w:ind w:left="357" w:firstLine="0"/>
      <w:jc w:val="left"/>
      <w:outlineLvl w:val="3"/>
    </w:pPr>
    <w:rPr>
      <w:rFonts w:ascii="Tahoma" w:hAnsi="Tahoma"/>
      <w:b/>
      <w:sz w:val="24"/>
      <w:szCs w:val="24"/>
    </w:rPr>
  </w:style>
  <w:style w:type="paragraph" w:customStyle="1" w:styleId="487">
    <w:name w:val="Normal_93"/>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488">
    <w:name w:val="Normal_150"/>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489">
    <w:name w:val="Normal_58"/>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490">
    <w:name w:val="2"/>
    <w:basedOn w:val="1"/>
    <w:next w:val="22"/>
    <w:qFormat/>
    <w:uiPriority w:val="99"/>
    <w:pPr>
      <w:ind w:left="432"/>
    </w:pPr>
  </w:style>
  <w:style w:type="paragraph" w:customStyle="1" w:styleId="491">
    <w:name w:val="修订3"/>
    <w:semiHidden/>
    <w:qFormat/>
    <w:uiPriority w:val="99"/>
    <w:rPr>
      <w:rFonts w:ascii="等线" w:hAnsi="等线" w:eastAsia="等线" w:cs="Times New Roman"/>
      <w:kern w:val="2"/>
      <w:sz w:val="21"/>
      <w:szCs w:val="22"/>
      <w:lang w:val="en-US" w:eastAsia="zh-CN" w:bidi="ar-SA"/>
    </w:rPr>
  </w:style>
  <w:style w:type="paragraph" w:customStyle="1" w:styleId="492">
    <w:name w:val="Normal_86"/>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493">
    <w:name w:val="Normal_33"/>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494">
    <w:name w:val="Table Paragraph"/>
    <w:basedOn w:val="1"/>
    <w:qFormat/>
    <w:uiPriority w:val="1"/>
    <w:pPr>
      <w:jc w:val="left"/>
    </w:pPr>
    <w:rPr>
      <w:rFonts w:ascii="等线" w:hAnsi="等线" w:eastAsia="等线"/>
      <w:kern w:val="0"/>
      <w:sz w:val="22"/>
      <w:szCs w:val="22"/>
      <w:lang w:eastAsia="en-US"/>
    </w:rPr>
  </w:style>
  <w:style w:type="paragraph" w:customStyle="1" w:styleId="495">
    <w:name w:val="Normal_1"/>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496">
    <w:name w:val="图文"/>
    <w:basedOn w:val="1"/>
    <w:qFormat/>
    <w:uiPriority w:val="99"/>
    <w:pPr>
      <w:adjustRightInd w:val="0"/>
      <w:snapToGrid w:val="0"/>
      <w:spacing w:after="50" w:line="360" w:lineRule="auto"/>
    </w:pPr>
    <w:rPr>
      <w:sz w:val="24"/>
      <w:szCs w:val="24"/>
    </w:rPr>
  </w:style>
  <w:style w:type="paragraph" w:customStyle="1" w:styleId="497">
    <w:name w:val="Normal_118"/>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498">
    <w:name w:val="样式 宋体 五号 行距: 单倍行距"/>
    <w:basedOn w:val="1"/>
    <w:qFormat/>
    <w:uiPriority w:val="99"/>
    <w:pPr>
      <w:adjustRightInd w:val="0"/>
      <w:jc w:val="left"/>
    </w:pPr>
    <w:rPr>
      <w:rFonts w:ascii="宋体" w:hAnsi="宋体"/>
      <w:kern w:val="0"/>
    </w:rPr>
  </w:style>
  <w:style w:type="paragraph" w:customStyle="1" w:styleId="499">
    <w:name w:val="Normal_11"/>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500">
    <w:name w:val="Normal_0"/>
    <w:qFormat/>
    <w:uiPriority w:val="99"/>
    <w:pPr>
      <w:spacing w:before="120" w:after="240"/>
      <w:jc w:val="both"/>
    </w:pPr>
    <w:rPr>
      <w:rFonts w:ascii="Calibri" w:hAnsi="Calibri" w:eastAsia="Calibri" w:cs="Times New Roman"/>
      <w:sz w:val="22"/>
      <w:szCs w:val="22"/>
      <w:lang w:val="ru-RU" w:eastAsia="en-US" w:bidi="ar-SA"/>
    </w:rPr>
  </w:style>
  <w:style w:type="paragraph" w:customStyle="1" w:styleId="501">
    <w:name w:val="Normal_66"/>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502">
    <w:name w:val="Char2"/>
    <w:basedOn w:val="1"/>
    <w:qFormat/>
    <w:uiPriority w:val="99"/>
    <w:rPr>
      <w:szCs w:val="24"/>
    </w:rPr>
  </w:style>
  <w:style w:type="paragraph" w:customStyle="1" w:styleId="503">
    <w:name w:val="标题单位"/>
    <w:basedOn w:val="1"/>
    <w:next w:val="1"/>
    <w:qFormat/>
    <w:uiPriority w:val="99"/>
    <w:pPr>
      <w:spacing w:line="360" w:lineRule="auto"/>
      <w:jc w:val="center"/>
    </w:pPr>
    <w:rPr>
      <w:rFonts w:ascii="Tahoma" w:hAnsi="Tahoma" w:eastAsia="黑体"/>
      <w:sz w:val="32"/>
      <w:szCs w:val="32"/>
    </w:rPr>
  </w:style>
  <w:style w:type="paragraph" w:customStyle="1" w:styleId="504">
    <w:name w:val="g11"/>
    <w:basedOn w:val="1"/>
    <w:qFormat/>
    <w:uiPriority w:val="99"/>
    <w:pPr>
      <w:widowControl/>
      <w:spacing w:before="100" w:beforeAutospacing="1" w:after="100" w:afterAutospacing="1" w:line="900" w:lineRule="atLeast"/>
      <w:jc w:val="left"/>
    </w:pPr>
    <w:rPr>
      <w:rFonts w:ascii="华文中宋" w:hAnsi="华文中宋" w:eastAsia="华文中宋" w:cs="宋体"/>
      <w:b/>
      <w:bCs/>
      <w:color w:val="FF0000"/>
      <w:kern w:val="0"/>
      <w:sz w:val="60"/>
      <w:szCs w:val="60"/>
    </w:rPr>
  </w:style>
  <w:style w:type="paragraph" w:customStyle="1" w:styleId="505">
    <w:name w:val="xl4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kern w:val="0"/>
      <w:sz w:val="18"/>
      <w:szCs w:val="18"/>
    </w:rPr>
  </w:style>
  <w:style w:type="paragraph" w:customStyle="1" w:styleId="506">
    <w:name w:val="金安桥正文"/>
    <w:basedOn w:val="22"/>
    <w:qFormat/>
    <w:uiPriority w:val="99"/>
    <w:pPr>
      <w:adjustRightInd w:val="0"/>
      <w:spacing w:after="0" w:line="300" w:lineRule="auto"/>
      <w:ind w:left="0" w:leftChars="0" w:firstLine="200" w:firstLineChars="200"/>
      <w:jc w:val="left"/>
    </w:pPr>
    <w:rPr>
      <w:rFonts w:ascii="Tahoma" w:hAnsi="Tahoma"/>
      <w:kern w:val="0"/>
      <w:sz w:val="24"/>
    </w:rPr>
  </w:style>
  <w:style w:type="paragraph" w:customStyle="1" w:styleId="507">
    <w:name w:val="Normal_63"/>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508">
    <w:name w:val="xl5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olor w:val="000000"/>
      <w:kern w:val="0"/>
      <w:sz w:val="18"/>
      <w:szCs w:val="18"/>
    </w:rPr>
  </w:style>
  <w:style w:type="paragraph" w:customStyle="1" w:styleId="509">
    <w:name w:val="Normal_22"/>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510">
    <w:name w:val="Normal_92"/>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511">
    <w:name w:val="Normal_94"/>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512">
    <w:name w:val="样式 样式 标题 4 + 段前: 5 磅 段后: 5 磅 行距: 单倍行距 + 五号"/>
    <w:basedOn w:val="331"/>
    <w:qFormat/>
    <w:uiPriority w:val="99"/>
    <w:pPr>
      <w:numPr>
        <w:ilvl w:val="0"/>
        <w:numId w:val="0"/>
      </w:numPr>
      <w:tabs>
        <w:tab w:val="left" w:pos="425"/>
        <w:tab w:val="left" w:pos="1080"/>
      </w:tabs>
      <w:ind w:left="425" w:hanging="425"/>
    </w:pPr>
    <w:rPr>
      <w:sz w:val="21"/>
    </w:rPr>
  </w:style>
  <w:style w:type="paragraph" w:customStyle="1" w:styleId="513">
    <w:name w:val="Normal_60"/>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514">
    <w:name w:val="Normal_89"/>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515">
    <w:name w:val="Default Text"/>
    <w:basedOn w:val="1"/>
    <w:qFormat/>
    <w:uiPriority w:val="99"/>
    <w:pPr>
      <w:widowControl/>
      <w:overflowPunct w:val="0"/>
      <w:autoSpaceDE w:val="0"/>
      <w:autoSpaceDN w:val="0"/>
      <w:adjustRightInd w:val="0"/>
      <w:jc w:val="left"/>
    </w:pPr>
    <w:rPr>
      <w:rFonts w:eastAsia="仿宋_GB2312"/>
      <w:kern w:val="0"/>
      <w:sz w:val="24"/>
      <w:lang w:val="en-GB"/>
    </w:rPr>
  </w:style>
  <w:style w:type="paragraph" w:customStyle="1" w:styleId="516">
    <w:name w:val="Normal_36"/>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517">
    <w:name w:val="Normal_102"/>
    <w:qFormat/>
    <w:uiPriority w:val="99"/>
    <w:pPr>
      <w:spacing w:before="120" w:after="240"/>
      <w:jc w:val="both"/>
    </w:pPr>
    <w:rPr>
      <w:rFonts w:ascii="Times New Roman" w:hAnsi="Times New Roman" w:eastAsia="Times New Roman" w:cs="Times New Roman"/>
      <w:sz w:val="22"/>
      <w:szCs w:val="22"/>
      <w:lang w:val="en-US" w:eastAsia="en-US" w:bidi="ar-SA"/>
    </w:rPr>
  </w:style>
  <w:style w:type="paragraph" w:customStyle="1" w:styleId="518">
    <w:name w:val="Normal_13"/>
    <w:qFormat/>
    <w:uiPriority w:val="99"/>
    <w:pPr>
      <w:spacing w:before="120" w:after="240"/>
      <w:jc w:val="both"/>
    </w:pPr>
    <w:rPr>
      <w:rFonts w:ascii="Times New Roman" w:hAnsi="Times New Roman" w:eastAsia="Times New Roman" w:cs="Times New Roman"/>
      <w:sz w:val="22"/>
      <w:szCs w:val="22"/>
      <w:lang w:val="en-US" w:eastAsia="en-US" w:bidi="ar-SA"/>
    </w:rPr>
  </w:style>
  <w:style w:type="table" w:customStyle="1" w:styleId="519">
    <w:name w:val="网格型1"/>
    <w:basedOn w:val="57"/>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20">
    <w:name w:val="浅色底纹1"/>
    <w:basedOn w:val="57"/>
    <w:qFormat/>
    <w:uiPriority w:val="60"/>
    <w:rPr>
      <w:rFonts w:ascii="Calibri" w:hAnsi="Calibri"/>
      <w:color w:val="000000"/>
    </w:rPr>
    <w:tblPr>
      <w:tblBorders>
        <w:top w:val="single" w:color="000000" w:sz="8" w:space="0"/>
        <w:bottom w:val="single" w:color="000000" w:sz="8" w:space="0"/>
      </w:tblBorders>
      <w:tblCellMar>
        <w:top w:w="0" w:type="dxa"/>
        <w:left w:w="108" w:type="dxa"/>
        <w:bottom w:w="0" w:type="dxa"/>
        <w:right w:w="108" w:type="dxa"/>
      </w:tblCellMar>
    </w:tblPr>
    <w:tblStylePr w:type="firstRow">
      <w:pPr>
        <w:spacing w:beforeLines="0" w:beforeAutospacing="1" w:afterLines="0" w:afterAutospacing="1" w:line="240" w:lineRule="auto"/>
      </w:pPr>
      <w:rPr>
        <w:b/>
        <w:bCs/>
      </w:rPr>
      <w:tcPr>
        <w:tcBorders>
          <w:top w:val="single" w:color="000000" w:sz="8" w:space="0"/>
          <w:left w:val="nil"/>
          <w:bottom w:val="single" w:color="000000" w:sz="8" w:space="0"/>
          <w:right w:val="nil"/>
          <w:insideH w:val="nil"/>
          <w:insideV w:val="nil"/>
          <w:tl2br w:val="nil"/>
          <w:tr2bl w:val="nil"/>
        </w:tcBorders>
      </w:tcPr>
    </w:tblStylePr>
    <w:tblStylePr w:type="lastRow">
      <w:pPr>
        <w:spacing w:beforeLines="0" w:beforeAutospacing="1" w:afterLines="0" w:afterAutospacing="1" w:line="240" w:lineRule="auto"/>
      </w:pPr>
      <w:rPr>
        <w:b/>
        <w:bCs/>
      </w:rPr>
      <w:tcPr>
        <w:tcBorders>
          <w:top w:val="single" w:color="000000" w:sz="8" w:space="0"/>
          <w:left w:val="nil"/>
          <w:bottom w:val="single" w:color="000000" w:sz="8" w:space="0"/>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style>
  <w:style w:type="table" w:customStyle="1" w:styleId="521">
    <w:name w:val="网格型浅色1"/>
    <w:basedOn w:val="57"/>
    <w:qFormat/>
    <w:uiPriority w:val="0"/>
    <w:rPr>
      <w:rFonts w:ascii="Calibri" w:hAnsi="Calibri"/>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
  </w:style>
  <w:style w:type="table" w:customStyle="1" w:styleId="522">
    <w:name w:val="Table Normal"/>
    <w:semiHidden/>
    <w:qFormat/>
    <w:uiPriority w:val="2"/>
    <w:pPr>
      <w:widowControl w:val="0"/>
    </w:pPr>
    <w:rPr>
      <w:sz w:val="22"/>
      <w:lang w:eastAsia="en-US"/>
    </w:rPr>
    <w:tblPr>
      <w:tblCellMar>
        <w:top w:w="0" w:type="dxa"/>
        <w:left w:w="0" w:type="dxa"/>
        <w:bottom w:w="0" w:type="dxa"/>
        <w:right w:w="0" w:type="dxa"/>
      </w:tblCellMar>
    </w:tblPr>
  </w:style>
  <w:style w:type="paragraph" w:customStyle="1" w:styleId="523">
    <w:name w:val="样式 小四"/>
    <w:qFormat/>
    <w:locked/>
    <w:uiPriority w:val="99"/>
    <w:pPr>
      <w:widowControl w:val="0"/>
      <w:adjustRightInd w:val="0"/>
      <w:spacing w:line="360" w:lineRule="atLeast"/>
      <w:textAlignment w:val="baseline"/>
    </w:pPr>
    <w:rPr>
      <w:rFonts w:ascii="Times New Roman" w:hAnsi="Times New Roman" w:eastAsia="宋体" w:cs="Calibri"/>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中国中铁</Company>
  <Pages>10</Pages>
  <Words>126428</Words>
  <Characters>131883</Characters>
  <Lines>883</Lines>
  <Paragraphs>248</Paragraphs>
  <TotalTime>49</TotalTime>
  <ScaleCrop>false</ScaleCrop>
  <LinksUpToDate>false</LinksUpToDate>
  <CharactersWithSpaces>136681</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2021-06-03T08:08:00Z</dcterms:created>
  <dc:creator>pan xiaoli</dc:creator>
  <cp:lastModifiedBy>奶茶三分糖</cp:lastModifiedBy>
  <dcterms:modified xsi:type="dcterms:W3CDTF">2024-07-15T10:13:39Z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3902E7B60D8F40C8AA108714E52F886A_13</vt:lpwstr>
  </property>
</Properties>
</file>