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EEC5">
      <w:pPr>
        <w:pStyle w:val="8"/>
        <w:ind w:left="900" w:hanging="420" w:firstLineChars="0"/>
        <w:jc w:val="left"/>
        <w:rPr>
          <w:rFonts w:ascii="微软雅黑" w:hAnsi="微软雅黑" w:eastAsia="微软雅黑"/>
          <w:b/>
          <w:bCs/>
          <w:szCs w:val="21"/>
          <w:highlight w:val="none"/>
        </w:rPr>
      </w:pPr>
      <w:r>
        <w:rPr>
          <w:rFonts w:ascii="微软雅黑" w:hAnsi="微软雅黑" w:eastAsia="微软雅黑"/>
          <w:b/>
          <w:bCs/>
          <w:szCs w:val="21"/>
          <w:highlight w:val="none"/>
        </w:rPr>
        <w:t>一、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项目概况</w:t>
      </w:r>
      <w:r>
        <w:rPr>
          <w:rFonts w:ascii="微软雅黑" w:hAnsi="微软雅黑" w:eastAsia="微软雅黑"/>
          <w:b/>
          <w:bCs/>
          <w:szCs w:val="21"/>
          <w:highlight w:val="none"/>
        </w:rPr>
        <w:t>：</w:t>
      </w:r>
    </w:p>
    <w:p w14:paraId="509A1092">
      <w:pPr>
        <w:ind w:firstLine="480"/>
        <w:jc w:val="left"/>
        <w:rPr>
          <w:rFonts w:ascii="微软雅黑" w:hAnsi="微软雅黑" w:eastAsia="微软雅黑"/>
          <w:bCs/>
          <w:szCs w:val="21"/>
          <w:highlight w:val="none"/>
        </w:rPr>
      </w:pPr>
      <w:r>
        <w:rPr>
          <w:rFonts w:hint="eastAsia" w:ascii="微软雅黑" w:hAnsi="微软雅黑" w:eastAsia="微软雅黑"/>
          <w:bCs/>
          <w:szCs w:val="21"/>
          <w:highlight w:val="none"/>
        </w:rPr>
        <w:t>本项目为</w:t>
      </w:r>
      <w:r>
        <w:rPr>
          <w:rFonts w:hint="eastAsia" w:ascii="微软雅黑" w:hAnsi="微软雅黑" w:eastAsia="微软雅黑" w:cs="微软雅黑"/>
          <w:szCs w:val="21"/>
          <w:highlight w:val="none"/>
        </w:rPr>
        <w:t>中俄联合校园项目C-01地块-师生活动中心项目</w:t>
      </w:r>
      <w:r>
        <w:rPr>
          <w:rFonts w:hint="eastAsia" w:ascii="微软雅黑" w:hAnsi="微软雅黑" w:eastAsia="微软雅黑"/>
          <w:bCs/>
          <w:szCs w:val="21"/>
          <w:highlight w:val="none"/>
        </w:rPr>
        <w:t>，用地位于哈尔滨市</w:t>
      </w:r>
      <w:r>
        <w:rPr>
          <w:rFonts w:ascii="微软雅黑" w:hAnsi="微软雅黑" w:eastAsia="微软雅黑"/>
          <w:bCs/>
          <w:szCs w:val="21"/>
          <w:highlight w:val="none"/>
        </w:rPr>
        <w:t>南岗区</w:t>
      </w:r>
      <w:r>
        <w:rPr>
          <w:rFonts w:hint="eastAsia" w:ascii="微软雅黑" w:hAnsi="微软雅黑" w:eastAsia="微软雅黑"/>
          <w:bCs/>
          <w:szCs w:val="21"/>
          <w:highlight w:val="none"/>
        </w:rPr>
        <w:t>哈尔滨</w:t>
      </w:r>
      <w:r>
        <w:rPr>
          <w:rFonts w:ascii="微软雅黑" w:hAnsi="微软雅黑" w:eastAsia="微软雅黑"/>
          <w:bCs/>
          <w:szCs w:val="21"/>
          <w:highlight w:val="none"/>
        </w:rPr>
        <w:t>工业大学中俄联合校园</w:t>
      </w:r>
      <w:r>
        <w:rPr>
          <w:rFonts w:hint="eastAsia" w:ascii="微软雅黑" w:hAnsi="微软雅黑" w:eastAsia="微软雅黑"/>
          <w:bCs/>
          <w:szCs w:val="21"/>
          <w:highlight w:val="none"/>
        </w:rPr>
        <w:t>C-01地块</w:t>
      </w:r>
      <w:r>
        <w:rPr>
          <w:rFonts w:ascii="微软雅黑" w:hAnsi="微软雅黑" w:eastAsia="微软雅黑"/>
          <w:bCs/>
          <w:szCs w:val="21"/>
          <w:highlight w:val="none"/>
        </w:rPr>
        <w:t>，</w:t>
      </w:r>
      <w:r>
        <w:rPr>
          <w:rFonts w:hint="eastAsia" w:ascii="微软雅黑" w:hAnsi="微软雅黑" w:eastAsia="微软雅黑"/>
          <w:bCs/>
          <w:szCs w:val="21"/>
          <w:highlight w:val="none"/>
        </w:rPr>
        <w:t>联发街、海城街、繁荣街、北京街围合地块。北侧邻联合校园A-01地块，西侧邻联合校园B地块。</w:t>
      </w:r>
    </w:p>
    <w:p w14:paraId="26344222">
      <w:pPr>
        <w:ind w:firstLine="480"/>
        <w:jc w:val="left"/>
        <w:rPr>
          <w:rFonts w:ascii="微软雅黑" w:hAnsi="微软雅黑" w:eastAsia="微软雅黑" w:cs="微软雅黑"/>
          <w:bCs/>
          <w:szCs w:val="21"/>
          <w:highlight w:val="none"/>
        </w:rPr>
      </w:pPr>
      <w:r>
        <w:rPr>
          <w:rFonts w:hint="eastAsia" w:ascii="微软雅黑" w:hAnsi="微软雅黑" w:eastAsia="微软雅黑"/>
          <w:bCs/>
          <w:szCs w:val="21"/>
          <w:highlight w:val="none"/>
        </w:rPr>
        <w:t>本项目总用地面积为24236.55</w:t>
      </w:r>
      <w:r>
        <w:rPr>
          <w:rFonts w:hint="eastAsia" w:ascii="微软雅黑" w:hAnsi="微软雅黑" w:eastAsia="微软雅黑" w:cs="Batang"/>
          <w:bCs/>
          <w:szCs w:val="21"/>
          <w:highlight w:val="none"/>
        </w:rPr>
        <w:t>㎡</w:t>
      </w:r>
      <w:r>
        <w:rPr>
          <w:rFonts w:hint="eastAsia" w:ascii="微软雅黑" w:hAnsi="微软雅黑" w:eastAsia="微软雅黑" w:cs="微软雅黑"/>
          <w:bCs/>
          <w:szCs w:val="21"/>
          <w:highlight w:val="none"/>
        </w:rPr>
        <w:t>，建筑采用集中式“十字形”形态，位于场地邻近联发街一侧，与周边建筑相呼应。</w:t>
      </w:r>
    </w:p>
    <w:p w14:paraId="5566228C">
      <w:pPr>
        <w:ind w:firstLine="480"/>
        <w:jc w:val="left"/>
        <w:rPr>
          <w:rFonts w:ascii="微软雅黑" w:hAnsi="微软雅黑" w:eastAsia="微软雅黑"/>
          <w:bCs/>
          <w:szCs w:val="21"/>
          <w:highlight w:val="none"/>
        </w:rPr>
      </w:pPr>
      <w:r>
        <w:rPr>
          <w:rFonts w:hint="eastAsia" w:ascii="微软雅黑" w:hAnsi="微软雅黑" w:eastAsia="微软雅黑"/>
          <w:bCs/>
          <w:szCs w:val="21"/>
          <w:highlight w:val="none"/>
        </w:rPr>
        <w:t>本项目旨在为哈工大师生提供一处文化活动的场所，主要功能包括：820座音乐厅及其辅助用房，如演职人员功能区、贵宾休息区、舞台机械设备用房区、公共活动门厅及环廊等空间。总建筑面积为12595</w:t>
      </w:r>
      <w:r>
        <w:rPr>
          <w:rFonts w:hint="eastAsia" w:ascii="微软雅黑" w:hAnsi="微软雅黑" w:eastAsia="微软雅黑" w:cs="Batang"/>
          <w:bCs/>
          <w:szCs w:val="21"/>
          <w:highlight w:val="none"/>
        </w:rPr>
        <w:t>㎡</w:t>
      </w:r>
      <w:r>
        <w:rPr>
          <w:rFonts w:hint="eastAsia" w:ascii="微软雅黑" w:hAnsi="微软雅黑" w:eastAsia="微软雅黑" w:cs="微软雅黑"/>
          <w:bCs/>
          <w:szCs w:val="21"/>
          <w:highlight w:val="none"/>
        </w:rPr>
        <w:t>，其中地上建筑面积</w:t>
      </w:r>
      <w:r>
        <w:rPr>
          <w:rFonts w:hint="eastAsia" w:ascii="微软雅黑" w:hAnsi="微软雅黑" w:eastAsia="微软雅黑"/>
          <w:bCs/>
          <w:szCs w:val="21"/>
          <w:highlight w:val="none"/>
        </w:rPr>
        <w:t>2735</w:t>
      </w:r>
      <w:r>
        <w:rPr>
          <w:rFonts w:hint="eastAsia" w:ascii="微软雅黑" w:hAnsi="微软雅黑" w:eastAsia="微软雅黑" w:cs="Batang"/>
          <w:bCs/>
          <w:szCs w:val="21"/>
          <w:highlight w:val="none"/>
        </w:rPr>
        <w:t>㎡</w:t>
      </w:r>
      <w:r>
        <w:rPr>
          <w:rFonts w:hint="eastAsia" w:ascii="微软雅黑" w:hAnsi="微软雅黑" w:eastAsia="微软雅黑" w:cs="微软雅黑"/>
          <w:bCs/>
          <w:szCs w:val="21"/>
          <w:highlight w:val="none"/>
        </w:rPr>
        <w:t>，地下建筑面积</w:t>
      </w:r>
      <w:r>
        <w:rPr>
          <w:rFonts w:hint="eastAsia" w:ascii="微软雅黑" w:hAnsi="微软雅黑" w:eastAsia="微软雅黑"/>
          <w:bCs/>
          <w:szCs w:val="21"/>
          <w:highlight w:val="none"/>
        </w:rPr>
        <w:t>9860</w:t>
      </w:r>
      <w:r>
        <w:rPr>
          <w:rFonts w:hint="eastAsia" w:ascii="微软雅黑" w:hAnsi="微软雅黑" w:eastAsia="微软雅黑" w:cs="Batang"/>
          <w:bCs/>
          <w:szCs w:val="21"/>
          <w:highlight w:val="none"/>
        </w:rPr>
        <w:t>㎡</w:t>
      </w:r>
      <w:r>
        <w:rPr>
          <w:rFonts w:hint="eastAsia" w:ascii="微软雅黑" w:hAnsi="微软雅黑" w:eastAsia="微软雅黑" w:cs="微软雅黑"/>
          <w:bCs/>
          <w:szCs w:val="21"/>
          <w:highlight w:val="none"/>
        </w:rPr>
        <w:t>。建筑檐口高度为</w:t>
      </w:r>
      <w:r>
        <w:rPr>
          <w:rFonts w:hint="eastAsia" w:ascii="微软雅黑" w:hAnsi="微软雅黑" w:eastAsia="微软雅黑"/>
          <w:bCs/>
          <w:szCs w:val="21"/>
          <w:highlight w:val="none"/>
        </w:rPr>
        <w:t>11.40m（联发街侧入口室外地面至建筑檐口），屋面高度为15.10m（联发街侧入口室外地面至建筑屋顶完成面），地下埋深</w:t>
      </w:r>
      <w:r>
        <w:rPr>
          <w:rFonts w:ascii="微软雅黑" w:hAnsi="微软雅黑" w:eastAsia="微软雅黑"/>
          <w:bCs/>
          <w:szCs w:val="21"/>
          <w:highlight w:val="none"/>
        </w:rPr>
        <w:t>为</w:t>
      </w:r>
      <w:r>
        <w:rPr>
          <w:rFonts w:hint="eastAsia" w:ascii="微软雅黑" w:hAnsi="微软雅黑" w:eastAsia="微软雅黑"/>
          <w:bCs/>
          <w:szCs w:val="21"/>
          <w:highlight w:val="none"/>
        </w:rPr>
        <w:t>9.9</w:t>
      </w:r>
      <w:r>
        <w:rPr>
          <w:rFonts w:ascii="微软雅黑" w:hAnsi="微软雅黑" w:eastAsia="微软雅黑"/>
          <w:bCs/>
          <w:szCs w:val="21"/>
          <w:highlight w:val="none"/>
        </w:rPr>
        <w:t>m。</w:t>
      </w:r>
    </w:p>
    <w:p w14:paraId="0D9DA96D">
      <w:pPr>
        <w:pStyle w:val="8"/>
        <w:ind w:left="900" w:hanging="420" w:firstLineChars="0"/>
        <w:jc w:val="left"/>
        <w:rPr>
          <w:rFonts w:ascii="微软雅黑" w:hAnsi="微软雅黑" w:eastAsia="微软雅黑"/>
          <w:b/>
          <w:bCs/>
          <w:szCs w:val="21"/>
          <w:highlight w:val="none"/>
        </w:rPr>
      </w:pPr>
      <w:r>
        <w:rPr>
          <w:rFonts w:ascii="微软雅黑" w:hAnsi="微软雅黑" w:eastAsia="微软雅黑"/>
          <w:b/>
          <w:bCs/>
          <w:szCs w:val="21"/>
          <w:highlight w:val="none"/>
        </w:rPr>
        <w:t>二、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主要</w:t>
      </w:r>
      <w:r>
        <w:rPr>
          <w:rFonts w:ascii="微软雅黑" w:hAnsi="微软雅黑" w:eastAsia="微软雅黑"/>
          <w:b/>
          <w:bCs/>
          <w:szCs w:val="21"/>
          <w:highlight w:val="none"/>
        </w:rPr>
        <w:t>功能：</w:t>
      </w:r>
    </w:p>
    <w:p w14:paraId="66BC7925">
      <w:pPr>
        <w:ind w:firstLine="480"/>
        <w:jc w:val="left"/>
        <w:rPr>
          <w:rFonts w:ascii="微软雅黑" w:hAnsi="微软雅黑" w:eastAsia="微软雅黑"/>
          <w:bCs/>
          <w:szCs w:val="21"/>
          <w:highlight w:val="none"/>
        </w:rPr>
      </w:pPr>
      <w:r>
        <w:rPr>
          <w:rFonts w:hint="eastAsia" w:ascii="微软雅黑" w:hAnsi="微软雅黑" w:eastAsia="微软雅黑"/>
          <w:bCs/>
          <w:szCs w:val="21"/>
          <w:highlight w:val="none"/>
        </w:rPr>
        <w:t>主要</w:t>
      </w:r>
      <w:r>
        <w:rPr>
          <w:rFonts w:ascii="微软雅黑" w:hAnsi="微软雅黑" w:eastAsia="微软雅黑"/>
          <w:bCs/>
          <w:szCs w:val="21"/>
          <w:highlight w:val="none"/>
        </w:rPr>
        <w:t>功能布局：</w:t>
      </w:r>
    </w:p>
    <w:p w14:paraId="64813AD9">
      <w:pPr>
        <w:ind w:firstLine="480"/>
        <w:jc w:val="left"/>
        <w:rPr>
          <w:rFonts w:ascii="微软雅黑" w:hAnsi="微软雅黑" w:eastAsia="微软雅黑"/>
          <w:bCs/>
          <w:szCs w:val="21"/>
          <w:highlight w:val="none"/>
        </w:rPr>
      </w:pPr>
      <w:r>
        <w:rPr>
          <w:rFonts w:hint="eastAsia" w:ascii="微软雅黑" w:hAnsi="微软雅黑" w:eastAsia="微软雅黑"/>
          <w:bCs/>
          <w:szCs w:val="21"/>
          <w:highlight w:val="none"/>
        </w:rPr>
        <w:t>地下二层：舞台区，音乐厅观众厅、演职人员休息区，贵宾休息区，演奏厅侧厅，服务台及服务人员办公室、舞台机械控制室、钢琴库、录音室、设备用房等。（底板</w:t>
      </w:r>
      <w:r>
        <w:rPr>
          <w:rFonts w:ascii="微软雅黑" w:hAnsi="微软雅黑" w:eastAsia="微软雅黑"/>
          <w:bCs/>
          <w:szCs w:val="21"/>
          <w:highlight w:val="none"/>
        </w:rPr>
        <w:t>标高为</w:t>
      </w:r>
      <w:r>
        <w:rPr>
          <w:rFonts w:hint="eastAsia" w:ascii="微软雅黑" w:hAnsi="微软雅黑" w:eastAsia="微软雅黑"/>
          <w:bCs/>
          <w:szCs w:val="21"/>
          <w:highlight w:val="none"/>
        </w:rPr>
        <w:t>-9.9</w:t>
      </w:r>
      <w:r>
        <w:rPr>
          <w:rFonts w:ascii="微软雅黑" w:hAnsi="微软雅黑" w:eastAsia="微软雅黑"/>
          <w:bCs/>
          <w:szCs w:val="21"/>
          <w:highlight w:val="none"/>
        </w:rPr>
        <w:t>m</w:t>
      </w:r>
      <w:r>
        <w:rPr>
          <w:rFonts w:hint="eastAsia" w:ascii="微软雅黑" w:hAnsi="微软雅黑" w:eastAsia="微软雅黑"/>
          <w:bCs/>
          <w:szCs w:val="21"/>
          <w:highlight w:val="none"/>
        </w:rPr>
        <w:t>）</w:t>
      </w:r>
    </w:p>
    <w:p w14:paraId="43DC9554">
      <w:pPr>
        <w:ind w:firstLine="480"/>
        <w:jc w:val="left"/>
        <w:rPr>
          <w:rFonts w:ascii="微软雅黑" w:hAnsi="微软雅黑" w:eastAsia="微软雅黑"/>
          <w:bCs/>
          <w:szCs w:val="21"/>
          <w:highlight w:val="none"/>
        </w:rPr>
      </w:pPr>
      <w:r>
        <w:rPr>
          <w:rFonts w:ascii="微软雅黑" w:hAnsi="微软雅黑" w:eastAsia="微软雅黑"/>
          <w:bCs/>
          <w:szCs w:val="21"/>
          <w:highlight w:val="none"/>
        </w:rPr>
        <w:t>地下一层：音乐厅演奏大厅、演奏大厅入口环廊，演奏厅侧厅，服务台及服务人员办公室、贵宾、演职人员及货运入口，</w:t>
      </w:r>
      <w:r>
        <w:rPr>
          <w:rFonts w:hint="eastAsia" w:ascii="微软雅黑" w:hAnsi="微软雅黑" w:eastAsia="微软雅黑"/>
          <w:bCs/>
          <w:szCs w:val="21"/>
          <w:highlight w:val="none"/>
        </w:rPr>
        <w:t>贵宾</w:t>
      </w:r>
      <w:r>
        <w:rPr>
          <w:rFonts w:ascii="微软雅黑" w:hAnsi="微软雅黑" w:eastAsia="微软雅黑"/>
          <w:bCs/>
          <w:szCs w:val="21"/>
          <w:highlight w:val="none"/>
        </w:rPr>
        <w:t>休息室、变电所、弱电机房及空调机房等设备用房。</w:t>
      </w:r>
      <w:r>
        <w:rPr>
          <w:rFonts w:hint="eastAsia" w:ascii="微软雅黑" w:hAnsi="微软雅黑" w:eastAsia="微软雅黑"/>
          <w:bCs/>
          <w:szCs w:val="21"/>
          <w:highlight w:val="none"/>
        </w:rPr>
        <w:t>（底板</w:t>
      </w:r>
      <w:r>
        <w:rPr>
          <w:rFonts w:ascii="微软雅黑" w:hAnsi="微软雅黑" w:eastAsia="微软雅黑"/>
          <w:bCs/>
          <w:szCs w:val="21"/>
          <w:highlight w:val="none"/>
        </w:rPr>
        <w:t>标高为</w:t>
      </w:r>
      <w:r>
        <w:rPr>
          <w:rFonts w:hint="eastAsia" w:ascii="微软雅黑" w:hAnsi="微软雅黑" w:eastAsia="微软雅黑"/>
          <w:bCs/>
          <w:szCs w:val="21"/>
          <w:highlight w:val="none"/>
        </w:rPr>
        <w:t>-5.4</w:t>
      </w:r>
      <w:r>
        <w:rPr>
          <w:rFonts w:ascii="微软雅黑" w:hAnsi="微软雅黑" w:eastAsia="微软雅黑"/>
          <w:bCs/>
          <w:szCs w:val="21"/>
          <w:highlight w:val="none"/>
        </w:rPr>
        <w:t>m，地下一层</w:t>
      </w:r>
      <w:r>
        <w:rPr>
          <w:rFonts w:hint="eastAsia" w:ascii="微软雅黑" w:hAnsi="微软雅黑" w:eastAsia="微软雅黑"/>
          <w:bCs/>
          <w:szCs w:val="21"/>
          <w:highlight w:val="none"/>
        </w:rPr>
        <w:t>对</w:t>
      </w:r>
      <w:r>
        <w:rPr>
          <w:rFonts w:ascii="微软雅黑" w:hAnsi="微软雅黑" w:eastAsia="微软雅黑"/>
          <w:bCs/>
          <w:szCs w:val="21"/>
          <w:highlight w:val="none"/>
        </w:rPr>
        <w:t>南侧下沉广场有</w:t>
      </w:r>
      <w:r>
        <w:rPr>
          <w:rFonts w:hint="eastAsia" w:ascii="微软雅黑" w:hAnsi="微软雅黑" w:eastAsia="微软雅黑"/>
          <w:bCs/>
          <w:szCs w:val="21"/>
          <w:highlight w:val="none"/>
        </w:rPr>
        <w:t>直通</w:t>
      </w:r>
      <w:r>
        <w:rPr>
          <w:rFonts w:ascii="微软雅黑" w:hAnsi="微软雅黑" w:eastAsia="微软雅黑"/>
          <w:bCs/>
          <w:szCs w:val="21"/>
          <w:highlight w:val="none"/>
        </w:rPr>
        <w:t>室外出口</w:t>
      </w:r>
      <w:r>
        <w:rPr>
          <w:rFonts w:hint="eastAsia" w:ascii="微软雅黑" w:hAnsi="微软雅黑" w:eastAsia="微软雅黑"/>
          <w:bCs/>
          <w:szCs w:val="21"/>
          <w:highlight w:val="none"/>
        </w:rPr>
        <w:t>）</w:t>
      </w:r>
    </w:p>
    <w:p w14:paraId="41D5C693">
      <w:pPr>
        <w:ind w:firstLine="480"/>
        <w:jc w:val="left"/>
        <w:rPr>
          <w:rFonts w:ascii="微软雅黑" w:hAnsi="微软雅黑" w:eastAsia="微软雅黑"/>
          <w:bCs/>
          <w:szCs w:val="21"/>
          <w:highlight w:val="none"/>
        </w:rPr>
      </w:pPr>
      <w:r>
        <w:rPr>
          <w:rFonts w:ascii="微软雅黑" w:hAnsi="微软雅黑" w:eastAsia="微软雅黑"/>
          <w:bCs/>
          <w:szCs w:val="21"/>
          <w:highlight w:val="none"/>
        </w:rPr>
        <w:t>一层：</w:t>
      </w:r>
      <w:r>
        <w:rPr>
          <w:rFonts w:hint="eastAsia" w:ascii="微软雅黑" w:hAnsi="微软雅黑" w:eastAsia="微软雅黑"/>
          <w:bCs/>
          <w:szCs w:val="21"/>
          <w:highlight w:val="none"/>
        </w:rPr>
        <w:t>师生活动中心入口门厅，接待服务台、电子售票区、演奏厅上空、设备用房等</w:t>
      </w:r>
      <w:r>
        <w:rPr>
          <w:rFonts w:ascii="微软雅黑" w:hAnsi="微软雅黑" w:eastAsia="微软雅黑"/>
          <w:bCs/>
          <w:szCs w:val="21"/>
          <w:highlight w:val="none"/>
        </w:rPr>
        <w:t>。</w:t>
      </w:r>
    </w:p>
    <w:p w14:paraId="3D3A8ED5">
      <w:pPr>
        <w:ind w:firstLine="480"/>
        <w:jc w:val="left"/>
        <w:rPr>
          <w:rFonts w:ascii="微软雅黑" w:hAnsi="微软雅黑" w:eastAsia="微软雅黑"/>
          <w:bCs/>
          <w:szCs w:val="21"/>
          <w:highlight w:val="none"/>
        </w:rPr>
      </w:pPr>
      <w:r>
        <w:rPr>
          <w:rFonts w:hint="eastAsia" w:ascii="微软雅黑" w:hAnsi="微软雅黑" w:eastAsia="微软雅黑"/>
          <w:bCs/>
          <w:szCs w:val="21"/>
          <w:highlight w:val="none"/>
        </w:rPr>
        <w:t>夹</w:t>
      </w:r>
      <w:r>
        <w:rPr>
          <w:rFonts w:ascii="微软雅黑" w:hAnsi="微软雅黑" w:eastAsia="微软雅黑"/>
          <w:bCs/>
          <w:szCs w:val="21"/>
          <w:highlight w:val="none"/>
        </w:rPr>
        <w:t>层：</w:t>
      </w:r>
      <w:r>
        <w:rPr>
          <w:rFonts w:hint="eastAsia" w:ascii="微软雅黑" w:hAnsi="微软雅黑" w:eastAsia="微软雅黑"/>
          <w:bCs/>
          <w:szCs w:val="21"/>
          <w:highlight w:val="none"/>
        </w:rPr>
        <w:t>空调机房、排烟机房等</w:t>
      </w:r>
      <w:r>
        <w:rPr>
          <w:rFonts w:ascii="微软雅黑" w:hAnsi="微软雅黑" w:eastAsia="微软雅黑"/>
          <w:bCs/>
          <w:szCs w:val="21"/>
          <w:highlight w:val="none"/>
        </w:rPr>
        <w:t>。</w:t>
      </w:r>
    </w:p>
    <w:p w14:paraId="653502B8">
      <w:pPr>
        <w:pStyle w:val="8"/>
        <w:ind w:left="900" w:hanging="420" w:firstLineChars="0"/>
        <w:jc w:val="left"/>
        <w:rPr>
          <w:rFonts w:ascii="微软雅黑" w:hAnsi="微软雅黑" w:eastAsia="微软雅黑"/>
          <w:b/>
          <w:bCs/>
          <w:szCs w:val="21"/>
          <w:highlight w:val="none"/>
        </w:rPr>
      </w:pPr>
      <w:r>
        <w:rPr>
          <w:rFonts w:ascii="微软雅黑" w:hAnsi="微软雅黑" w:eastAsia="微软雅黑"/>
          <w:b/>
          <w:bCs/>
          <w:szCs w:val="21"/>
          <w:highlight w:val="none"/>
        </w:rPr>
        <w:t>三、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特殊</w:t>
      </w:r>
      <w:r>
        <w:rPr>
          <w:rFonts w:ascii="微软雅黑" w:hAnsi="微软雅黑" w:eastAsia="微软雅黑"/>
          <w:b/>
          <w:bCs/>
          <w:szCs w:val="21"/>
          <w:highlight w:val="none"/>
        </w:rPr>
        <w:t>消防论证主要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内容</w:t>
      </w:r>
      <w:r>
        <w:rPr>
          <w:rFonts w:ascii="微软雅黑" w:hAnsi="微软雅黑" w:eastAsia="微软雅黑"/>
          <w:b/>
          <w:bCs/>
          <w:szCs w:val="21"/>
          <w:highlight w:val="none"/>
        </w:rPr>
        <w:t>：</w:t>
      </w:r>
    </w:p>
    <w:p w14:paraId="30017AB5">
      <w:pPr>
        <w:ind w:left="480"/>
        <w:jc w:val="left"/>
        <w:rPr>
          <w:rFonts w:ascii="微软雅黑" w:hAnsi="微软雅黑" w:eastAsia="微软雅黑"/>
          <w:b/>
          <w:bCs/>
          <w:szCs w:val="21"/>
          <w:highlight w:val="none"/>
        </w:rPr>
      </w:pPr>
      <w:r>
        <w:rPr>
          <w:rFonts w:hint="eastAsia" w:ascii="微软雅黑" w:hAnsi="微软雅黑" w:eastAsia="微软雅黑"/>
          <w:b/>
          <w:bCs/>
          <w:szCs w:val="21"/>
          <w:highlight w:val="none"/>
        </w:rPr>
        <w:t>在对目前建筑布局影响最小的前提下，完成以下特殊消防论证内容：</w:t>
      </w:r>
    </w:p>
    <w:p w14:paraId="5EBCAAE0">
      <w:pPr>
        <w:pStyle w:val="8"/>
        <w:ind w:left="840" w:hanging="360" w:firstLineChars="0"/>
        <w:jc w:val="left"/>
        <w:rPr>
          <w:rFonts w:ascii="微软雅黑" w:hAnsi="微软雅黑" w:eastAsia="微软雅黑"/>
          <w:bCs/>
          <w:szCs w:val="21"/>
          <w:highlight w:val="none"/>
        </w:rPr>
      </w:pPr>
      <w:r>
        <w:rPr>
          <w:rFonts w:ascii="微软雅黑" w:hAnsi="微软雅黑" w:eastAsia="微软雅黑"/>
          <w:bCs/>
          <w:szCs w:val="21"/>
          <w:highlight w:val="none"/>
        </w:rPr>
        <w:t>1）</w:t>
      </w:r>
      <w:r>
        <w:rPr>
          <w:rFonts w:ascii="微软雅黑" w:hAnsi="微软雅黑" w:eastAsia="微软雅黑"/>
          <w:b/>
          <w:bCs/>
          <w:szCs w:val="21"/>
          <w:highlight w:val="none"/>
        </w:rPr>
        <w:t>防火分区：</w:t>
      </w:r>
      <w:r>
        <w:rPr>
          <w:rFonts w:hint="eastAsia" w:ascii="微软雅黑" w:hAnsi="微软雅黑" w:eastAsia="微软雅黑"/>
          <w:bCs/>
          <w:szCs w:val="21"/>
          <w:highlight w:val="none"/>
        </w:rPr>
        <w:t>观众厅所在区域的防火分区面积为7905.24</w:t>
      </w:r>
      <w:r>
        <w:rPr>
          <w:rFonts w:hint="eastAsia" w:ascii="微软雅黑" w:hAnsi="微软雅黑" w:eastAsia="微软雅黑" w:cs="Batang"/>
          <w:bCs/>
          <w:szCs w:val="21"/>
          <w:highlight w:val="none"/>
        </w:rPr>
        <w:t>㎡</w:t>
      </w:r>
      <w:r>
        <w:rPr>
          <w:rFonts w:ascii="微软雅黑" w:hAnsi="微软雅黑" w:eastAsia="微软雅黑"/>
          <w:bCs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/>
          <w:bCs/>
          <w:szCs w:val="21"/>
          <w:highlight w:val="none"/>
        </w:rPr>
        <w:t>（含池座、楼座、围绕观众的环廊空间、一层入口门厅），音乐观众厅总坐席数为820座，因使用功能需要，观众厅各层及联通的附属空间作为一个防火分区，规范对观众厅的防火分区最大允许建筑面积可适当放宽，但能放宽到多少，规范未明确。</w:t>
      </w:r>
    </w:p>
    <w:p w14:paraId="45F34337">
      <w:pPr>
        <w:pStyle w:val="8"/>
        <w:ind w:left="840" w:hanging="360" w:firstLineChars="0"/>
        <w:jc w:val="left"/>
        <w:rPr>
          <w:rFonts w:ascii="微软雅黑" w:hAnsi="微软雅黑" w:eastAsia="微软雅黑"/>
          <w:b/>
          <w:bCs/>
          <w:szCs w:val="21"/>
          <w:highlight w:val="none"/>
        </w:rPr>
      </w:pPr>
      <w:r>
        <w:rPr>
          <w:rFonts w:ascii="微软雅黑" w:hAnsi="微软雅黑" w:eastAsia="微软雅黑"/>
          <w:b/>
          <w:bCs/>
          <w:szCs w:val="21"/>
          <w:highlight w:val="none"/>
        </w:rPr>
        <w:t>2）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观众厅地面</w:t>
      </w:r>
      <w:r>
        <w:rPr>
          <w:rFonts w:ascii="微软雅黑" w:hAnsi="微软雅黑" w:eastAsia="微软雅黑"/>
          <w:b/>
          <w:bCs/>
          <w:szCs w:val="21"/>
          <w:highlight w:val="none"/>
        </w:rPr>
        <w:t>装饰材料的耐火性能：</w:t>
      </w:r>
      <w:r>
        <w:rPr>
          <w:rFonts w:hint="eastAsia" w:ascii="微软雅黑" w:hAnsi="微软雅黑" w:eastAsia="微软雅黑"/>
          <w:bCs/>
          <w:szCs w:val="21"/>
          <w:highlight w:val="none"/>
        </w:rPr>
        <w:t>观众厅内的地面材料由于声学需要为木地板，最高耐火等级为B1级，无法满足规范A级</w:t>
      </w:r>
      <w:r>
        <w:rPr>
          <w:rFonts w:ascii="微软雅黑" w:hAnsi="微软雅黑" w:eastAsia="微软雅黑"/>
          <w:bCs/>
          <w:szCs w:val="21"/>
          <w:highlight w:val="none"/>
        </w:rPr>
        <w:t>的要求</w:t>
      </w:r>
      <w:r>
        <w:rPr>
          <w:rFonts w:hint="eastAsia" w:ascii="微软雅黑" w:hAnsi="微软雅黑" w:eastAsia="微软雅黑"/>
          <w:bCs/>
          <w:szCs w:val="21"/>
          <w:highlight w:val="none"/>
        </w:rPr>
        <w:t>。</w:t>
      </w:r>
    </w:p>
    <w:p w14:paraId="6E6839DA">
      <w:pPr>
        <w:ind w:firstLine="420" w:firstLineChars="200"/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21"/>
          <w:szCs w:val="21"/>
          <w:highlight w:val="none"/>
          <w:lang w:val="en-US" w:eastAsia="zh-CN"/>
        </w:rPr>
        <w:t>3）</w:t>
      </w:r>
      <w:r>
        <w:rPr>
          <w:rFonts w:hint="eastAsia" w:ascii="微软雅黑" w:hAnsi="微软雅黑" w:eastAsia="微软雅黑"/>
          <w:b/>
          <w:bCs/>
          <w:sz w:val="21"/>
          <w:szCs w:val="21"/>
          <w:highlight w:val="none"/>
        </w:rPr>
        <w:t>其他本项目涉及的特殊消防设计内容。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YjBlNWU0ZGZjYTMyYTFkMmVlYzc0YzkzZmFjNTUifQ=="/>
  </w:docVars>
  <w:rsids>
    <w:rsidRoot w:val="00000000"/>
    <w:rsid w:val="3D13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1"/>
    <w:qFormat/>
    <w:uiPriority w:val="0"/>
    <w:pPr>
      <w:keepNext/>
      <w:keepLines/>
      <w:spacing w:before="260" w:line="415" w:lineRule="auto"/>
      <w:outlineLvl w:val="1"/>
    </w:pPr>
    <w:rPr>
      <w:rFonts w:ascii="Arial" w:hAnsi="Arial" w:eastAsia="黑体"/>
      <w:kern w:val="2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99"/>
    <w:pPr>
      <w:spacing w:after="120"/>
      <w:ind w:left="420" w:leftChars="200"/>
    </w:pPr>
    <w:rPr>
      <w:kern w:val="0"/>
      <w:sz w:val="20"/>
    </w:r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2024-07-24T10:34:25Z</dcterms:created>
  <dc:creator>Administrator</dc:creator>
  <cp:lastModifiedBy>微信用户</cp:lastModifiedBy>
  <dcterms:modified xsi:type="dcterms:W3CDTF">2024-07-24T10:34:48Z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B7EBD156C66E4350A2EBD637F8ACFF9D_12</vt:lpwstr>
  </property>
</Properties>
</file>