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2" w:lineRule="auto"/>
        <w:jc w:val="center"/>
        <w:outlineLvl w:val="0"/>
        <w:rPr>
          <w:rFonts w:ascii="黑体" w:eastAsia="黑体"/>
          <w:sz w:val="44"/>
          <w:szCs w:val="22"/>
          <w:highlight w:val="none"/>
        </w:rPr>
      </w:pPr>
      <w:r>
        <w:rPr>
          <w:rFonts w:hint="eastAsia" w:ascii="黑体" w:eastAsia="黑体"/>
          <w:sz w:val="44"/>
          <w:szCs w:val="22"/>
          <w:highlight w:val="none"/>
        </w:rPr>
        <w:t>采购（服务）需求</w:t>
      </w:r>
    </w:p>
    <w:p>
      <w:pPr>
        <w:numPr>
          <w:ilvl w:val="0"/>
          <w:numId w:val="1"/>
        </w:numPr>
        <w:spacing w:line="360" w:lineRule="auto"/>
        <w:rPr>
          <w:rFonts w:hint="eastAsia" w:ascii="宋体" w:hAnsi="宋体" w:cs="宋体"/>
          <w:b/>
          <w:sz w:val="28"/>
          <w:szCs w:val="28"/>
          <w:lang w:eastAsia="zh-CN"/>
        </w:rPr>
      </w:pPr>
      <w:r>
        <w:rPr>
          <w:rFonts w:hint="eastAsia" w:ascii="宋体" w:hAnsi="宋体" w:cs="宋体"/>
          <w:b/>
          <w:sz w:val="28"/>
          <w:szCs w:val="28"/>
          <w:lang w:eastAsia="zh-CN"/>
        </w:rPr>
        <w:t>技术参数</w:t>
      </w:r>
    </w:p>
    <w:tbl>
      <w:tblPr>
        <w:tblStyle w:val="3"/>
        <w:tblW w:w="93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1"/>
        <w:gridCol w:w="3530"/>
        <w:gridCol w:w="970"/>
        <w:gridCol w:w="1991"/>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sz w:val="24"/>
                <w:szCs w:val="24"/>
                <w:vertAlign w:val="baseline"/>
                <w:lang w:eastAsia="zh-CN"/>
              </w:rPr>
            </w:pPr>
            <w:r>
              <w:rPr>
                <w:rFonts w:hint="eastAsia" w:ascii="宋体" w:hAnsi="宋体" w:cs="宋体"/>
                <w:b/>
                <w:bCs w:val="0"/>
                <w:sz w:val="24"/>
                <w:szCs w:val="24"/>
                <w:vertAlign w:val="baseline"/>
                <w:lang w:eastAsia="zh-CN"/>
              </w:rPr>
              <w:t>序号</w:t>
            </w:r>
          </w:p>
        </w:tc>
        <w:tc>
          <w:tcPr>
            <w:tcW w:w="35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sz w:val="24"/>
                <w:szCs w:val="24"/>
                <w:vertAlign w:val="baseline"/>
                <w:lang w:eastAsia="zh-CN"/>
              </w:rPr>
            </w:pPr>
            <w:r>
              <w:rPr>
                <w:rFonts w:hint="eastAsia" w:ascii="宋体" w:hAnsi="宋体" w:cs="宋体"/>
                <w:b/>
                <w:bCs w:val="0"/>
                <w:sz w:val="24"/>
                <w:szCs w:val="24"/>
                <w:vertAlign w:val="baseline"/>
                <w:lang w:eastAsia="zh-CN"/>
              </w:rPr>
              <w:t>采购内容</w:t>
            </w:r>
          </w:p>
        </w:tc>
        <w:tc>
          <w:tcPr>
            <w:tcW w:w="9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bCs w:val="0"/>
                <w:sz w:val="24"/>
                <w:szCs w:val="24"/>
                <w:vertAlign w:val="baseline"/>
                <w:lang w:eastAsia="zh-CN"/>
              </w:rPr>
            </w:pPr>
            <w:r>
              <w:rPr>
                <w:rFonts w:hint="eastAsia" w:ascii="宋体" w:hAnsi="宋体" w:cs="宋体"/>
                <w:b/>
                <w:bCs w:val="0"/>
                <w:sz w:val="24"/>
                <w:szCs w:val="24"/>
                <w:vertAlign w:val="baseline"/>
                <w:lang w:eastAsia="zh-CN"/>
              </w:rPr>
              <w:t>数量</w:t>
            </w:r>
          </w:p>
        </w:tc>
        <w:tc>
          <w:tcPr>
            <w:tcW w:w="19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val="0"/>
                <w:sz w:val="24"/>
                <w:szCs w:val="24"/>
                <w:vertAlign w:val="baseline"/>
                <w:lang w:eastAsia="zh-CN"/>
              </w:rPr>
            </w:pPr>
            <w:r>
              <w:rPr>
                <w:rFonts w:hint="eastAsia" w:ascii="宋体" w:hAnsi="宋体" w:cs="宋体"/>
                <w:b/>
                <w:bCs w:val="0"/>
                <w:sz w:val="24"/>
                <w:szCs w:val="24"/>
                <w:vertAlign w:val="baseline"/>
                <w:lang w:eastAsia="zh-CN"/>
              </w:rPr>
              <w:t>预算单价（元）</w:t>
            </w:r>
          </w:p>
        </w:tc>
        <w:tc>
          <w:tcPr>
            <w:tcW w:w="199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bCs w:val="0"/>
                <w:sz w:val="24"/>
                <w:szCs w:val="24"/>
                <w:vertAlign w:val="baseline"/>
                <w:lang w:val="en-US" w:eastAsia="zh-CN" w:bidi="ar-SA"/>
              </w:rPr>
            </w:pPr>
            <w:r>
              <w:rPr>
                <w:rFonts w:hint="eastAsia" w:ascii="宋体" w:hAnsi="宋体" w:cs="宋体"/>
                <w:b/>
                <w:bCs w:val="0"/>
                <w:sz w:val="24"/>
                <w:szCs w:val="24"/>
                <w:vertAlign w:val="baseline"/>
                <w:lang w:eastAsia="zh-CN"/>
              </w:rPr>
              <w:t>预算总价（元）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1</w:t>
            </w:r>
          </w:p>
        </w:tc>
        <w:tc>
          <w:tcPr>
            <w:tcW w:w="353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bCs/>
                <w:sz w:val="24"/>
                <w:szCs w:val="24"/>
                <w:vertAlign w:val="baseline"/>
                <w:lang w:eastAsia="zh-CN"/>
              </w:rPr>
            </w:pPr>
            <w:r>
              <w:rPr>
                <w:rFonts w:hint="eastAsia" w:ascii="宋体" w:hAnsi="宋体" w:eastAsia="宋体" w:cs="宋体"/>
                <w:b w:val="0"/>
                <w:bCs/>
                <w:sz w:val="24"/>
                <w:szCs w:val="24"/>
                <w:vertAlign w:val="baseline"/>
                <w:lang w:eastAsia="zh-CN"/>
              </w:rPr>
              <w:t>太赫兹量子级联激光器</w:t>
            </w:r>
          </w:p>
        </w:tc>
        <w:tc>
          <w:tcPr>
            <w:tcW w:w="97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cs="宋体"/>
                <w:b w:val="0"/>
                <w:bCs/>
                <w:sz w:val="24"/>
                <w:szCs w:val="24"/>
                <w:vertAlign w:val="baseline"/>
                <w:lang w:val="en-US" w:eastAsia="zh-CN"/>
              </w:rPr>
            </w:pPr>
            <w:r>
              <w:rPr>
                <w:rFonts w:hint="eastAsia" w:ascii="宋体" w:hAnsi="宋体" w:cs="宋体"/>
                <w:b w:val="0"/>
                <w:bCs/>
                <w:sz w:val="24"/>
                <w:szCs w:val="24"/>
                <w:vertAlign w:val="baseline"/>
                <w:lang w:val="en-US" w:eastAsia="zh-CN"/>
              </w:rPr>
              <w:t>1台</w:t>
            </w:r>
          </w:p>
        </w:tc>
        <w:tc>
          <w:tcPr>
            <w:tcW w:w="19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cs="宋体"/>
                <w:b w:val="0"/>
                <w:bCs/>
                <w:sz w:val="24"/>
                <w:szCs w:val="24"/>
                <w:vertAlign w:val="baseline"/>
                <w:lang w:eastAsia="zh-CN"/>
              </w:rPr>
            </w:pPr>
            <w:r>
              <w:rPr>
                <w:rFonts w:hint="eastAsia" w:ascii="宋体" w:hAnsi="宋体" w:cs="宋体"/>
                <w:b w:val="0"/>
                <w:bCs/>
                <w:sz w:val="24"/>
                <w:szCs w:val="24"/>
                <w:vertAlign w:val="baseline"/>
                <w:lang w:eastAsia="zh-CN"/>
              </w:rPr>
              <w:t>731,000.00</w:t>
            </w:r>
          </w:p>
        </w:tc>
        <w:tc>
          <w:tcPr>
            <w:tcW w:w="1991"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 w:val="0"/>
                <w:bCs/>
                <w:sz w:val="24"/>
                <w:szCs w:val="24"/>
                <w:vertAlign w:val="baseline"/>
                <w:lang w:val="en-US" w:eastAsia="zh-CN" w:bidi="ar-SA"/>
              </w:rPr>
            </w:pPr>
            <w:r>
              <w:rPr>
                <w:rFonts w:hint="eastAsia" w:ascii="宋体" w:hAnsi="宋体" w:cs="宋体"/>
                <w:b w:val="0"/>
                <w:bCs/>
                <w:sz w:val="24"/>
                <w:szCs w:val="24"/>
                <w:vertAlign w:val="baseline"/>
                <w:lang w:eastAsia="zh-CN"/>
              </w:rPr>
              <w:t>731,000.00</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eastAsia="zh-CN"/>
        </w:rPr>
        <w:t>（一）</w:t>
      </w:r>
      <w:r>
        <w:rPr>
          <w:rFonts w:hint="eastAsia" w:ascii="宋体" w:hAnsi="宋体" w:eastAsia="宋体" w:cs="宋体"/>
          <w:b w:val="0"/>
          <w:bCs w:val="0"/>
          <w:sz w:val="24"/>
          <w:szCs w:val="24"/>
          <w:highlight w:val="none"/>
          <w:lang w:eastAsia="zh-CN"/>
        </w:rPr>
        <w:t>功能与应用需求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拟采购太赫兹量子级联激光器，利用其输出太赫兹波功率大、模式好的特点开展基于稳定波前（高斯分布等）的结构光束调控研究，由于受太赫兹相机灵敏度和制备器件尺寸限制，需至少保证2 mW以上输出功率且光斑扩束至直径1 cm以上时光强分布仍能保持较好高斯分布且输出功率稳定才能完成相关研究。此外，根据不同频率太赫兹波应用需求，需要至少2.2THZ，3.1THZ，4.9THz三个可切换频率，以满足研究需求。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eastAsia="zh-CN"/>
        </w:rPr>
        <w:t>（二）</w:t>
      </w:r>
      <w:r>
        <w:rPr>
          <w:rFonts w:hint="eastAsia" w:ascii="宋体" w:hAnsi="宋体" w:eastAsia="宋体" w:cs="宋体"/>
          <w:b w:val="0"/>
          <w:bCs w:val="0"/>
          <w:sz w:val="24"/>
          <w:szCs w:val="24"/>
          <w:highlight w:val="none"/>
          <w:lang w:eastAsia="zh-CN"/>
        </w:rPr>
        <w:t>指标需求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1.太赫兹量子级联激光器一套（附带电源、斯特林制冷装置、真空泵、适配器等）；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2.★整机可通过频率模块实现三个频率的切换输出，输出频率:2.2THz，3.1THz，4.9THz，波段可电子切换；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3.★太赫兹输出功率：&gt;2mw(连续波)；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4.输出波束发散度：&lt;20°；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5.激光输出模式：可在单模（输出太赫兹波具有高斯分布）和多模输出切换；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7.系统配备制冷设备以保证高功率太赫兹输出，且无需添加制冷剂冷却；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8.可通过USB使用专用软件进行远程控制、可实现门控输出锁定、可实现太赫兹相机的辅助控制输入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eastAsia="zh-CN"/>
        </w:rPr>
        <w:t>（三）</w:t>
      </w:r>
      <w:r>
        <w:rPr>
          <w:rFonts w:hint="eastAsia" w:ascii="宋体" w:hAnsi="宋体" w:eastAsia="宋体" w:cs="宋体"/>
          <w:b w:val="0"/>
          <w:bCs w:val="0"/>
          <w:sz w:val="24"/>
          <w:szCs w:val="24"/>
          <w:highlight w:val="none"/>
          <w:lang w:eastAsia="zh-CN"/>
        </w:rPr>
        <w:t>安全要求：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1.激光器应符合GB7247.1《激光产品第1部分：激光器》的相关规定，并在外壳上标明警示标志。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2.激光器电源线应符合GB1002，GB2099等的相关规定，提供符合国家标准的电源线以及插头，必须有认证标志、制造商、线径等参数。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3. 激光器应具备光路故障自动检测与保护功能，确保在激光器故障情况下自动断电。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4. 激光器应具备防护措施，不会出现漏光以及散热不均匀问题。</w:t>
      </w:r>
    </w:p>
    <w:p>
      <w:pPr>
        <w:numPr>
          <w:ilvl w:val="0"/>
          <w:numId w:val="1"/>
        </w:numPr>
        <w:spacing w:line="360" w:lineRule="auto"/>
        <w:rPr>
          <w:rFonts w:hint="eastAsia" w:ascii="宋体" w:hAnsi="宋体" w:cs="宋体"/>
          <w:b/>
          <w:sz w:val="28"/>
          <w:szCs w:val="28"/>
          <w:lang w:eastAsia="zh-CN"/>
        </w:rPr>
      </w:pPr>
      <w:r>
        <w:rPr>
          <w:rFonts w:hint="eastAsia" w:ascii="宋体" w:hAnsi="宋体" w:cs="宋体"/>
          <w:b/>
          <w:sz w:val="28"/>
          <w:szCs w:val="28"/>
          <w:lang w:eastAsia="zh-CN"/>
        </w:rPr>
        <w:t>商务要求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eastAsia="zh-CN"/>
        </w:rPr>
        <w:t>（一）</w:t>
      </w:r>
      <w:r>
        <w:rPr>
          <w:rFonts w:hint="eastAsia" w:ascii="宋体" w:hAnsi="宋体" w:eastAsia="宋体" w:cs="宋体"/>
          <w:b w:val="0"/>
          <w:bCs w:val="0"/>
          <w:sz w:val="24"/>
          <w:szCs w:val="24"/>
          <w:highlight w:val="none"/>
          <w:lang w:eastAsia="zh-CN"/>
        </w:rPr>
        <w:t>售后及其他服务要求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质保期内如因系统质量问题提供免费维修、更换零部件，服务内容如下：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免费送货上门，免费安装调试；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质保期1年（自验收合格之日起计算）；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（3）</w:t>
      </w:r>
      <w:r>
        <w:rPr>
          <w:rFonts w:hint="eastAsia" w:ascii="宋体" w:hAnsi="宋体" w:eastAsia="宋体" w:cs="宋体"/>
          <w:b w:val="0"/>
          <w:bCs w:val="0"/>
          <w:sz w:val="24"/>
          <w:szCs w:val="24"/>
          <w:highlight w:val="none"/>
          <w:lang w:eastAsia="zh-CN"/>
        </w:rPr>
        <w:t>质保期内对本项目线路、设备提供维护，如果设备出现故障，2个工作日内做出响应；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交货时间及地点：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1）</w:t>
      </w:r>
      <w:r>
        <w:rPr>
          <w:rFonts w:hint="eastAsia" w:ascii="宋体" w:hAnsi="宋体" w:eastAsia="宋体" w:cs="宋体"/>
          <w:b w:val="0"/>
          <w:bCs w:val="0"/>
          <w:sz w:val="24"/>
          <w:szCs w:val="24"/>
          <w:highlight w:val="none"/>
          <w:lang w:eastAsia="zh-CN"/>
        </w:rPr>
        <w:t>交货时间：合同签订后6个月内；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2）</w:t>
      </w:r>
      <w:r>
        <w:rPr>
          <w:rFonts w:hint="eastAsia" w:ascii="宋体" w:hAnsi="宋体" w:eastAsia="宋体" w:cs="宋体"/>
          <w:b w:val="0"/>
          <w:bCs w:val="0"/>
          <w:sz w:val="24"/>
          <w:szCs w:val="24"/>
          <w:highlight w:val="none"/>
          <w:lang w:eastAsia="zh-CN"/>
        </w:rPr>
        <w:t>交货地点：哈尔滨工业大学采购人指定地点；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highlight w:val="none"/>
          <w:lang w:eastAsia="zh-CN"/>
        </w:rPr>
      </w:pPr>
      <w:r>
        <w:rPr>
          <w:rFonts w:hint="eastAsia" w:ascii="宋体" w:hAnsi="宋体" w:cs="宋体"/>
          <w:b w:val="0"/>
          <w:bCs w:val="0"/>
          <w:sz w:val="24"/>
          <w:szCs w:val="24"/>
          <w:highlight w:val="none"/>
          <w:lang w:eastAsia="zh-CN"/>
        </w:rPr>
        <w:t>（二）</w:t>
      </w:r>
      <w:r>
        <w:rPr>
          <w:rFonts w:hint="eastAsia" w:ascii="宋体" w:hAnsi="宋体" w:eastAsia="宋体" w:cs="宋体"/>
          <w:b w:val="0"/>
          <w:bCs w:val="0"/>
          <w:sz w:val="24"/>
          <w:szCs w:val="24"/>
          <w:highlight w:val="none"/>
          <w:lang w:eastAsia="zh-CN"/>
        </w:rPr>
        <w:t>验收方法：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组织专家验收小组按照采购需求指标逐项验收。</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lang w:eastAsia="zh-CN"/>
        </w:rPr>
        <w:t>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1、以上采购需求不指向任何一种品牌或供应商。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2、供应商应按己方所应答货物的实际技术参数填写，如经评标委员会发现未按所投产品品牌的实际技术参数进行应答，而是完全复制采购文件的技术参数，与所投品牌的实际技术参数不符的，按应答无效处理。技术偏离表中“应答文件响应情况”应如实填写，并与“采购文件技术要求”一一对应，如响应技术条款优于采购文件要求，填写“正偏离”，如简单填写“响应”或“完全响应”应答无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3、供应商应注意采购文件的采购需求中指出的工艺、材料、软件和设备的参照品牌或型号仅起说明作用，并没有任何限制性。供应商在采购活动中可以选用替代标准、品牌或型号，但这些替代要实质上满足或优于采购文件的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4、采购人所采购的产品属于国家有关安全、节能、环保等强制性标准时，供应商所投产品必须同时满足强制标准和本项目采购要求，且须在响应文件中按前款规定要求标明并提供认证证书。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5、报价产品的各项技术指标不能低于国家强制性标准，否则应答无效。</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61A14"/>
    <w:multiLevelType w:val="singleLevel"/>
    <w:tmpl w:val="C1861A1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ODFmM2YxOTcwNDY5ZjAxNTMyMjk0NTUyNTQ1MzkifQ=="/>
  </w:docVars>
  <w:rsids>
    <w:rsidRoot w:val="78EA445D"/>
    <w:rsid w:val="78EA4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1"/>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2024-08-08T07:28:00Z</dcterms:created>
  <dc:creator></dc:creator>
  <cp:lastModifiedBy></cp:lastModifiedBy>
  <dcterms:modified xsi:type="dcterms:W3CDTF">2024-08-08T07:28:56Z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8DB299C28A284401B96DC5ECA8F3FDBF_11</vt:lpwstr>
  </property>
</Properties>
</file>