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4BD" w:rsidRPr="00FB34BD" w:rsidRDefault="00FB34BD" w:rsidP="00FB34BD">
      <w:pPr>
        <w:spacing w:line="360" w:lineRule="auto"/>
        <w:ind w:left="425"/>
        <w:rPr>
          <w:rFonts w:ascii="宋体" w:eastAsia="宋体" w:hAnsi="宋体" w:cs="Times New Roman" w:hint="eastAsia"/>
          <w:b/>
          <w:sz w:val="24"/>
          <w:szCs w:val="24"/>
        </w:rPr>
      </w:pPr>
      <w:r w:rsidRPr="00FB34BD">
        <w:rPr>
          <w:rFonts w:ascii="宋体" w:eastAsia="宋体" w:hAnsi="宋体" w:cs="Times New Roman" w:hint="eastAsia"/>
          <w:b/>
          <w:sz w:val="24"/>
          <w:szCs w:val="24"/>
        </w:rPr>
        <w:t>本项目标的名称：哈尔滨工业大学正心楼等楼宇电梯采购安装</w:t>
      </w:r>
    </w:p>
    <w:p w:rsidR="00FB34BD" w:rsidRPr="00FB34BD" w:rsidRDefault="00FB34BD" w:rsidP="00FB34BD">
      <w:pPr>
        <w:spacing w:line="360" w:lineRule="auto"/>
        <w:ind w:left="425"/>
        <w:rPr>
          <w:rFonts w:ascii="微软雅黑" w:eastAsia="微软雅黑" w:hAnsi="微软雅黑" w:cs="宋体"/>
          <w:b/>
          <w:bCs/>
          <w:sz w:val="24"/>
        </w:rPr>
      </w:pPr>
      <w:r w:rsidRPr="00FB34BD">
        <w:rPr>
          <w:rFonts w:ascii="宋体" w:eastAsia="宋体" w:hAnsi="宋体" w:cs="Times New Roman" w:hint="eastAsia"/>
          <w:b/>
          <w:sz w:val="24"/>
          <w:szCs w:val="24"/>
        </w:rPr>
        <w:t>所属行业为：工业</w:t>
      </w:r>
    </w:p>
    <w:p w:rsidR="00FB34BD" w:rsidRPr="00FB34BD" w:rsidRDefault="00FB34BD" w:rsidP="00FB34BD">
      <w:pPr>
        <w:numPr>
          <w:ilvl w:val="0"/>
          <w:numId w:val="1"/>
        </w:numPr>
        <w:spacing w:line="360" w:lineRule="auto"/>
        <w:ind w:firstLineChars="200" w:firstLine="480"/>
        <w:rPr>
          <w:rFonts w:ascii="宋体" w:eastAsia="宋体" w:hAnsi="宋体" w:cs="宋体"/>
          <w:b/>
          <w:sz w:val="24"/>
          <w:szCs w:val="24"/>
        </w:rPr>
      </w:pPr>
      <w:r w:rsidRPr="00FB34BD">
        <w:rPr>
          <w:rFonts w:ascii="宋体" w:eastAsia="宋体" w:hAnsi="宋体" w:cs="宋体" w:hint="eastAsia"/>
          <w:bCs/>
          <w:sz w:val="24"/>
          <w:szCs w:val="24"/>
        </w:rPr>
        <w:t>项目内容：</w:t>
      </w:r>
    </w:p>
    <w:p w:rsidR="00FB34BD" w:rsidRPr="00FB34BD" w:rsidRDefault="00FB34BD" w:rsidP="00FB34BD">
      <w:pPr>
        <w:spacing w:line="360" w:lineRule="auto"/>
        <w:ind w:left="480"/>
        <w:jc w:val="center"/>
        <w:rPr>
          <w:rFonts w:ascii="宋体" w:eastAsia="宋体" w:hAnsi="宋体" w:cs="宋体" w:hint="eastAsia"/>
          <w:b/>
          <w:sz w:val="24"/>
          <w:szCs w:val="24"/>
        </w:rPr>
      </w:pPr>
      <w:r w:rsidRPr="00FB34BD">
        <w:rPr>
          <w:rFonts w:ascii="宋体" w:eastAsia="宋体" w:hAnsi="宋体" w:cs="宋体" w:hint="eastAsia"/>
          <w:bCs/>
          <w:sz w:val="24"/>
          <w:szCs w:val="24"/>
        </w:rPr>
        <w:t>最高限价</w:t>
      </w:r>
      <w:r w:rsidRPr="00FB34BD">
        <w:rPr>
          <w:rFonts w:ascii="宋体" w:eastAsia="宋体" w:hAnsi="宋体" w:cs="宋体"/>
          <w:bCs/>
          <w:sz w:val="24"/>
          <w:szCs w:val="24"/>
        </w:rPr>
        <w:t>明细表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406"/>
        <w:gridCol w:w="406"/>
        <w:gridCol w:w="1068"/>
        <w:gridCol w:w="787"/>
        <w:gridCol w:w="883"/>
        <w:gridCol w:w="406"/>
        <w:gridCol w:w="787"/>
        <w:gridCol w:w="787"/>
        <w:gridCol w:w="692"/>
        <w:gridCol w:w="784"/>
        <w:gridCol w:w="786"/>
      </w:tblGrid>
      <w:tr w:rsidR="00FB34BD" w:rsidRPr="00FB34BD" w:rsidTr="00154B3B">
        <w:tc>
          <w:tcPr>
            <w:tcW w:w="277"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位置</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梯型</w:t>
            </w:r>
          </w:p>
        </w:tc>
        <w:tc>
          <w:tcPr>
            <w:tcW w:w="281"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层站</w:t>
            </w:r>
          </w:p>
        </w:tc>
        <w:tc>
          <w:tcPr>
            <w:tcW w:w="603"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井道尺寸</w:t>
            </w:r>
          </w:p>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(宽*深)mm</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载重</w:t>
            </w:r>
          </w:p>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（kg）</w:t>
            </w:r>
          </w:p>
        </w:tc>
        <w:tc>
          <w:tcPr>
            <w:tcW w:w="496"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速度</w:t>
            </w:r>
          </w:p>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（m/s）</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数量</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底坑</w:t>
            </w:r>
          </w:p>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（mm）</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顶层高度</w:t>
            </w:r>
          </w:p>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（mm）</w:t>
            </w:r>
          </w:p>
        </w:tc>
        <w:tc>
          <w:tcPr>
            <w:tcW w:w="386"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提升高度</w:t>
            </w:r>
          </w:p>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（m）</w:t>
            </w:r>
          </w:p>
        </w:tc>
        <w:tc>
          <w:tcPr>
            <w:tcW w:w="439"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控制价（单价）</w:t>
            </w:r>
          </w:p>
        </w:tc>
        <w:tc>
          <w:tcPr>
            <w:tcW w:w="749"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单价（元）</w:t>
            </w:r>
          </w:p>
        </w:tc>
      </w:tr>
      <w:tr w:rsidR="00FB34BD" w:rsidRPr="00FB34BD" w:rsidTr="00154B3B">
        <w:tc>
          <w:tcPr>
            <w:tcW w:w="277" w:type="pct"/>
            <w:vMerge w:val="restar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正心楼</w:t>
            </w:r>
          </w:p>
        </w:tc>
        <w:tc>
          <w:tcPr>
            <w:tcW w:w="222" w:type="pct"/>
            <w:vMerge w:val="restar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有机房客梯</w:t>
            </w:r>
          </w:p>
          <w:p w:rsidR="00FB34BD" w:rsidRPr="00FB34BD" w:rsidRDefault="00FB34BD" w:rsidP="00FB34BD">
            <w:pPr>
              <w:spacing w:line="360" w:lineRule="auto"/>
              <w:jc w:val="center"/>
              <w:rPr>
                <w:rFonts w:ascii="黑体" w:eastAsia="黑体" w:hAnsi="黑体" w:cs="黑体" w:hint="eastAsia"/>
                <w:szCs w:val="21"/>
              </w:rPr>
            </w:pPr>
          </w:p>
        </w:tc>
        <w:tc>
          <w:tcPr>
            <w:tcW w:w="28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11层11站</w:t>
            </w:r>
          </w:p>
        </w:tc>
        <w:tc>
          <w:tcPr>
            <w:tcW w:w="603"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2600*2200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≥1350</w:t>
            </w:r>
          </w:p>
        </w:tc>
        <w:tc>
          <w:tcPr>
            <w:tcW w:w="49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≥1.5</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1部</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1600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4800</w:t>
            </w:r>
          </w:p>
        </w:tc>
        <w:tc>
          <w:tcPr>
            <w:tcW w:w="38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40.30</w:t>
            </w:r>
          </w:p>
        </w:tc>
        <w:tc>
          <w:tcPr>
            <w:tcW w:w="43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256446</w:t>
            </w:r>
          </w:p>
        </w:tc>
        <w:tc>
          <w:tcPr>
            <w:tcW w:w="74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256446</w:t>
            </w:r>
          </w:p>
        </w:tc>
      </w:tr>
      <w:tr w:rsidR="00FB34BD" w:rsidRPr="00FB34BD" w:rsidTr="00154B3B">
        <w:tc>
          <w:tcPr>
            <w:tcW w:w="277" w:type="pct"/>
            <w:vMerge/>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p>
        </w:tc>
        <w:tc>
          <w:tcPr>
            <w:tcW w:w="222" w:type="pct"/>
            <w:vMerge/>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p>
        </w:tc>
        <w:tc>
          <w:tcPr>
            <w:tcW w:w="28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12层12站</w:t>
            </w:r>
          </w:p>
        </w:tc>
        <w:tc>
          <w:tcPr>
            <w:tcW w:w="603"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2600*2200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≥1350</w:t>
            </w:r>
          </w:p>
        </w:tc>
        <w:tc>
          <w:tcPr>
            <w:tcW w:w="49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≥1.5</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2部</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1750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4800</w:t>
            </w:r>
          </w:p>
        </w:tc>
        <w:tc>
          <w:tcPr>
            <w:tcW w:w="38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48.80</w:t>
            </w:r>
          </w:p>
        </w:tc>
        <w:tc>
          <w:tcPr>
            <w:tcW w:w="43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257677</w:t>
            </w:r>
          </w:p>
        </w:tc>
        <w:tc>
          <w:tcPr>
            <w:tcW w:w="74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515354</w:t>
            </w:r>
          </w:p>
        </w:tc>
      </w:tr>
      <w:tr w:rsidR="00FB34BD" w:rsidRPr="00FB34BD" w:rsidTr="00154B3B">
        <w:tc>
          <w:tcPr>
            <w:tcW w:w="277" w:type="pct"/>
            <w:vMerge/>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p>
        </w:tc>
        <w:tc>
          <w:tcPr>
            <w:tcW w:w="222" w:type="pct"/>
            <w:vMerge/>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p>
        </w:tc>
        <w:tc>
          <w:tcPr>
            <w:tcW w:w="28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9层9站</w:t>
            </w:r>
          </w:p>
        </w:tc>
        <w:tc>
          <w:tcPr>
            <w:tcW w:w="603"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2600*2200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≥1350</w:t>
            </w:r>
          </w:p>
        </w:tc>
        <w:tc>
          <w:tcPr>
            <w:tcW w:w="49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≥1.5</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2部</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1750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4800</w:t>
            </w:r>
          </w:p>
        </w:tc>
        <w:tc>
          <w:tcPr>
            <w:tcW w:w="38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35.90</w:t>
            </w:r>
          </w:p>
        </w:tc>
        <w:tc>
          <w:tcPr>
            <w:tcW w:w="43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246884</w:t>
            </w:r>
          </w:p>
        </w:tc>
        <w:tc>
          <w:tcPr>
            <w:tcW w:w="74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493768</w:t>
            </w:r>
          </w:p>
        </w:tc>
      </w:tr>
      <w:tr w:rsidR="00FB34BD" w:rsidRPr="00FB34BD" w:rsidTr="00154B3B">
        <w:tc>
          <w:tcPr>
            <w:tcW w:w="277" w:type="pct"/>
            <w:vMerge/>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p>
        </w:tc>
        <w:tc>
          <w:tcPr>
            <w:tcW w:w="222" w:type="pct"/>
            <w:vMerge/>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p>
        </w:tc>
        <w:tc>
          <w:tcPr>
            <w:tcW w:w="28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10层10</w:t>
            </w:r>
            <w:r w:rsidRPr="00FB34BD">
              <w:rPr>
                <w:rFonts w:ascii="黑体" w:eastAsia="黑体" w:hAnsi="黑体" w:cs="黑体" w:hint="eastAsia"/>
                <w:szCs w:val="21"/>
              </w:rPr>
              <w:lastRenderedPageBreak/>
              <w:t>站</w:t>
            </w:r>
          </w:p>
        </w:tc>
        <w:tc>
          <w:tcPr>
            <w:tcW w:w="603"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lastRenderedPageBreak/>
              <w:t>2600*2200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≥1350</w:t>
            </w:r>
          </w:p>
        </w:tc>
        <w:tc>
          <w:tcPr>
            <w:tcW w:w="49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≥1.5</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1部</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1600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4800</w:t>
            </w:r>
          </w:p>
        </w:tc>
        <w:tc>
          <w:tcPr>
            <w:tcW w:w="38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44.40</w:t>
            </w:r>
          </w:p>
        </w:tc>
        <w:tc>
          <w:tcPr>
            <w:tcW w:w="43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248407</w:t>
            </w:r>
          </w:p>
        </w:tc>
        <w:tc>
          <w:tcPr>
            <w:tcW w:w="74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248407</w:t>
            </w:r>
          </w:p>
        </w:tc>
      </w:tr>
      <w:tr w:rsidR="00FB34BD" w:rsidRPr="00FB34BD" w:rsidTr="00154B3B">
        <w:tc>
          <w:tcPr>
            <w:tcW w:w="277"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lastRenderedPageBreak/>
              <w:t>A05公寓</w:t>
            </w:r>
          </w:p>
        </w:tc>
        <w:tc>
          <w:tcPr>
            <w:tcW w:w="222" w:type="pct"/>
            <w:shd w:val="clear" w:color="auto" w:fill="auto"/>
            <w:vAlign w:val="center"/>
          </w:tcPr>
          <w:p w:rsidR="00FB34BD" w:rsidRPr="00FB34BD" w:rsidRDefault="00FB34BD" w:rsidP="00FB34BD">
            <w:pPr>
              <w:spacing w:line="360" w:lineRule="auto"/>
              <w:rPr>
                <w:rFonts w:ascii="黑体" w:eastAsia="黑体" w:hAnsi="黑体" w:cs="黑体" w:hint="eastAsia"/>
                <w:szCs w:val="21"/>
              </w:rPr>
            </w:pPr>
            <w:r w:rsidRPr="00FB34BD">
              <w:rPr>
                <w:rFonts w:ascii="黑体" w:eastAsia="黑体" w:hAnsi="黑体" w:cs="黑体" w:hint="eastAsia"/>
                <w:szCs w:val="21"/>
              </w:rPr>
              <w:t>无机房客梯</w:t>
            </w:r>
          </w:p>
        </w:tc>
        <w:tc>
          <w:tcPr>
            <w:tcW w:w="28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7层7站</w:t>
            </w:r>
          </w:p>
        </w:tc>
        <w:tc>
          <w:tcPr>
            <w:tcW w:w="603"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2050*2500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≥1000</w:t>
            </w:r>
          </w:p>
        </w:tc>
        <w:tc>
          <w:tcPr>
            <w:tcW w:w="49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≥1.5</w:t>
            </w:r>
          </w:p>
        </w:tc>
        <w:tc>
          <w:tcPr>
            <w:tcW w:w="222"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1部</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1600</w:t>
            </w:r>
          </w:p>
        </w:tc>
        <w:tc>
          <w:tcPr>
            <w:tcW w:w="441"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4500</w:t>
            </w:r>
          </w:p>
        </w:tc>
        <w:tc>
          <w:tcPr>
            <w:tcW w:w="386" w:type="pct"/>
            <w:shd w:val="clear" w:color="auto" w:fill="auto"/>
            <w:vAlign w:val="center"/>
          </w:tcPr>
          <w:p w:rsidR="00FB34BD" w:rsidRPr="00FB34BD" w:rsidRDefault="00FB34BD" w:rsidP="00FB34BD">
            <w:pPr>
              <w:spacing w:line="360" w:lineRule="auto"/>
              <w:jc w:val="center"/>
              <w:rPr>
                <w:rFonts w:ascii="黑体" w:eastAsia="黑体" w:hAnsi="黑体" w:cs="黑体" w:hint="eastAsia"/>
                <w:szCs w:val="21"/>
              </w:rPr>
            </w:pPr>
            <w:r w:rsidRPr="00FB34BD">
              <w:rPr>
                <w:rFonts w:ascii="黑体" w:eastAsia="黑体" w:hAnsi="黑体" w:cs="黑体" w:hint="eastAsia"/>
                <w:szCs w:val="21"/>
              </w:rPr>
              <w:t>19.90</w:t>
            </w:r>
          </w:p>
        </w:tc>
        <w:tc>
          <w:tcPr>
            <w:tcW w:w="43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228750</w:t>
            </w:r>
          </w:p>
        </w:tc>
        <w:tc>
          <w:tcPr>
            <w:tcW w:w="749" w:type="pct"/>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228750</w:t>
            </w:r>
          </w:p>
        </w:tc>
      </w:tr>
      <w:tr w:rsidR="00FB34BD" w:rsidRPr="00FB34BD" w:rsidTr="00154B3B">
        <w:tc>
          <w:tcPr>
            <w:tcW w:w="277" w:type="pct"/>
            <w:shd w:val="clear" w:color="auto" w:fill="auto"/>
            <w:vAlign w:val="center"/>
          </w:tcPr>
          <w:p w:rsidR="00FB34BD" w:rsidRPr="00FB34BD" w:rsidRDefault="00FB34BD" w:rsidP="00FB34BD">
            <w:pPr>
              <w:spacing w:line="360" w:lineRule="auto"/>
              <w:jc w:val="center"/>
              <w:rPr>
                <w:rFonts w:ascii="黑体" w:eastAsia="黑体" w:hAnsi="黑体" w:cs="黑体" w:hint="eastAsia"/>
                <w:b/>
                <w:bCs/>
                <w:szCs w:val="21"/>
              </w:rPr>
            </w:pPr>
            <w:r w:rsidRPr="00FB34BD">
              <w:rPr>
                <w:rFonts w:ascii="黑体" w:eastAsia="黑体" w:hAnsi="黑体" w:cs="黑体" w:hint="eastAsia"/>
                <w:b/>
                <w:bCs/>
                <w:szCs w:val="21"/>
              </w:rPr>
              <w:t>合计</w:t>
            </w:r>
          </w:p>
        </w:tc>
        <w:tc>
          <w:tcPr>
            <w:tcW w:w="4723" w:type="pct"/>
            <w:gridSpan w:val="11"/>
            <w:shd w:val="clear" w:color="auto" w:fill="auto"/>
            <w:vAlign w:val="center"/>
          </w:tcPr>
          <w:p w:rsidR="00FB34BD" w:rsidRPr="00FB34BD" w:rsidRDefault="00FB34BD" w:rsidP="00FB34BD">
            <w:pPr>
              <w:spacing w:line="360" w:lineRule="auto"/>
              <w:jc w:val="center"/>
              <w:rPr>
                <w:rFonts w:ascii="黑体" w:eastAsia="黑体" w:hAnsi="黑体" w:cs="黑体"/>
                <w:szCs w:val="21"/>
              </w:rPr>
            </w:pPr>
            <w:r w:rsidRPr="00FB34BD">
              <w:rPr>
                <w:rFonts w:ascii="黑体" w:eastAsia="黑体" w:hAnsi="黑体" w:cs="黑体" w:hint="eastAsia"/>
                <w:szCs w:val="21"/>
              </w:rPr>
              <w:t>人民币：1742725.00元</w:t>
            </w:r>
          </w:p>
        </w:tc>
      </w:tr>
    </w:tbl>
    <w:p w:rsidR="00FB34BD" w:rsidRPr="00FB34BD" w:rsidRDefault="00FB34BD" w:rsidP="00FB34BD">
      <w:pPr>
        <w:spacing w:line="360" w:lineRule="auto"/>
        <w:rPr>
          <w:rFonts w:ascii="宋体" w:eastAsia="宋体" w:hAnsi="宋体" w:cs="宋体" w:hint="eastAsia"/>
          <w:sz w:val="24"/>
          <w:szCs w:val="24"/>
        </w:rPr>
      </w:pPr>
      <w:r w:rsidRPr="00FB34BD">
        <w:rPr>
          <w:rFonts w:ascii="宋体" w:eastAsia="宋体" w:hAnsi="宋体" w:cs="宋体" w:hint="eastAsia"/>
          <w:sz w:val="24"/>
          <w:szCs w:val="24"/>
        </w:rPr>
        <w:t>★注：为保证中标后</w:t>
      </w:r>
      <w:r w:rsidRPr="00FB34BD">
        <w:rPr>
          <w:rFonts w:ascii="宋体" w:eastAsia="宋体" w:hAnsi="宋体" w:cs="宋体"/>
          <w:sz w:val="24"/>
          <w:szCs w:val="24"/>
        </w:rPr>
        <w:t>售后服务的连贯，</w:t>
      </w:r>
      <w:r w:rsidRPr="00FB34BD">
        <w:rPr>
          <w:rFonts w:ascii="宋体" w:eastAsia="宋体" w:hAnsi="宋体" w:cs="宋体" w:hint="eastAsia"/>
          <w:sz w:val="24"/>
          <w:szCs w:val="24"/>
        </w:rPr>
        <w:t>本项目</w:t>
      </w:r>
      <w:r w:rsidRPr="00FB34BD">
        <w:rPr>
          <w:rFonts w:ascii="宋体" w:eastAsia="宋体" w:hAnsi="宋体" w:cs="宋体"/>
          <w:sz w:val="24"/>
          <w:szCs w:val="24"/>
        </w:rPr>
        <w:t>所采购的所有电梯</w:t>
      </w:r>
      <w:r w:rsidRPr="00FB34BD">
        <w:rPr>
          <w:rFonts w:ascii="宋体" w:eastAsia="宋体" w:hAnsi="宋体" w:cs="宋体" w:hint="eastAsia"/>
          <w:sz w:val="24"/>
          <w:szCs w:val="24"/>
        </w:rPr>
        <w:t>均应提供</w:t>
      </w:r>
      <w:r w:rsidRPr="00FB34BD">
        <w:rPr>
          <w:rFonts w:ascii="宋体" w:eastAsia="宋体" w:hAnsi="宋体" w:cs="宋体"/>
          <w:sz w:val="24"/>
          <w:szCs w:val="24"/>
        </w:rPr>
        <w:t>同一品牌</w:t>
      </w:r>
      <w:r w:rsidRPr="00FB34BD">
        <w:rPr>
          <w:rFonts w:ascii="宋体" w:eastAsia="宋体" w:hAnsi="宋体" w:cs="宋体" w:hint="eastAsia"/>
          <w:sz w:val="24"/>
          <w:szCs w:val="24"/>
        </w:rPr>
        <w:t>产品。单价及</w:t>
      </w:r>
      <w:r w:rsidRPr="00FB34BD">
        <w:rPr>
          <w:rFonts w:ascii="宋体" w:eastAsia="宋体" w:hAnsi="宋体" w:cs="宋体"/>
          <w:sz w:val="24"/>
          <w:szCs w:val="24"/>
        </w:rPr>
        <w:t>总价均不得超过最高限价</w:t>
      </w:r>
      <w:r w:rsidRPr="00FB34BD">
        <w:rPr>
          <w:rFonts w:ascii="宋体" w:eastAsia="宋体" w:hAnsi="宋体" w:cs="宋体" w:hint="eastAsia"/>
          <w:sz w:val="24"/>
          <w:szCs w:val="24"/>
        </w:rPr>
        <w:t>明细表中的</w:t>
      </w:r>
      <w:r w:rsidRPr="00FB34BD">
        <w:rPr>
          <w:rFonts w:ascii="宋体" w:eastAsia="宋体" w:hAnsi="宋体" w:cs="宋体"/>
          <w:sz w:val="24"/>
          <w:szCs w:val="24"/>
        </w:rPr>
        <w:t>价格。</w:t>
      </w:r>
    </w:p>
    <w:p w:rsidR="00FB34BD" w:rsidRPr="00FB34BD" w:rsidRDefault="00FB34BD" w:rsidP="00FB34BD">
      <w:pPr>
        <w:spacing w:line="360" w:lineRule="auto"/>
        <w:rPr>
          <w:rFonts w:ascii="宋体" w:eastAsia="宋体" w:hAnsi="宋体" w:cs="宋体" w:hint="eastAsia"/>
          <w:sz w:val="24"/>
          <w:szCs w:val="24"/>
        </w:rPr>
      </w:pPr>
      <w:r w:rsidRPr="00FB34BD">
        <w:rPr>
          <w:rFonts w:ascii="宋体" w:eastAsia="宋体" w:hAnsi="宋体" w:cs="宋体" w:hint="eastAsia"/>
          <w:sz w:val="24"/>
          <w:szCs w:val="24"/>
        </w:rPr>
        <w:t>1.本项目采购结束后，成交供应商应赶赴现场进行实地测量踏勘，针对电梯安装运行等技术条件与采购人复核确认无误后，方可进行排产供货，否则由此引起的质量、安全、工期等缺陷责任问题及经济损失均由供应商承担。</w:t>
      </w:r>
    </w:p>
    <w:p w:rsidR="00FB34BD" w:rsidRPr="00FB34BD" w:rsidRDefault="00FB34BD" w:rsidP="00FB34BD">
      <w:pPr>
        <w:spacing w:line="360" w:lineRule="auto"/>
        <w:rPr>
          <w:rFonts w:ascii="微软雅黑" w:eastAsia="微软雅黑" w:hAnsi="微软雅黑" w:cs="微软雅黑" w:hint="eastAsia"/>
          <w:b/>
          <w:sz w:val="28"/>
          <w:szCs w:val="28"/>
        </w:rPr>
      </w:pPr>
      <w:r w:rsidRPr="00FB34BD">
        <w:rPr>
          <w:rFonts w:ascii="宋体" w:eastAsia="宋体" w:hAnsi="宋体" w:cs="宋体" w:hint="eastAsia"/>
          <w:sz w:val="24"/>
          <w:szCs w:val="24"/>
        </w:rPr>
        <w:t>2.总价包括设备款、安装费、运输费、政府验收费、厅门口装饰恢复,厅门口地坎地砖恢复、监控及五方对讲安装、垃圾清运、施工人员保险费、旧梯拆除费（拆除的旧梯及相关设备归招标人所有）用等全部费用。</w:t>
      </w:r>
    </w:p>
    <w:p w:rsidR="00FB34BD" w:rsidRPr="00FB34BD" w:rsidRDefault="00FB34BD" w:rsidP="00FB34BD">
      <w:pPr>
        <w:numPr>
          <w:ilvl w:val="0"/>
          <w:numId w:val="1"/>
        </w:numPr>
        <w:spacing w:line="360" w:lineRule="auto"/>
        <w:ind w:firstLineChars="200" w:firstLine="480"/>
        <w:rPr>
          <w:rFonts w:ascii="宋体" w:eastAsia="宋体" w:hAnsi="宋体" w:cs="宋体"/>
          <w:bCs/>
          <w:sz w:val="24"/>
          <w:szCs w:val="24"/>
        </w:rPr>
      </w:pPr>
      <w:r w:rsidRPr="00FB34BD">
        <w:rPr>
          <w:rFonts w:ascii="宋体" w:eastAsia="宋体" w:hAnsi="宋体" w:cs="宋体" w:hint="eastAsia"/>
          <w:bCs/>
          <w:sz w:val="24"/>
          <w:szCs w:val="24"/>
        </w:rPr>
        <w:t>电梯技术规格要求</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1.规格：</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(1)电梯驱动方式：采用交流变频变压调速(VVVF)；</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(2)曳引主机：采用永磁同步无齿轮曳引机；</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(3)主控电脑板：采用32位（或以上）MPU微处理器或DSP数字信号处理；</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(4)门机：永磁同步变频门机；</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(5)通风设备：两侧排气孔及低噪音风机通风；</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(6)操 纵 盘：发纹不锈钢操纵盘，液晶显示（只显示数字，无视频功能）；</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(7)外召唤盒：发纹不锈钢,液晶显示；</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(8)主服务楼层：无（但可设置）</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(9)开门方式:中分自动门；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(10)电源：动力 380V，50HZ；照明 220V，50HZ；</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(11) 装饰标准：</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fldChar w:fldCharType="begin"/>
      </w:r>
      <w:r w:rsidRPr="00FB34BD">
        <w:rPr>
          <w:rFonts w:ascii="宋体" w:eastAsia="宋体" w:hAnsi="宋体" w:cs="宋体" w:hint="eastAsia"/>
          <w:sz w:val="24"/>
          <w:szCs w:val="24"/>
        </w:rPr>
        <w:instrText xml:space="preserve"> = 1 \* GB3 </w:instrText>
      </w:r>
      <w:r w:rsidRPr="00FB34BD">
        <w:rPr>
          <w:rFonts w:ascii="宋体" w:eastAsia="宋体" w:hAnsi="宋体" w:cs="宋体" w:hint="eastAsia"/>
          <w:sz w:val="24"/>
          <w:szCs w:val="24"/>
        </w:rPr>
        <w:fldChar w:fldCharType="separate"/>
      </w:r>
      <w:r w:rsidRPr="00FB34BD">
        <w:rPr>
          <w:rFonts w:ascii="宋体" w:eastAsia="宋体" w:hAnsi="宋体" w:cs="宋体" w:hint="eastAsia"/>
          <w:sz w:val="24"/>
          <w:szCs w:val="24"/>
        </w:rPr>
        <w:t>①</w:t>
      </w:r>
      <w:r w:rsidRPr="00FB34BD">
        <w:rPr>
          <w:rFonts w:ascii="宋体" w:eastAsia="宋体" w:hAnsi="宋体" w:cs="宋体" w:hint="eastAsia"/>
          <w:sz w:val="24"/>
          <w:szCs w:val="24"/>
        </w:rPr>
        <w:fldChar w:fldCharType="end"/>
      </w:r>
      <w:r w:rsidRPr="00FB34BD">
        <w:rPr>
          <w:rFonts w:ascii="宋体" w:eastAsia="宋体" w:hAnsi="宋体" w:cs="宋体" w:hint="eastAsia"/>
          <w:sz w:val="24"/>
          <w:szCs w:val="24"/>
        </w:rPr>
        <w:t>各层均为标准小门套；</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fldChar w:fldCharType="begin"/>
      </w:r>
      <w:r w:rsidRPr="00FB34BD">
        <w:rPr>
          <w:rFonts w:ascii="宋体" w:eastAsia="宋体" w:hAnsi="宋体" w:cs="宋体" w:hint="eastAsia"/>
          <w:sz w:val="24"/>
          <w:szCs w:val="24"/>
        </w:rPr>
        <w:instrText xml:space="preserve"> = 2 \* GB3 </w:instrText>
      </w:r>
      <w:r w:rsidRPr="00FB34BD">
        <w:rPr>
          <w:rFonts w:ascii="宋体" w:eastAsia="宋体" w:hAnsi="宋体" w:cs="宋体" w:hint="eastAsia"/>
          <w:sz w:val="24"/>
          <w:szCs w:val="24"/>
        </w:rPr>
        <w:fldChar w:fldCharType="separate"/>
      </w:r>
      <w:r w:rsidRPr="00FB34BD">
        <w:rPr>
          <w:rFonts w:ascii="宋体" w:eastAsia="宋体" w:hAnsi="宋体" w:cs="宋体" w:hint="eastAsia"/>
          <w:sz w:val="24"/>
          <w:szCs w:val="24"/>
        </w:rPr>
        <w:t>②</w:t>
      </w:r>
      <w:r w:rsidRPr="00FB34BD">
        <w:rPr>
          <w:rFonts w:ascii="宋体" w:eastAsia="宋体" w:hAnsi="宋体" w:cs="宋体" w:hint="eastAsia"/>
          <w:sz w:val="24"/>
          <w:szCs w:val="24"/>
        </w:rPr>
        <w:fldChar w:fldCharType="end"/>
      </w:r>
      <w:r w:rsidRPr="00FB34BD">
        <w:rPr>
          <w:rFonts w:ascii="宋体" w:eastAsia="宋体" w:hAnsi="宋体" w:cs="宋体" w:hint="eastAsia"/>
          <w:sz w:val="24"/>
          <w:szCs w:val="24"/>
        </w:rPr>
        <w:t>轿厢、轿门、厅门及门套为发纹不锈钢装饰，其中轿门、厅门为单一不锈钢材质。</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w:t>
      </w:r>
      <w:r w:rsidRPr="00FB34BD">
        <w:rPr>
          <w:rFonts w:ascii="宋体" w:eastAsia="宋体" w:hAnsi="宋体" w:cs="宋体" w:hint="eastAsia"/>
          <w:sz w:val="24"/>
          <w:szCs w:val="24"/>
        </w:rPr>
        <w:fldChar w:fldCharType="begin"/>
      </w:r>
      <w:r w:rsidRPr="00FB34BD">
        <w:rPr>
          <w:rFonts w:ascii="宋体" w:eastAsia="宋体" w:hAnsi="宋体" w:cs="宋体" w:hint="eastAsia"/>
          <w:sz w:val="24"/>
          <w:szCs w:val="24"/>
        </w:rPr>
        <w:instrText xml:space="preserve"> = 3 \* GB3 </w:instrText>
      </w:r>
      <w:r w:rsidRPr="00FB34BD">
        <w:rPr>
          <w:rFonts w:ascii="宋体" w:eastAsia="宋体" w:hAnsi="宋体" w:cs="宋体" w:hint="eastAsia"/>
          <w:sz w:val="24"/>
          <w:szCs w:val="24"/>
        </w:rPr>
        <w:fldChar w:fldCharType="separate"/>
      </w:r>
      <w:r w:rsidRPr="00FB34BD">
        <w:rPr>
          <w:rFonts w:ascii="宋体" w:eastAsia="宋体" w:hAnsi="宋体" w:cs="宋体" w:hint="eastAsia"/>
          <w:sz w:val="24"/>
          <w:szCs w:val="24"/>
        </w:rPr>
        <w:t>③</w:t>
      </w:r>
      <w:r w:rsidRPr="00FB34BD">
        <w:rPr>
          <w:rFonts w:ascii="宋体" w:eastAsia="宋体" w:hAnsi="宋体" w:cs="宋体" w:hint="eastAsia"/>
          <w:sz w:val="24"/>
          <w:szCs w:val="24"/>
        </w:rPr>
        <w:fldChar w:fldCharType="end"/>
      </w:r>
      <w:r w:rsidRPr="00FB34BD">
        <w:rPr>
          <w:rFonts w:ascii="宋体" w:eastAsia="宋体" w:hAnsi="宋体" w:cs="宋体" w:hint="eastAsia"/>
          <w:sz w:val="24"/>
          <w:szCs w:val="24"/>
        </w:rPr>
        <w:t xml:space="preserve"> PVC地坪；</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fldChar w:fldCharType="begin"/>
      </w:r>
      <w:r w:rsidRPr="00FB34BD">
        <w:rPr>
          <w:rFonts w:ascii="宋体" w:eastAsia="宋体" w:hAnsi="宋体" w:cs="宋体" w:hint="eastAsia"/>
          <w:sz w:val="24"/>
          <w:szCs w:val="24"/>
        </w:rPr>
        <w:instrText xml:space="preserve"> = 4 \* GB3 </w:instrText>
      </w:r>
      <w:r w:rsidRPr="00FB34BD">
        <w:rPr>
          <w:rFonts w:ascii="宋体" w:eastAsia="宋体" w:hAnsi="宋体" w:cs="宋体" w:hint="eastAsia"/>
          <w:sz w:val="24"/>
          <w:szCs w:val="24"/>
        </w:rPr>
        <w:fldChar w:fldCharType="separate"/>
      </w:r>
      <w:r w:rsidRPr="00FB34BD">
        <w:rPr>
          <w:rFonts w:ascii="宋体" w:eastAsia="宋体" w:hAnsi="宋体" w:cs="宋体" w:hint="eastAsia"/>
          <w:sz w:val="24"/>
          <w:szCs w:val="24"/>
        </w:rPr>
        <w:t>④</w:t>
      </w:r>
      <w:r w:rsidRPr="00FB34BD">
        <w:rPr>
          <w:rFonts w:ascii="宋体" w:eastAsia="宋体" w:hAnsi="宋体" w:cs="宋体" w:hint="eastAsia"/>
          <w:sz w:val="24"/>
          <w:szCs w:val="24"/>
        </w:rPr>
        <w:fldChar w:fldCharType="end"/>
      </w:r>
      <w:r w:rsidRPr="00FB34BD">
        <w:rPr>
          <w:rFonts w:ascii="宋体" w:eastAsia="宋体" w:hAnsi="宋体" w:cs="宋体" w:hint="eastAsia"/>
          <w:sz w:val="24"/>
          <w:szCs w:val="24"/>
        </w:rPr>
        <w:t>硬质铝合金地坎；</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w:t>
      </w:r>
      <w:r w:rsidRPr="00FB34BD">
        <w:rPr>
          <w:rFonts w:ascii="宋体" w:eastAsia="宋体" w:hAnsi="宋体" w:cs="宋体" w:hint="eastAsia"/>
          <w:sz w:val="24"/>
          <w:szCs w:val="24"/>
        </w:rPr>
        <w:fldChar w:fldCharType="begin"/>
      </w:r>
      <w:r w:rsidRPr="00FB34BD">
        <w:rPr>
          <w:rFonts w:ascii="宋体" w:eastAsia="宋体" w:hAnsi="宋体" w:cs="宋体" w:hint="eastAsia"/>
          <w:sz w:val="24"/>
          <w:szCs w:val="24"/>
        </w:rPr>
        <w:instrText xml:space="preserve"> = 5 \* GB3 </w:instrText>
      </w:r>
      <w:r w:rsidRPr="00FB34BD">
        <w:rPr>
          <w:rFonts w:ascii="宋体" w:eastAsia="宋体" w:hAnsi="宋体" w:cs="宋体" w:hint="eastAsia"/>
          <w:sz w:val="24"/>
          <w:szCs w:val="24"/>
        </w:rPr>
        <w:fldChar w:fldCharType="separate"/>
      </w:r>
      <w:r w:rsidRPr="00FB34BD">
        <w:rPr>
          <w:rFonts w:ascii="宋体" w:eastAsia="宋体" w:hAnsi="宋体" w:cs="宋体" w:hint="eastAsia"/>
          <w:sz w:val="24"/>
          <w:szCs w:val="24"/>
        </w:rPr>
        <w:t>⑤</w:t>
      </w:r>
      <w:r w:rsidRPr="00FB34BD">
        <w:rPr>
          <w:rFonts w:ascii="宋体" w:eastAsia="宋体" w:hAnsi="宋体" w:cs="宋体" w:hint="eastAsia"/>
          <w:sz w:val="24"/>
          <w:szCs w:val="24"/>
        </w:rPr>
        <w:fldChar w:fldCharType="end"/>
      </w:r>
      <w:r w:rsidRPr="00FB34BD">
        <w:rPr>
          <w:rFonts w:ascii="宋体" w:eastAsia="宋体" w:hAnsi="宋体" w:cs="宋体" w:hint="eastAsia"/>
          <w:sz w:val="24"/>
          <w:szCs w:val="24"/>
        </w:rPr>
        <w:t>吊顶：采用发纹不锈钢吊顶，LED照明；</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⑥对重采用单一金属材质。</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2.功能要求</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(1)开、关门按钮</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(2)误指令消除(双击取消)</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(3)具备专用直驶运行功能</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(4)报警按钮</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(5)通话按钮</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(6)超载保护</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 (7)轿厢照明和风扇节能运行功能</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(8)轿厢内紧急照明</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(9)每层均有层位及方向指示</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(10)光幕保护</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(11)无线五方对讲通话装置(满足停电时使用)。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(12)轿厢电子连续称重</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(13)防捣乱功能</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(14)火灾应急返回</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(15)基站返回（可设置）</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(16)轿厢意外移动保护</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(17)本层同向外呼再开门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(18)门锁故障时，门自动重复关门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(19)满载直驶且外呼有”满载”字样</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(20)钥匙锁梯</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(21)消防员操作功能</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(22)断电就近自动平层开门功能</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#(23)开门延时功能（轿厢内单独按钮）</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(24)故障就近平层(非电源及安全回路故障)</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3.配置要求：</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(1)供应商需提供AI智能设备及使用平台（具有电梯当前速度、语音报警、关门异常报警、乘坐人次统计、运行里程统计、开关门次数统计、每层停靠次数统计等功能，同时免费提供一年的平台使用服务）配套设备及服务，并与学校现有系统兼容；</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(2)供应商需每部电梯提供视频监控及存储等配套设备，并与学校现有安防系统兼容，供应商负责设备安装，其中线路需敷设至指定点位，施工工艺符合采购人要求。</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(3)电梯需配备液压缓冲器；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(4)电梯具有防浪涌保护功能；</w:t>
      </w:r>
    </w:p>
    <w:p w:rsidR="00FB34BD" w:rsidRPr="00FB34BD" w:rsidRDefault="00FB34BD" w:rsidP="00FB34BD">
      <w:pPr>
        <w:spacing w:line="360" w:lineRule="auto"/>
        <w:ind w:firstLineChars="225" w:firstLine="540"/>
        <w:rPr>
          <w:rFonts w:ascii="宋体" w:eastAsia="宋体" w:hAnsi="宋体" w:cs="宋体" w:hint="eastAsia"/>
          <w:sz w:val="24"/>
          <w:szCs w:val="24"/>
        </w:rPr>
      </w:pPr>
      <w:r w:rsidRPr="00FB34BD">
        <w:rPr>
          <w:rFonts w:ascii="宋体" w:eastAsia="宋体" w:hAnsi="宋体" w:cs="宋体" w:hint="eastAsia"/>
          <w:sz w:val="24"/>
          <w:szCs w:val="24"/>
        </w:rPr>
        <w:t># (5)主副、导轨：主副导轨型号采用不低于T75型号实心导轨；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(6)曳引轮与轿厢采用钢丝绳传动；</w:t>
      </w:r>
    </w:p>
    <w:p w:rsidR="00FB34BD" w:rsidRPr="00FB34BD" w:rsidRDefault="00FB34BD" w:rsidP="00FB34BD">
      <w:pPr>
        <w:spacing w:line="360" w:lineRule="auto"/>
        <w:ind w:firstLineChars="225" w:firstLine="54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(7)对重反绳轮材质：采用金属材质；</w:t>
      </w:r>
    </w:p>
    <w:p w:rsidR="00FB34BD" w:rsidRPr="00FB34BD" w:rsidRDefault="00FB34BD" w:rsidP="00FB34BD">
      <w:pPr>
        <w:spacing w:line="360" w:lineRule="auto"/>
        <w:ind w:firstLineChars="200" w:firstLine="482"/>
        <w:rPr>
          <w:rFonts w:ascii="宋体" w:eastAsia="宋体" w:hAnsi="宋体" w:cs="宋体" w:hint="eastAsia"/>
          <w:sz w:val="24"/>
          <w:szCs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(8)每部电梯均配置独立外呼设备。</w:t>
      </w:r>
    </w:p>
    <w:p w:rsidR="00FB34BD" w:rsidRPr="00FB34BD" w:rsidRDefault="00FB34BD" w:rsidP="00FB34BD">
      <w:pPr>
        <w:spacing w:line="360" w:lineRule="auto"/>
        <w:ind w:firstLineChars="200" w:firstLine="482"/>
        <w:rPr>
          <w:rFonts w:ascii="Calibri" w:eastAsia="微软雅黑" w:hAnsi="Calibri" w:cs="Times New Roman"/>
          <w:color w:val="000000"/>
          <w:sz w:val="24"/>
        </w:rPr>
      </w:pPr>
      <w:r w:rsidRPr="00FB34BD">
        <w:rPr>
          <w:rFonts w:ascii="宋体" w:eastAsia="宋体" w:hAnsi="宋体" w:cs="宋体" w:hint="eastAsia"/>
          <w:b/>
          <w:sz w:val="24"/>
          <w:szCs w:val="24"/>
        </w:rPr>
        <w:t>★</w:t>
      </w:r>
      <w:r w:rsidRPr="00FB34BD">
        <w:rPr>
          <w:rFonts w:ascii="宋体" w:eastAsia="宋体" w:hAnsi="宋体" w:cs="宋体" w:hint="eastAsia"/>
          <w:sz w:val="24"/>
          <w:szCs w:val="24"/>
        </w:rPr>
        <w:t>(9)对重采用全金属材质</w:t>
      </w:r>
    </w:p>
    <w:p w:rsidR="00FB34BD" w:rsidRPr="00FB34BD" w:rsidRDefault="00FB34BD" w:rsidP="00FB34BD">
      <w:pPr>
        <w:numPr>
          <w:ilvl w:val="0"/>
          <w:numId w:val="1"/>
        </w:numPr>
        <w:spacing w:line="360" w:lineRule="auto"/>
        <w:ind w:firstLineChars="200" w:firstLine="480"/>
        <w:rPr>
          <w:rFonts w:ascii="宋体" w:eastAsia="宋体" w:hAnsi="宋体" w:cs="宋体" w:hint="eastAsia"/>
          <w:bCs/>
          <w:sz w:val="24"/>
          <w:szCs w:val="24"/>
        </w:rPr>
      </w:pPr>
      <w:r w:rsidRPr="00FB34BD">
        <w:rPr>
          <w:rFonts w:ascii="宋体" w:eastAsia="宋体" w:hAnsi="宋体" w:cs="宋体" w:hint="eastAsia"/>
          <w:bCs/>
          <w:sz w:val="24"/>
          <w:szCs w:val="24"/>
        </w:rPr>
        <w:t>供货及安装周期</w:t>
      </w:r>
    </w:p>
    <w:p w:rsidR="00FB34BD" w:rsidRPr="00FB34BD" w:rsidRDefault="00FB34BD" w:rsidP="00FB34BD">
      <w:pPr>
        <w:spacing w:line="360" w:lineRule="auto"/>
        <w:ind w:firstLineChars="225" w:firstLine="540"/>
        <w:rPr>
          <w:rFonts w:ascii="宋体" w:eastAsia="宋体" w:hAnsi="宋体" w:cs="宋体" w:hint="eastAsia"/>
          <w:sz w:val="24"/>
        </w:rPr>
      </w:pPr>
      <w:r w:rsidRPr="00FB34BD">
        <w:rPr>
          <w:rFonts w:ascii="宋体" w:eastAsia="宋体" w:hAnsi="宋体" w:cs="宋体" w:hint="eastAsia"/>
          <w:sz w:val="24"/>
        </w:rPr>
        <w:t>自乙方接到中标通知书之日起，25日历天内完成全部电梯供货、安装及调试工作，并通过质量监督部门的专项验收。具体到货安装时间根据招标人通知确定。逾期交货的，每逾期一天将处以合同总价的百分之一的罚金。超过10天，投标人按合同金额的30%向招标人支付违约金，并赔偿由此造成的损失费用，招标人有权解除合同并另行招标采购。</w:t>
      </w:r>
    </w:p>
    <w:p w:rsidR="00FB34BD" w:rsidRPr="00FB34BD" w:rsidRDefault="00FB34BD" w:rsidP="00FB34BD">
      <w:pPr>
        <w:spacing w:line="42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合同签订后，乙方应根据施工现场实际情况就本次供货内容、规格标准、总体布置、土建配合、排产时间、现场搬运、仓储保管、组织工人、安装工期等事宜与甲方及本项目总包单位进行洽商并制定详细计划，所供电梯生产制作完毕准备出厂运输前，乙方应就货物运抵时间、运抵方式、随货资料、现场验收、仓储地点、二次搬运等问题与甲方及总包单位提前沟通确认，并在货物抵达施工现场前提前组织电梯安装队伍进驻现场报备并做好安装前期工作，货物抵达施工现场后，安装队伍应迅速开展现场验收、资料交接、仓储保管、设备安装、施工配合、专项验收等实质性工作，乙方的安装队伍在现场工作期间，应服从建设单位、监理单位、总包单位的相关管理要求。</w:t>
      </w:r>
    </w:p>
    <w:p w:rsidR="00FB34BD" w:rsidRPr="00FB34BD" w:rsidRDefault="00FB34BD" w:rsidP="00FB34BD">
      <w:pPr>
        <w:spacing w:line="420" w:lineRule="auto"/>
        <w:ind w:firstLineChars="200" w:firstLine="480"/>
        <w:rPr>
          <w:rFonts w:ascii="宋体" w:eastAsia="宋体" w:hAnsi="宋体" w:cs="宋体"/>
          <w:b/>
          <w:bCs/>
          <w:color w:val="000000"/>
          <w:sz w:val="24"/>
          <w:szCs w:val="24"/>
        </w:rPr>
      </w:pPr>
      <w:r w:rsidRPr="00FB34BD">
        <w:rPr>
          <w:rFonts w:ascii="宋体" w:eastAsia="宋体" w:hAnsi="宋体" w:cs="宋体" w:hint="eastAsia"/>
          <w:sz w:val="24"/>
          <w:szCs w:val="24"/>
        </w:rPr>
        <w:t>电梯全部安装结束后，乙方负责联系相关行政管理部门对所供电梯进行专项验收，甲方仅对乙方提供必要的配合服务，乙方必须保证所供电梯顺利通过验收，否则视为乙方违约，甲方有权扣除乙方违约金， 且由此给甲方造成的经济损失全部由乙方承担。</w:t>
      </w:r>
    </w:p>
    <w:p w:rsidR="00FB34BD" w:rsidRPr="00FB34BD" w:rsidRDefault="00FB34BD" w:rsidP="00FB34BD">
      <w:pPr>
        <w:numPr>
          <w:ilvl w:val="0"/>
          <w:numId w:val="1"/>
        </w:numPr>
        <w:spacing w:line="360" w:lineRule="auto"/>
        <w:ind w:firstLineChars="200" w:firstLine="480"/>
        <w:rPr>
          <w:rFonts w:ascii="宋体" w:eastAsia="宋体" w:hAnsi="宋体" w:cs="宋体" w:hint="eastAsia"/>
          <w:bCs/>
          <w:sz w:val="24"/>
          <w:szCs w:val="24"/>
        </w:rPr>
      </w:pPr>
      <w:r w:rsidRPr="00FB34BD">
        <w:rPr>
          <w:rFonts w:ascii="宋体" w:eastAsia="宋体" w:hAnsi="宋体" w:cs="宋体" w:hint="eastAsia"/>
          <w:bCs/>
          <w:sz w:val="24"/>
          <w:szCs w:val="24"/>
        </w:rPr>
        <w:t>质保要求：</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1.所供电梯的整梯免费质保期为1年（电梯主要部件和安全保护装置包括但不限于《电梯型式试验规则》（TSG T7007-2022）附件 A电梯型式试验产品目录所列电梯主要部件和安全保护装置，质保期≥5年，依据《特种设备生产单位落实质量安全主体责任监督管理规定》（2023年4月4日国家市场监督管理总局令第73号）执行，从所供电梯通过特种设备检验部门检验合格并取得使用登记证后，自招标人接收之日起计算；</w:t>
      </w:r>
    </w:p>
    <w:p w:rsidR="00FB34BD" w:rsidRPr="00FB34BD" w:rsidRDefault="00FB34BD" w:rsidP="00FB34BD">
      <w:pPr>
        <w:spacing w:line="360" w:lineRule="auto"/>
        <w:ind w:firstLineChars="200" w:firstLine="480"/>
        <w:rPr>
          <w:rFonts w:ascii="宋体" w:eastAsia="宋体" w:hAnsi="宋体" w:cs="宋体"/>
          <w:sz w:val="24"/>
          <w:szCs w:val="24"/>
        </w:rPr>
      </w:pPr>
      <w:r w:rsidRPr="00FB34BD">
        <w:rPr>
          <w:rFonts w:ascii="宋体" w:eastAsia="宋体" w:hAnsi="宋体" w:cs="宋体" w:hint="eastAsia"/>
          <w:sz w:val="24"/>
          <w:szCs w:val="24"/>
        </w:rPr>
        <w:t>2.整梯质保期内中标人对所供货物整体提供免费维修、保养及调试等服务；同时需与招标人签订免费电梯维保服务合同。（按照《电梯维护保养规则》TSG T5002-2017、《黑龙江省电梯维护保养服务规范》DB23-T3283-2002执行等相关文件执行）</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3.中标人在电梯交接前应无偿为每部电梯购买不低于《黑龙江省电梯责任保险统保示范项目》（方案4）一年期的保险及费用）</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4.中标人应设置 7*24 小时售后抢修电话，质保期内如电梯出现问题，应在 0.5小时内赶到现场检查并在8小时内解决故障， 如遇紧急事故，中标人自接到抢修电话后必须立即赶赴现场处理，如因抢修不及时造成的人员安全事故的，招标人有权扣除全部保证金；</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5.整梯质保期内应对招标人电梯管理部门的技术人员进行免费培训，培训内容包括基本原理、操作、维修、保养措施等，直至技术人员熟练掌握为止；</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6.整梯质保期过后如招标人电梯管理部门需要，有义务与管理方继续签订有偿售后服务协议，且应向招标人提供优于市场平均价格的售后服务价格。</w:t>
      </w:r>
    </w:p>
    <w:p w:rsidR="00FB34BD" w:rsidRPr="00FB34BD" w:rsidRDefault="00FB34BD" w:rsidP="00FB34BD">
      <w:pPr>
        <w:numPr>
          <w:ilvl w:val="0"/>
          <w:numId w:val="1"/>
        </w:numPr>
        <w:spacing w:line="360" w:lineRule="auto"/>
        <w:ind w:firstLineChars="200" w:firstLine="480"/>
        <w:rPr>
          <w:rFonts w:ascii="宋体" w:eastAsia="宋体" w:hAnsi="宋体" w:cs="宋体" w:hint="eastAsia"/>
          <w:bCs/>
          <w:sz w:val="24"/>
          <w:szCs w:val="24"/>
        </w:rPr>
      </w:pPr>
      <w:r w:rsidRPr="00FB34BD">
        <w:rPr>
          <w:rFonts w:ascii="宋体" w:eastAsia="宋体" w:hAnsi="宋体" w:cs="宋体" w:hint="eastAsia"/>
          <w:bCs/>
          <w:sz w:val="24"/>
          <w:szCs w:val="24"/>
        </w:rPr>
        <w:t>报价要求</w:t>
      </w:r>
    </w:p>
    <w:p w:rsidR="00FB34BD" w:rsidRPr="00FB34BD" w:rsidRDefault="00FB34BD" w:rsidP="00FB34BD">
      <w:pPr>
        <w:spacing w:line="360" w:lineRule="auto"/>
        <w:ind w:firstLineChars="200" w:firstLine="480"/>
        <w:rPr>
          <w:rFonts w:ascii="宋体" w:eastAsia="宋体" w:hAnsi="宋体" w:cs="宋体"/>
          <w:sz w:val="24"/>
          <w:szCs w:val="24"/>
        </w:rPr>
      </w:pPr>
      <w:r w:rsidRPr="00FB34BD">
        <w:rPr>
          <w:rFonts w:ascii="宋体" w:eastAsia="宋体" w:hAnsi="宋体" w:cs="宋体" w:hint="eastAsia"/>
          <w:sz w:val="24"/>
          <w:szCs w:val="24"/>
        </w:rPr>
        <w:t>1、本项目为交钥匙项目，报价需包括投标人为完成招标范围内工作应承担的一切成本、运输、安装、税金等费用和支出以及投标人的合理利润。投标人报价中应包含但不限于如下费用：所有货物和随机附件的设计、制造、检测、采购、包装、增值税销项税额、运输、保险和技术服务（包括技术资料、图纸的提供）以及有关安装、培训、调试、验收、质保期保障、事故赔偿等全部费用；本次采购不再另行追加预算，如有超出部分金额供应商自行承担。</w:t>
      </w:r>
    </w:p>
    <w:p w:rsidR="00FB34BD" w:rsidRPr="00FB34BD" w:rsidRDefault="00FB34BD" w:rsidP="00FB34BD">
      <w:pPr>
        <w:spacing w:line="360" w:lineRule="auto"/>
        <w:ind w:firstLineChars="200" w:firstLine="480"/>
        <w:rPr>
          <w:rFonts w:ascii="宋体" w:eastAsia="宋体" w:hAnsi="宋体" w:cs="宋体"/>
          <w:sz w:val="24"/>
          <w:szCs w:val="24"/>
        </w:rPr>
      </w:pPr>
      <w:r w:rsidRPr="00FB34BD">
        <w:rPr>
          <w:rFonts w:ascii="宋体" w:eastAsia="宋体" w:hAnsi="宋体" w:cs="宋体" w:hint="eastAsia"/>
          <w:sz w:val="24"/>
          <w:szCs w:val="24"/>
        </w:rPr>
        <w:t>2、措施项目费（如电梯的垂直运输及安装等）：电梯进场及安装等技术措施由投标人自行现场踏勘后自行确定，相关费用需包含在投标报价中，本项目在结算时措施项目费不予调整。</w:t>
      </w:r>
    </w:p>
    <w:p w:rsidR="00FB34BD" w:rsidRPr="00FB34BD" w:rsidRDefault="00FB34BD" w:rsidP="00FB34BD">
      <w:pPr>
        <w:spacing w:line="360" w:lineRule="auto"/>
        <w:ind w:firstLineChars="200" w:firstLine="480"/>
        <w:rPr>
          <w:rFonts w:ascii="宋体" w:eastAsia="宋体" w:hAnsi="宋体" w:cs="宋体"/>
          <w:sz w:val="24"/>
          <w:szCs w:val="24"/>
        </w:rPr>
      </w:pPr>
      <w:r w:rsidRPr="00FB34BD">
        <w:rPr>
          <w:rFonts w:ascii="宋体" w:eastAsia="宋体" w:hAnsi="宋体" w:cs="宋体" w:hint="eastAsia"/>
          <w:sz w:val="24"/>
          <w:szCs w:val="24"/>
        </w:rPr>
        <w:t>投标人被认为已在本项目投标阶段踏勘现场时，充分了解了电梯室内安装条件和周围环境，或其他调整等因素，并已在其投标报价时就此给予了充分的考虑。投标人因上述因素导致的成本增加或工期延长而提出的工期或费用索赔申请将会被拒绝。</w:t>
      </w:r>
    </w:p>
    <w:p w:rsidR="00FB34BD" w:rsidRPr="00FB34BD" w:rsidRDefault="00FB34BD" w:rsidP="00FB34BD">
      <w:pPr>
        <w:spacing w:line="360" w:lineRule="auto"/>
        <w:ind w:firstLineChars="200" w:firstLine="480"/>
        <w:rPr>
          <w:rFonts w:ascii="宋体" w:eastAsia="宋体" w:hAnsi="宋体" w:cs="宋体"/>
          <w:sz w:val="24"/>
          <w:szCs w:val="24"/>
        </w:rPr>
      </w:pPr>
      <w:r w:rsidRPr="00FB34BD">
        <w:rPr>
          <w:rFonts w:ascii="宋体" w:eastAsia="宋体" w:hAnsi="宋体" w:cs="宋体" w:hint="eastAsia"/>
          <w:sz w:val="24"/>
          <w:szCs w:val="24"/>
        </w:rPr>
        <w:t>投标人需充分考虑政府行为的交通管制和停工要求，以及停电、停水、二次搬运、施工场地可能不足、成品保护等所需措施的设计、施工、安装、运行和维护的一切费用和工期，并已考虑了各种可能影响施工的因素并采取合理措施保证施工的正常进行，由此所增加的费用视为已包含在投标报价中。</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本项目合同价款中已包含安装用水用电的相关费用。</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3、投标人需填写《投标人产品参数及报价表》，</w:t>
      </w:r>
      <w:bookmarkStart w:id="0" w:name="_GoBack"/>
      <w:r w:rsidRPr="00FB34BD">
        <w:rPr>
          <w:rFonts w:ascii="宋体" w:eastAsia="宋体" w:hAnsi="宋体" w:cs="宋体" w:hint="eastAsia"/>
          <w:sz w:val="24"/>
          <w:szCs w:val="24"/>
        </w:rPr>
        <w:t>并</w:t>
      </w:r>
      <w:r>
        <w:rPr>
          <w:rFonts w:ascii="宋体" w:eastAsia="宋体" w:hAnsi="宋体" w:cs="宋体" w:hint="eastAsia"/>
          <w:sz w:val="24"/>
          <w:szCs w:val="24"/>
        </w:rPr>
        <w:t>放至投标文件</w:t>
      </w:r>
      <w:r w:rsidRPr="00FB34BD">
        <w:rPr>
          <w:rFonts w:ascii="宋体" w:eastAsia="宋体" w:hAnsi="宋体" w:cs="宋体" w:hint="eastAsia"/>
          <w:sz w:val="24"/>
          <w:szCs w:val="24"/>
        </w:rPr>
        <w:t>正文首页</w:t>
      </w:r>
      <w:bookmarkEnd w:id="0"/>
      <w:r w:rsidRPr="00FB34BD">
        <w:rPr>
          <w:rFonts w:ascii="宋体" w:eastAsia="宋体" w:hAnsi="宋体" w:cs="宋体" w:hint="eastAsia"/>
          <w:sz w:val="24"/>
          <w:szCs w:val="24"/>
        </w:rPr>
        <w:t>。</w:t>
      </w:r>
    </w:p>
    <w:p w:rsidR="00FB34BD" w:rsidRPr="00FB34BD" w:rsidRDefault="00FB34BD" w:rsidP="00FB34BD">
      <w:pPr>
        <w:spacing w:line="400" w:lineRule="exact"/>
        <w:ind w:left="426"/>
        <w:jc w:val="center"/>
        <w:rPr>
          <w:rFonts w:ascii="宋体" w:eastAsia="宋体" w:hAnsi="宋体" w:cs="宋体"/>
          <w:b/>
          <w:bCs/>
          <w:sz w:val="15"/>
          <w:szCs w:val="15"/>
        </w:rPr>
      </w:pPr>
      <w:r w:rsidRPr="00FB34BD">
        <w:rPr>
          <w:rFonts w:ascii="宋体" w:eastAsia="宋体" w:hAnsi="宋体" w:cs="宋体" w:hint="eastAsia"/>
          <w:b/>
          <w:bCs/>
          <w:sz w:val="30"/>
          <w:szCs w:val="30"/>
        </w:rPr>
        <w:t xml:space="preserve">              投标人产品参数及报价表              </w:t>
      </w:r>
      <w:r w:rsidRPr="00FB34BD">
        <w:rPr>
          <w:rFonts w:ascii="宋体" w:eastAsia="宋体" w:hAnsi="宋体" w:cs="宋体" w:hint="eastAsia"/>
          <w:b/>
          <w:bCs/>
          <w:sz w:val="15"/>
          <w:szCs w:val="15"/>
        </w:rPr>
        <w:t>单位：人民币元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5"/>
        <w:gridCol w:w="375"/>
        <w:gridCol w:w="325"/>
        <w:gridCol w:w="461"/>
        <w:gridCol w:w="567"/>
        <w:gridCol w:w="567"/>
        <w:gridCol w:w="567"/>
        <w:gridCol w:w="567"/>
        <w:gridCol w:w="800"/>
        <w:gridCol w:w="568"/>
        <w:gridCol w:w="846"/>
        <w:gridCol w:w="846"/>
        <w:gridCol w:w="846"/>
        <w:gridCol w:w="846"/>
      </w:tblGrid>
      <w:tr w:rsidR="00FB34BD" w:rsidRPr="00FB34BD" w:rsidTr="00154B3B">
        <w:tc>
          <w:tcPr>
            <w:tcW w:w="1105"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电梯位置</w:t>
            </w:r>
          </w:p>
        </w:tc>
        <w:tc>
          <w:tcPr>
            <w:tcW w:w="375"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品牌</w:t>
            </w:r>
          </w:p>
        </w:tc>
        <w:tc>
          <w:tcPr>
            <w:tcW w:w="325"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型号</w:t>
            </w:r>
          </w:p>
        </w:tc>
        <w:tc>
          <w:tcPr>
            <w:tcW w:w="461"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载重</w:t>
            </w:r>
            <w:r w:rsidRPr="00FB34BD">
              <w:rPr>
                <w:rFonts w:ascii="Times New Roman" w:eastAsia="宋体" w:hAnsi="Times New Roman" w:cs="Times New Roman" w:hint="eastAsia"/>
                <w:szCs w:val="24"/>
              </w:rPr>
              <w:t>kg</w:t>
            </w:r>
          </w:p>
        </w:tc>
        <w:tc>
          <w:tcPr>
            <w:tcW w:w="567"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数量</w:t>
            </w:r>
          </w:p>
        </w:tc>
        <w:tc>
          <w:tcPr>
            <w:tcW w:w="567"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层站</w:t>
            </w:r>
          </w:p>
        </w:tc>
        <w:tc>
          <w:tcPr>
            <w:tcW w:w="567"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停层</w:t>
            </w:r>
          </w:p>
        </w:tc>
        <w:tc>
          <w:tcPr>
            <w:tcW w:w="567"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速度</w:t>
            </w:r>
          </w:p>
        </w:tc>
        <w:tc>
          <w:tcPr>
            <w:tcW w:w="800"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提升高度（</w:t>
            </w:r>
            <w:r w:rsidRPr="00FB34BD">
              <w:rPr>
                <w:rFonts w:ascii="Times New Roman" w:eastAsia="宋体" w:hAnsi="Times New Roman" w:cs="Times New Roman" w:hint="eastAsia"/>
                <w:szCs w:val="24"/>
              </w:rPr>
              <w:t>m</w:t>
            </w:r>
            <w:r w:rsidRPr="00FB34BD">
              <w:rPr>
                <w:rFonts w:ascii="Times New Roman" w:eastAsia="宋体" w:hAnsi="Times New Roman" w:cs="Times New Roman" w:hint="eastAsia"/>
                <w:szCs w:val="24"/>
              </w:rPr>
              <w:t>）</w:t>
            </w:r>
          </w:p>
        </w:tc>
        <w:tc>
          <w:tcPr>
            <w:tcW w:w="568"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备注</w:t>
            </w:r>
          </w:p>
        </w:tc>
        <w:tc>
          <w:tcPr>
            <w:tcW w:w="846"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设备单价</w:t>
            </w:r>
          </w:p>
        </w:tc>
        <w:tc>
          <w:tcPr>
            <w:tcW w:w="846"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安装单价</w:t>
            </w:r>
          </w:p>
        </w:tc>
        <w:tc>
          <w:tcPr>
            <w:tcW w:w="846"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综合单价</w:t>
            </w:r>
          </w:p>
        </w:tc>
        <w:tc>
          <w:tcPr>
            <w:tcW w:w="846" w:type="dxa"/>
            <w:vAlign w:val="center"/>
          </w:tcPr>
          <w:p w:rsidR="00FB34BD" w:rsidRPr="00FB34BD" w:rsidRDefault="00FB34BD" w:rsidP="00FB34BD">
            <w:pPr>
              <w:jc w:val="center"/>
              <w:rPr>
                <w:rFonts w:ascii="Times New Roman" w:eastAsia="宋体" w:hAnsi="Times New Roman" w:cs="Times New Roman"/>
                <w:szCs w:val="24"/>
              </w:rPr>
            </w:pPr>
            <w:r w:rsidRPr="00FB34BD">
              <w:rPr>
                <w:rFonts w:ascii="Times New Roman" w:eastAsia="宋体" w:hAnsi="Times New Roman" w:cs="Times New Roman" w:hint="eastAsia"/>
                <w:szCs w:val="24"/>
              </w:rPr>
              <w:t>价格合计</w:t>
            </w: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p>
        </w:tc>
        <w:tc>
          <w:tcPr>
            <w:tcW w:w="375" w:type="dxa"/>
          </w:tcPr>
          <w:p w:rsidR="00FB34BD" w:rsidRPr="00FB34BD" w:rsidRDefault="00FB34BD" w:rsidP="00FB34BD">
            <w:pPr>
              <w:rPr>
                <w:rFonts w:ascii="Times New Roman" w:eastAsia="宋体" w:hAnsi="Times New Roman" w:cs="Times New Roman"/>
                <w:szCs w:val="24"/>
              </w:rPr>
            </w:pPr>
          </w:p>
        </w:tc>
        <w:tc>
          <w:tcPr>
            <w:tcW w:w="325" w:type="dxa"/>
          </w:tcPr>
          <w:p w:rsidR="00FB34BD" w:rsidRPr="00FB34BD" w:rsidRDefault="00FB34BD" w:rsidP="00FB34BD">
            <w:pPr>
              <w:rPr>
                <w:rFonts w:ascii="Times New Roman" w:eastAsia="宋体" w:hAnsi="Times New Roman" w:cs="Times New Roman"/>
                <w:szCs w:val="24"/>
              </w:rPr>
            </w:pPr>
          </w:p>
        </w:tc>
        <w:tc>
          <w:tcPr>
            <w:tcW w:w="461"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800" w:type="dxa"/>
          </w:tcPr>
          <w:p w:rsidR="00FB34BD" w:rsidRPr="00FB34BD" w:rsidRDefault="00FB34BD" w:rsidP="00FB34BD">
            <w:pPr>
              <w:rPr>
                <w:rFonts w:ascii="Times New Roman" w:eastAsia="宋体" w:hAnsi="Times New Roman" w:cs="Times New Roman"/>
                <w:szCs w:val="24"/>
              </w:rPr>
            </w:pPr>
          </w:p>
        </w:tc>
        <w:tc>
          <w:tcPr>
            <w:tcW w:w="568"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p>
        </w:tc>
        <w:tc>
          <w:tcPr>
            <w:tcW w:w="375" w:type="dxa"/>
          </w:tcPr>
          <w:p w:rsidR="00FB34BD" w:rsidRPr="00FB34BD" w:rsidRDefault="00FB34BD" w:rsidP="00FB34BD">
            <w:pPr>
              <w:rPr>
                <w:rFonts w:ascii="Times New Roman" w:eastAsia="宋体" w:hAnsi="Times New Roman" w:cs="Times New Roman"/>
                <w:szCs w:val="24"/>
              </w:rPr>
            </w:pPr>
          </w:p>
        </w:tc>
        <w:tc>
          <w:tcPr>
            <w:tcW w:w="325" w:type="dxa"/>
          </w:tcPr>
          <w:p w:rsidR="00FB34BD" w:rsidRPr="00FB34BD" w:rsidRDefault="00FB34BD" w:rsidP="00FB34BD">
            <w:pPr>
              <w:rPr>
                <w:rFonts w:ascii="Times New Roman" w:eastAsia="宋体" w:hAnsi="Times New Roman" w:cs="Times New Roman"/>
                <w:szCs w:val="24"/>
              </w:rPr>
            </w:pPr>
          </w:p>
        </w:tc>
        <w:tc>
          <w:tcPr>
            <w:tcW w:w="461"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800" w:type="dxa"/>
          </w:tcPr>
          <w:p w:rsidR="00FB34BD" w:rsidRPr="00FB34BD" w:rsidRDefault="00FB34BD" w:rsidP="00FB34BD">
            <w:pPr>
              <w:rPr>
                <w:rFonts w:ascii="Times New Roman" w:eastAsia="宋体" w:hAnsi="Times New Roman" w:cs="Times New Roman"/>
                <w:szCs w:val="24"/>
              </w:rPr>
            </w:pPr>
          </w:p>
        </w:tc>
        <w:tc>
          <w:tcPr>
            <w:tcW w:w="568"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p>
        </w:tc>
        <w:tc>
          <w:tcPr>
            <w:tcW w:w="375" w:type="dxa"/>
          </w:tcPr>
          <w:p w:rsidR="00FB34BD" w:rsidRPr="00FB34BD" w:rsidRDefault="00FB34BD" w:rsidP="00FB34BD">
            <w:pPr>
              <w:rPr>
                <w:rFonts w:ascii="Times New Roman" w:eastAsia="宋体" w:hAnsi="Times New Roman" w:cs="Times New Roman"/>
                <w:szCs w:val="24"/>
              </w:rPr>
            </w:pPr>
          </w:p>
        </w:tc>
        <w:tc>
          <w:tcPr>
            <w:tcW w:w="325" w:type="dxa"/>
          </w:tcPr>
          <w:p w:rsidR="00FB34BD" w:rsidRPr="00FB34BD" w:rsidRDefault="00FB34BD" w:rsidP="00FB34BD">
            <w:pPr>
              <w:rPr>
                <w:rFonts w:ascii="Times New Roman" w:eastAsia="宋体" w:hAnsi="Times New Roman" w:cs="Times New Roman"/>
                <w:szCs w:val="24"/>
              </w:rPr>
            </w:pPr>
          </w:p>
        </w:tc>
        <w:tc>
          <w:tcPr>
            <w:tcW w:w="461"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800" w:type="dxa"/>
          </w:tcPr>
          <w:p w:rsidR="00FB34BD" w:rsidRPr="00FB34BD" w:rsidRDefault="00FB34BD" w:rsidP="00FB34BD">
            <w:pPr>
              <w:rPr>
                <w:rFonts w:ascii="Times New Roman" w:eastAsia="宋体" w:hAnsi="Times New Roman" w:cs="Times New Roman"/>
                <w:szCs w:val="24"/>
              </w:rPr>
            </w:pPr>
          </w:p>
        </w:tc>
        <w:tc>
          <w:tcPr>
            <w:tcW w:w="568"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p>
        </w:tc>
        <w:tc>
          <w:tcPr>
            <w:tcW w:w="375" w:type="dxa"/>
          </w:tcPr>
          <w:p w:rsidR="00FB34BD" w:rsidRPr="00FB34BD" w:rsidRDefault="00FB34BD" w:rsidP="00FB34BD">
            <w:pPr>
              <w:rPr>
                <w:rFonts w:ascii="Times New Roman" w:eastAsia="宋体" w:hAnsi="Times New Roman" w:cs="Times New Roman"/>
                <w:szCs w:val="24"/>
              </w:rPr>
            </w:pPr>
          </w:p>
        </w:tc>
        <w:tc>
          <w:tcPr>
            <w:tcW w:w="325" w:type="dxa"/>
          </w:tcPr>
          <w:p w:rsidR="00FB34BD" w:rsidRPr="00FB34BD" w:rsidRDefault="00FB34BD" w:rsidP="00FB34BD">
            <w:pPr>
              <w:rPr>
                <w:rFonts w:ascii="Times New Roman" w:eastAsia="宋体" w:hAnsi="Times New Roman" w:cs="Times New Roman"/>
                <w:szCs w:val="24"/>
              </w:rPr>
            </w:pPr>
          </w:p>
        </w:tc>
        <w:tc>
          <w:tcPr>
            <w:tcW w:w="461"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800" w:type="dxa"/>
          </w:tcPr>
          <w:p w:rsidR="00FB34BD" w:rsidRPr="00FB34BD" w:rsidRDefault="00FB34BD" w:rsidP="00FB34BD">
            <w:pPr>
              <w:rPr>
                <w:rFonts w:ascii="Times New Roman" w:eastAsia="宋体" w:hAnsi="Times New Roman" w:cs="Times New Roman"/>
                <w:szCs w:val="24"/>
              </w:rPr>
            </w:pPr>
          </w:p>
        </w:tc>
        <w:tc>
          <w:tcPr>
            <w:tcW w:w="568"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p>
        </w:tc>
        <w:tc>
          <w:tcPr>
            <w:tcW w:w="375" w:type="dxa"/>
          </w:tcPr>
          <w:p w:rsidR="00FB34BD" w:rsidRPr="00FB34BD" w:rsidRDefault="00FB34BD" w:rsidP="00FB34BD">
            <w:pPr>
              <w:rPr>
                <w:rFonts w:ascii="Times New Roman" w:eastAsia="宋体" w:hAnsi="Times New Roman" w:cs="Times New Roman"/>
                <w:szCs w:val="24"/>
              </w:rPr>
            </w:pPr>
          </w:p>
        </w:tc>
        <w:tc>
          <w:tcPr>
            <w:tcW w:w="325" w:type="dxa"/>
          </w:tcPr>
          <w:p w:rsidR="00FB34BD" w:rsidRPr="00FB34BD" w:rsidRDefault="00FB34BD" w:rsidP="00FB34BD">
            <w:pPr>
              <w:rPr>
                <w:rFonts w:ascii="Times New Roman" w:eastAsia="宋体" w:hAnsi="Times New Roman" w:cs="Times New Roman"/>
                <w:szCs w:val="24"/>
              </w:rPr>
            </w:pPr>
          </w:p>
        </w:tc>
        <w:tc>
          <w:tcPr>
            <w:tcW w:w="461"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567" w:type="dxa"/>
          </w:tcPr>
          <w:p w:rsidR="00FB34BD" w:rsidRPr="00FB34BD" w:rsidRDefault="00FB34BD" w:rsidP="00FB34BD">
            <w:pPr>
              <w:rPr>
                <w:rFonts w:ascii="Times New Roman" w:eastAsia="宋体" w:hAnsi="Times New Roman" w:cs="Times New Roman"/>
                <w:szCs w:val="24"/>
              </w:rPr>
            </w:pPr>
          </w:p>
        </w:tc>
        <w:tc>
          <w:tcPr>
            <w:tcW w:w="800" w:type="dxa"/>
          </w:tcPr>
          <w:p w:rsidR="00FB34BD" w:rsidRPr="00FB34BD" w:rsidRDefault="00FB34BD" w:rsidP="00FB34BD">
            <w:pPr>
              <w:rPr>
                <w:rFonts w:ascii="Times New Roman" w:eastAsia="宋体" w:hAnsi="Times New Roman" w:cs="Times New Roman"/>
                <w:szCs w:val="24"/>
              </w:rPr>
            </w:pPr>
          </w:p>
        </w:tc>
        <w:tc>
          <w:tcPr>
            <w:tcW w:w="568"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c>
          <w:tcPr>
            <w:tcW w:w="846" w:type="dxa"/>
          </w:tcPr>
          <w:p w:rsidR="00FB34BD" w:rsidRPr="00FB34BD" w:rsidRDefault="00FB34BD" w:rsidP="00FB34BD">
            <w:pPr>
              <w:rPr>
                <w:rFonts w:ascii="Times New Roman" w:eastAsia="宋体" w:hAnsi="Times New Roman" w:cs="Times New Roman"/>
                <w:szCs w:val="24"/>
              </w:rPr>
            </w:pP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r w:rsidRPr="00FB34BD">
              <w:rPr>
                <w:rFonts w:ascii="Times New Roman" w:eastAsia="宋体" w:hAnsi="Times New Roman" w:cs="Times New Roman" w:hint="eastAsia"/>
                <w:szCs w:val="24"/>
              </w:rPr>
              <w:t>设备总价</w:t>
            </w:r>
          </w:p>
        </w:tc>
        <w:tc>
          <w:tcPr>
            <w:tcW w:w="8181" w:type="dxa"/>
            <w:gridSpan w:val="13"/>
          </w:tcPr>
          <w:p w:rsidR="00FB34BD" w:rsidRPr="00FB34BD" w:rsidRDefault="00FB34BD" w:rsidP="00FB34BD">
            <w:pPr>
              <w:rPr>
                <w:rFonts w:ascii="Times New Roman" w:eastAsia="宋体" w:hAnsi="Times New Roman" w:cs="Times New Roman"/>
                <w:szCs w:val="24"/>
              </w:rPr>
            </w:pPr>
          </w:p>
        </w:tc>
      </w:tr>
      <w:tr w:rsidR="00FB34BD" w:rsidRPr="00FB34BD" w:rsidTr="00154B3B">
        <w:tc>
          <w:tcPr>
            <w:tcW w:w="1105" w:type="dxa"/>
          </w:tcPr>
          <w:p w:rsidR="00FB34BD" w:rsidRPr="00FB34BD" w:rsidRDefault="00FB34BD" w:rsidP="00FB34BD">
            <w:pPr>
              <w:rPr>
                <w:rFonts w:ascii="Times New Roman" w:eastAsia="宋体" w:hAnsi="Times New Roman" w:cs="Times New Roman"/>
                <w:szCs w:val="24"/>
              </w:rPr>
            </w:pPr>
            <w:r w:rsidRPr="00FB34BD">
              <w:rPr>
                <w:rFonts w:ascii="Times New Roman" w:eastAsia="宋体" w:hAnsi="Times New Roman" w:cs="Times New Roman" w:hint="eastAsia"/>
                <w:szCs w:val="24"/>
              </w:rPr>
              <w:t>安装总价</w:t>
            </w:r>
          </w:p>
        </w:tc>
        <w:tc>
          <w:tcPr>
            <w:tcW w:w="8181" w:type="dxa"/>
            <w:gridSpan w:val="13"/>
          </w:tcPr>
          <w:p w:rsidR="00FB34BD" w:rsidRPr="00FB34BD" w:rsidRDefault="00FB34BD" w:rsidP="00FB34BD">
            <w:pPr>
              <w:rPr>
                <w:rFonts w:ascii="Times New Roman" w:eastAsia="宋体" w:hAnsi="Times New Roman" w:cs="Times New Roman"/>
                <w:szCs w:val="24"/>
              </w:rPr>
            </w:pPr>
          </w:p>
        </w:tc>
      </w:tr>
      <w:tr w:rsidR="00FB34BD" w:rsidRPr="00FB34BD" w:rsidTr="00154B3B">
        <w:tc>
          <w:tcPr>
            <w:tcW w:w="9286" w:type="dxa"/>
            <w:gridSpan w:val="14"/>
          </w:tcPr>
          <w:p w:rsidR="00FB34BD" w:rsidRPr="00FB34BD" w:rsidRDefault="00FB34BD" w:rsidP="00FB34BD">
            <w:pPr>
              <w:jc w:val="center"/>
              <w:rPr>
                <w:rFonts w:ascii="Times New Roman" w:eastAsia="宋体" w:hAnsi="Times New Roman" w:cs="Times New Roman"/>
                <w:szCs w:val="24"/>
              </w:rPr>
            </w:pPr>
            <w:r w:rsidRPr="00FB34BD">
              <w:rPr>
                <w:rFonts w:ascii="宋体" w:eastAsia="宋体" w:hAnsi="宋体" w:cs="宋体" w:hint="eastAsia"/>
                <w:b/>
                <w:bCs/>
                <w:szCs w:val="21"/>
              </w:rPr>
              <w:t>投标总报价：人民币（大写）</w:t>
            </w:r>
            <w:r w:rsidRPr="00FB34BD">
              <w:rPr>
                <w:rFonts w:ascii="宋体" w:eastAsia="宋体" w:hAnsi="宋体" w:cs="宋体" w:hint="eastAsia"/>
                <w:b/>
                <w:bCs/>
                <w:szCs w:val="21"/>
                <w:u w:val="single"/>
              </w:rPr>
              <w:t xml:space="preserve">                </w:t>
            </w:r>
            <w:r w:rsidRPr="00FB34BD">
              <w:rPr>
                <w:rFonts w:ascii="宋体" w:eastAsia="宋体" w:hAnsi="宋体" w:cs="宋体" w:hint="eastAsia"/>
                <w:b/>
                <w:bCs/>
                <w:szCs w:val="21"/>
              </w:rPr>
              <w:t xml:space="preserve"> (¥ </w:t>
            </w:r>
            <w:r w:rsidRPr="00FB34BD">
              <w:rPr>
                <w:rFonts w:ascii="宋体" w:eastAsia="宋体" w:hAnsi="宋体" w:cs="宋体" w:hint="eastAsia"/>
                <w:b/>
                <w:bCs/>
                <w:szCs w:val="21"/>
                <w:u w:val="single"/>
              </w:rPr>
              <w:t xml:space="preserve">          </w:t>
            </w:r>
            <w:r w:rsidRPr="00FB34BD">
              <w:rPr>
                <w:rFonts w:ascii="宋体" w:eastAsia="宋体" w:hAnsi="宋体" w:cs="宋体" w:hint="eastAsia"/>
                <w:b/>
                <w:bCs/>
                <w:szCs w:val="21"/>
              </w:rPr>
              <w:t xml:space="preserve"> 元)</w:t>
            </w:r>
          </w:p>
        </w:tc>
      </w:tr>
    </w:tbl>
    <w:p w:rsidR="00FB34BD" w:rsidRPr="00FB34BD" w:rsidRDefault="00FB34BD" w:rsidP="00FB34BD">
      <w:pPr>
        <w:rPr>
          <w:rFonts w:ascii="Times New Roman" w:eastAsia="宋体" w:hAnsi="Times New Roman" w:cs="Times New Roman" w:hint="eastAsia"/>
          <w:szCs w:val="24"/>
        </w:rPr>
      </w:pPr>
    </w:p>
    <w:p w:rsidR="00FB34BD" w:rsidRPr="00FB34BD" w:rsidRDefault="00FB34BD" w:rsidP="00FB34BD">
      <w:pPr>
        <w:numPr>
          <w:ilvl w:val="0"/>
          <w:numId w:val="1"/>
        </w:numPr>
        <w:spacing w:line="360" w:lineRule="auto"/>
        <w:ind w:firstLineChars="200" w:firstLine="480"/>
        <w:rPr>
          <w:rFonts w:ascii="宋体" w:eastAsia="宋体" w:hAnsi="宋体" w:cs="宋体" w:hint="eastAsia"/>
          <w:bCs/>
          <w:sz w:val="24"/>
          <w:szCs w:val="24"/>
        </w:rPr>
      </w:pPr>
      <w:r w:rsidRPr="00FB34BD">
        <w:rPr>
          <w:rFonts w:ascii="宋体" w:eastAsia="宋体" w:hAnsi="宋体" w:cs="宋体" w:hint="eastAsia"/>
          <w:bCs/>
          <w:sz w:val="24"/>
          <w:szCs w:val="24"/>
        </w:rPr>
        <w:t>付款方式：</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1、预付款</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本项目无</w:t>
      </w:r>
      <w:r w:rsidRPr="00FB34BD">
        <w:rPr>
          <w:rFonts w:ascii="宋体" w:eastAsia="宋体" w:hAnsi="宋体" w:cs="宋体"/>
          <w:sz w:val="24"/>
          <w:szCs w:val="24"/>
        </w:rPr>
        <w:t>预付款。</w:t>
      </w:r>
    </w:p>
    <w:p w:rsidR="00FB34BD" w:rsidRPr="00FB34BD" w:rsidRDefault="00FB34BD" w:rsidP="00FB34BD">
      <w:pPr>
        <w:spacing w:line="360" w:lineRule="auto"/>
        <w:ind w:firstLineChars="200" w:firstLine="480"/>
        <w:rPr>
          <w:rFonts w:ascii="宋体" w:eastAsia="宋体" w:hAnsi="宋体" w:cs="宋体" w:hint="eastAsia"/>
          <w:sz w:val="24"/>
          <w:szCs w:val="24"/>
        </w:rPr>
      </w:pPr>
      <w:r w:rsidRPr="00FB34BD">
        <w:rPr>
          <w:rFonts w:ascii="宋体" w:eastAsia="宋体" w:hAnsi="宋体" w:cs="宋体" w:hint="eastAsia"/>
          <w:sz w:val="24"/>
          <w:szCs w:val="24"/>
        </w:rPr>
        <w:t>2、验收款</w:t>
      </w:r>
    </w:p>
    <w:p w:rsidR="00C04BE9" w:rsidRDefault="00FB34BD" w:rsidP="00FB34BD">
      <w:r w:rsidRPr="00FB34BD">
        <w:rPr>
          <w:rFonts w:ascii="宋体" w:eastAsia="宋体" w:hAnsi="宋体" w:cs="宋体" w:hint="eastAsia"/>
          <w:sz w:val="24"/>
          <w:szCs w:val="24"/>
        </w:rPr>
        <w:t>电梯全部安装、调试，经招标人验收合格并通过特种设备检验部门检验合格并取得使用登记证及招标人接收后，招标人向中标人支付至合同价格的100%。</w:t>
      </w:r>
    </w:p>
    <w:sectPr w:rsidR="00C04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2FF" w:rsidRDefault="003B22FF" w:rsidP="00FB34BD">
      <w:r>
        <w:separator/>
      </w:r>
    </w:p>
  </w:endnote>
  <w:endnote w:type="continuationSeparator" w:id="0">
    <w:p w:rsidR="003B22FF" w:rsidRDefault="003B22FF" w:rsidP="00FB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2FF" w:rsidRDefault="003B22FF" w:rsidP="00FB34BD">
      <w:r>
        <w:separator/>
      </w:r>
    </w:p>
  </w:footnote>
  <w:footnote w:type="continuationSeparator" w:id="0">
    <w:p w:rsidR="003B22FF" w:rsidRDefault="003B22FF" w:rsidP="00FB3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31B7F"/>
    <w:multiLevelType w:val="multilevel"/>
    <w:tmpl w:val="1E531B7F"/>
    <w:lvl w:ilvl="0">
      <w:start w:val="1"/>
      <w:numFmt w:val="japaneseCounting"/>
      <w:lvlText w:val="（%1）"/>
      <w:lvlJc w:val="left"/>
      <w:pPr>
        <w:ind w:left="774" w:hanging="774"/>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8C"/>
    <w:rsid w:val="00212350"/>
    <w:rsid w:val="00365106"/>
    <w:rsid w:val="003B22FF"/>
    <w:rsid w:val="004C7256"/>
    <w:rsid w:val="008E458C"/>
    <w:rsid w:val="00934D72"/>
    <w:rsid w:val="00941A27"/>
    <w:rsid w:val="009C712C"/>
    <w:rsid w:val="00A71EC1"/>
    <w:rsid w:val="00C04BE9"/>
    <w:rsid w:val="00D27CB5"/>
    <w:rsid w:val="00D34EE3"/>
    <w:rsid w:val="00D729E4"/>
    <w:rsid w:val="00EB406E"/>
    <w:rsid w:val="00FB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0E409-9284-4777-A69E-E35DA42D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34BD"/>
    <w:rPr>
      <w:sz w:val="18"/>
      <w:szCs w:val="18"/>
    </w:rPr>
  </w:style>
  <w:style w:type="paragraph" w:styleId="a4">
    <w:name w:val="footer"/>
    <w:basedOn w:val="a"/>
    <w:link w:val="Char0"/>
    <w:uiPriority w:val="99"/>
    <w:unhideWhenUsed/>
    <w:rsid w:val="00FB34BD"/>
    <w:pPr>
      <w:tabs>
        <w:tab w:val="center" w:pos="4153"/>
        <w:tab w:val="right" w:pos="8306"/>
      </w:tabs>
      <w:snapToGrid w:val="0"/>
      <w:jc w:val="left"/>
    </w:pPr>
    <w:rPr>
      <w:sz w:val="18"/>
      <w:szCs w:val="18"/>
    </w:rPr>
  </w:style>
  <w:style w:type="character" w:customStyle="1" w:styleId="Char0">
    <w:name w:val="页脚 Char"/>
    <w:basedOn w:val="a0"/>
    <w:link w:val="a4"/>
    <w:uiPriority w:val="99"/>
    <w:rsid w:val="00FB34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606</Words>
  <Characters>3460</Characters>
  <Application>Microsoft Office Word</Application>
  <DocSecurity>0</DocSecurity>
  <Lines>28</Lines>
  <Paragraphs>8</Paragraphs>
  <ScaleCrop>false</ScaleCrop>
  <Company>MS</Company>
  <LinksUpToDate>false</LinksUpToDate>
  <CharactersWithSpaces>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2024-08-13T08:49:00Z</dcterms:created>
  <dcterms:modified xsi:type="dcterms:W3CDTF">2024-08-13T08:50:00Z</dcterms:modified>
</cp:coreProperties>
</file>