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outlineLvl w:val="0"/>
        <w:rPr>
          <w:rFonts w:ascii="黑体" w:eastAsia="黑体"/>
          <w:sz w:val="44"/>
          <w:szCs w:val="22"/>
          <w:highlight w:val="none"/>
        </w:rPr>
      </w:pPr>
      <w:r>
        <w:rPr>
          <w:rFonts w:hint="eastAsia" w:ascii="黑体" w:eastAsia="黑体"/>
          <w:sz w:val="44"/>
          <w:szCs w:val="22"/>
          <w:highlight w:val="none"/>
        </w:rPr>
        <w:t>采购（服务）需求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技术参数</w:t>
      </w:r>
    </w:p>
    <w:tbl>
      <w:tblPr>
        <w:tblStyle w:val="3"/>
        <w:tblW w:w="9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530"/>
        <w:gridCol w:w="970"/>
        <w:gridCol w:w="1991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采购内容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预算单价（元）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预算总价（元）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全自动脉冲场超大片段DNA回收及检测系统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865000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 w:bidi="ar-SA"/>
              </w:rPr>
              <w:t>865000</w:t>
            </w:r>
          </w:p>
        </w:tc>
      </w:tr>
    </w:tbl>
    <w:p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DNA片段回收设备通过自动化脉冲场电泳分离回收DNA超大片段，区间片段自动回收到回收室中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★DNA片段回收设备可直接上细胞样本，细胞裂解、DNA纯化和片段分选回收都在仪器内完成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DNA片段回收设备在一次程序运行中可完成高分子量DNA的酶切和片段回收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★DNA片段回收设备回收范围：50kb-2Mb DNA大片段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DNA片段回收设备样品通量：可同时处理≥4个样品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回收设备每个泳道通过横向电泳将DNA样品按分子量大小分离开，再通过纵向电泳将分离开的DNA片段回收到6个独立的回收孔中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回收设备包含脉冲场电泳模块，提供专门的脉冲场电泳程序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▲DNA片段回收设备程序预设：提供20种以上预设程序用于不同高分子量DNA片段回收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▲DNA片段回收设备最大上样量：单个泳道最大上样量≥6ug DNA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配备脉冲场电泳仪用于回收前后样品的质控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脉冲场电泳仪分离0.5Kb到430Kb的基因组DNA片段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脉冲场电泳仪控制方式：windows系统电脑+软件，软件提供≥6种预设程序，可以直接检测多种不同大小范围DNA长片段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支持对完整基因组进DNA片段回收设备行随机剪切，并进行回收。回收起点设置范围50kb-400kb，支持CRISPR-Cas9基因编辑技术，通过切割基因组特定区间，靶向回收DNA长片段，最大长度400kb以上完整DNA大片段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应用：可用于基因组结构变异研究、遗传病分子机理研究、肿瘤疾病分子机理研究、免疫系统疾病分子机理研究、人类/动物/植物等复杂基因组或基因组复杂区间序列分析研究、疫苗抗体分子基础研究、药用植物/经济作物遗传序列分析等，人工染色体合成所需DNA长片段的获取等。</w:t>
      </w:r>
    </w:p>
    <w:tbl>
      <w:tblPr>
        <w:tblStyle w:val="3"/>
        <w:tblW w:w="0" w:type="auto"/>
        <w:tblInd w:w="2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96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  <w:bookmarkStart w:id="0" w:name="_Hlk115298610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961" w:type="dxa"/>
          </w:tcPr>
          <w:p>
            <w:pPr>
              <w:pStyle w:val="5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  <w:t>脉冲场超大片段DNA 回收仪主机一台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961" w:type="dxa"/>
          </w:tcPr>
          <w:p>
            <w:pPr>
              <w:pStyle w:val="5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脉冲场电泳仪一台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961" w:type="dxa"/>
          </w:tcPr>
          <w:p>
            <w:pPr>
              <w:pStyle w:val="5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显示器一台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961" w:type="dxa"/>
          </w:tcPr>
          <w:p>
            <w:pPr>
              <w:pStyle w:val="5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键盘一个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961" w:type="dxa"/>
          </w:tcPr>
          <w:p>
            <w:pPr>
              <w:pStyle w:val="5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英文说明书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96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笔记本电脑一台（国内采购）</w:t>
            </w:r>
          </w:p>
        </w:tc>
      </w:tr>
      <w:bookmarkEnd w:id="0"/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方正书宋简体" w:hAnsi="宋体" w:eastAsia="方正书宋简体"/>
          <w:bCs/>
          <w:szCs w:val="21"/>
        </w:rPr>
      </w:pPr>
      <w:r>
        <w:rPr>
          <w:rFonts w:hint="eastAsia" w:ascii="宋体" w:hAnsi="宋体" w:cs="宋体"/>
          <w:b/>
          <w:sz w:val="28"/>
          <w:szCs w:val="28"/>
          <w:highlight w:val="none"/>
          <w:lang w:val="en-US" w:eastAsia="zh-CN"/>
        </w:rPr>
        <w:t>二、商务要求（售后及其他服务要求）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1.质保期不少于1年，质保期内维修服务所涉及的人工费、交通差旅费、上门费及备件费，均由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方承担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。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.设备遇到问题，要求保证4小时做出响应并给出解决方案，根据具体情况72小时内安排专业人员到现场排除故障。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.零配件或耗材，供应时长不得少于10年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1、以上采购需求不指向任何一种品牌或供应商。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2、供应商应按己方所应答货物的实际技术参数填写，如经评标委员会发现未按所投产品品牌的实际技术参数进行应答，而是完全复制采购文件的技术参数，与所投品牌的实际技术参数不符的，按应答无效处理。技术偏离表中“应答文件响应情况”应如实填写，并与“采购文件技术要求”一一对应，如响应技术条款优于采购文件要求，填写“正偏离”，如简单填写“响应”或“完全响应”应答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3、供应商应注意采购文件的采购需求中指出的工艺、材料、软件和设备的参照品牌或型号仅起说明作用，并没有任何限制性。供应商在采购活动中可以选用替代标准、品牌或型号，但这些替代要实质上满足或优于采购文件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4、采购人所采购的产品属于国家有关安全、节能、环保等强制性标准时，供应商所投产品必须同时满足强制标准和本项目采购要求，且须在响应文件中按前款规定要求标明并提供认证证书。</w:t>
      </w:r>
    </w:p>
    <w:p>
      <w:pPr>
        <w:ind w:firstLine="482" w:firstLineChars="200"/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5、报价产品的各项技术指标不能低于国家强制性标准，否则应答无效。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61A14"/>
    <w:multiLevelType w:val="singleLevel"/>
    <w:tmpl w:val="C1861A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B104DC"/>
    <w:multiLevelType w:val="multilevel"/>
    <w:tmpl w:val="05B104D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9073DB"/>
    <w:multiLevelType w:val="multilevel"/>
    <w:tmpl w:val="2E9073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ODFmM2YxOTcwNDY5ZjAxNTMyMjk0NTUyNTQ1MzkifQ=="/>
  </w:docVars>
  <w:rsids>
    <w:rsidRoot w:val="17FE31C8"/>
    <w:rsid w:val="17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2024-08-28T06:25:00Z</dcterms:created>
  <dc:creator></dc:creator>
  <cp:lastModifiedBy></cp:lastModifiedBy>
  <dcterms:modified xsi:type="dcterms:W3CDTF">2024-08-28T06:25:41Z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374AFAFC8A5640C9A476C42BBCF55AE2_11</vt:lpwstr>
  </property>
</Properties>
</file>