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ind w:left="102" w:leftChars="0" w:right="102" w:rightChars="0"/>
        <w:rPr>
          <w:rFonts w:hint="eastAsia"/>
        </w:rPr>
      </w:pPr>
      <w:r>
        <w:rPr>
          <w:rFonts w:hint="eastAsia" w:ascii="宋体" w:hAnsi="宋体" w:eastAsia="宋体" w:cs="宋体"/>
        </w:rPr>
        <w:t>采购人需求</w:t>
      </w:r>
    </w:p>
    <w:p>
      <w:pPr>
        <w:numPr>
          <w:ilvl w:val="0"/>
          <w:numId w:val="1"/>
        </w:numPr>
        <w:spacing w:line="360" w:lineRule="auto"/>
        <w:rPr>
          <w:rFonts w:hint="eastAsia" w:ascii="宋体" w:hAnsi="宋体" w:cs="宋体"/>
          <w:b/>
          <w:sz w:val="24"/>
        </w:rPr>
      </w:pPr>
      <w:r>
        <w:rPr>
          <w:rFonts w:hint="eastAsia" w:ascii="宋体" w:hAnsi="宋体" w:cs="宋体"/>
          <w:b/>
          <w:sz w:val="28"/>
          <w:szCs w:val="32"/>
        </w:rPr>
        <w:t>技术参数及采购需求</w:t>
      </w:r>
    </w:p>
    <w:p>
      <w:pPr>
        <w:pStyle w:val="2"/>
        <w:ind w:firstLine="562"/>
        <w:rPr>
          <w:rFonts w:hint="eastAsia"/>
        </w:rPr>
      </w:pPr>
      <w:r>
        <w:rPr>
          <w:rFonts w:hint="eastAsia" w:ascii="宋体" w:hAnsi="宋体" w:cs="宋体"/>
          <w:b/>
          <w:sz w:val="28"/>
          <w:szCs w:val="32"/>
        </w:rPr>
        <w:t>采购明细表</w:t>
      </w:r>
    </w:p>
    <w:tbl>
      <w:tblPr>
        <w:tblStyle w:val="6"/>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130"/>
        <w:gridCol w:w="914"/>
        <w:gridCol w:w="818"/>
        <w:gridCol w:w="1937"/>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32"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序号</w:t>
            </w:r>
          </w:p>
        </w:tc>
        <w:tc>
          <w:tcPr>
            <w:tcW w:w="3130" w:type="dxa"/>
            <w:noWrap w:val="0"/>
            <w:vAlign w:val="center"/>
          </w:tcPr>
          <w:p>
            <w:pPr>
              <w:spacing w:line="360" w:lineRule="auto"/>
              <w:jc w:val="center"/>
              <w:rPr>
                <w:rFonts w:ascii="Calibri" w:hAnsi="Calibri"/>
                <w:sz w:val="24"/>
                <w:szCs w:val="32"/>
              </w:rPr>
            </w:pPr>
            <w:r>
              <w:rPr>
                <w:rFonts w:hint="eastAsia" w:ascii="Calibri" w:hAnsi="Calibri"/>
                <w:sz w:val="24"/>
                <w:szCs w:val="32"/>
              </w:rPr>
              <w:t>标的名称</w:t>
            </w:r>
          </w:p>
        </w:tc>
        <w:tc>
          <w:tcPr>
            <w:tcW w:w="914"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所属行业</w:t>
            </w:r>
          </w:p>
        </w:tc>
        <w:tc>
          <w:tcPr>
            <w:tcW w:w="818"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数量</w:t>
            </w:r>
          </w:p>
        </w:tc>
        <w:tc>
          <w:tcPr>
            <w:tcW w:w="1937"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单价控制价（元）</w:t>
            </w:r>
          </w:p>
        </w:tc>
        <w:tc>
          <w:tcPr>
            <w:tcW w:w="1963"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总价控制价（元）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32"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1</w:t>
            </w:r>
          </w:p>
        </w:tc>
        <w:tc>
          <w:tcPr>
            <w:tcW w:w="3130"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中大功率断路器动作特性试验仪</w:t>
            </w:r>
          </w:p>
        </w:tc>
        <w:tc>
          <w:tcPr>
            <w:tcW w:w="914"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工业</w:t>
            </w:r>
          </w:p>
        </w:tc>
        <w:tc>
          <w:tcPr>
            <w:tcW w:w="818" w:type="dxa"/>
            <w:noWrap w:val="0"/>
            <w:vAlign w:val="center"/>
          </w:tcPr>
          <w:p>
            <w:pPr>
              <w:spacing w:line="360" w:lineRule="auto"/>
              <w:jc w:val="center"/>
              <w:rPr>
                <w:rFonts w:ascii="Calibri" w:hAnsi="Calibri"/>
                <w:sz w:val="24"/>
                <w:szCs w:val="32"/>
              </w:rPr>
            </w:pPr>
            <w:r>
              <w:rPr>
                <w:rFonts w:hint="eastAsia" w:ascii="Calibri" w:hAnsi="Calibri"/>
                <w:sz w:val="24"/>
                <w:szCs w:val="32"/>
              </w:rPr>
              <w:t>1台</w:t>
            </w:r>
          </w:p>
        </w:tc>
        <w:tc>
          <w:tcPr>
            <w:tcW w:w="1937" w:type="dxa"/>
            <w:noWrap w:val="0"/>
            <w:vAlign w:val="center"/>
          </w:tcPr>
          <w:p>
            <w:pPr>
              <w:spacing w:line="360" w:lineRule="auto"/>
              <w:jc w:val="center"/>
              <w:rPr>
                <w:rFonts w:hint="eastAsia" w:ascii="宋体" w:hAnsi="宋体" w:cs="宋体"/>
                <w:sz w:val="24"/>
              </w:rPr>
            </w:pPr>
            <w:r>
              <w:rPr>
                <w:rFonts w:hint="eastAsia" w:ascii="宋体" w:hAnsi="宋体" w:cs="宋体"/>
                <w:sz w:val="24"/>
              </w:rPr>
              <w:t>￥980,000.00</w:t>
            </w:r>
          </w:p>
        </w:tc>
        <w:tc>
          <w:tcPr>
            <w:tcW w:w="1963" w:type="dxa"/>
            <w:noWrap w:val="0"/>
            <w:vAlign w:val="center"/>
          </w:tcPr>
          <w:p>
            <w:pPr>
              <w:spacing w:line="360" w:lineRule="auto"/>
              <w:jc w:val="center"/>
              <w:rPr>
                <w:rFonts w:hint="eastAsia" w:ascii="宋体" w:hAnsi="宋体" w:cs="宋体"/>
                <w:sz w:val="24"/>
              </w:rPr>
            </w:pPr>
            <w:r>
              <w:rPr>
                <w:rFonts w:hint="eastAsia" w:ascii="宋体" w:hAnsi="宋体" w:cs="宋体"/>
                <w:sz w:val="24"/>
              </w:rPr>
              <w:t>￥980,000.00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32" w:type="dxa"/>
            <w:noWrap w:val="0"/>
            <w:vAlign w:val="center"/>
          </w:tcPr>
          <w:p>
            <w:pPr>
              <w:spacing w:line="360" w:lineRule="auto"/>
              <w:jc w:val="center"/>
              <w:rPr>
                <w:rFonts w:ascii="Calibri" w:hAnsi="Calibri"/>
                <w:sz w:val="24"/>
                <w:szCs w:val="32"/>
              </w:rPr>
            </w:pPr>
            <w:r>
              <w:rPr>
                <w:rFonts w:hint="eastAsia" w:ascii="Calibri" w:hAnsi="Calibri"/>
                <w:sz w:val="24"/>
                <w:szCs w:val="32"/>
              </w:rPr>
              <w:t>2</w:t>
            </w:r>
          </w:p>
        </w:tc>
        <w:tc>
          <w:tcPr>
            <w:tcW w:w="3130"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小功率交直流断路器动作特性试验仪</w:t>
            </w:r>
          </w:p>
        </w:tc>
        <w:tc>
          <w:tcPr>
            <w:tcW w:w="914"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工业</w:t>
            </w:r>
          </w:p>
        </w:tc>
        <w:tc>
          <w:tcPr>
            <w:tcW w:w="818" w:type="dxa"/>
            <w:noWrap w:val="0"/>
            <w:vAlign w:val="center"/>
          </w:tcPr>
          <w:p>
            <w:pPr>
              <w:spacing w:line="360" w:lineRule="auto"/>
              <w:jc w:val="center"/>
              <w:rPr>
                <w:rFonts w:hint="eastAsia" w:ascii="宋体" w:hAnsi="宋体" w:cs="宋体"/>
                <w:sz w:val="24"/>
              </w:rPr>
            </w:pPr>
            <w:r>
              <w:rPr>
                <w:rFonts w:hint="eastAsia" w:ascii="Calibri" w:hAnsi="Calibri"/>
                <w:sz w:val="24"/>
                <w:szCs w:val="32"/>
              </w:rPr>
              <w:t>1台</w:t>
            </w:r>
          </w:p>
        </w:tc>
        <w:tc>
          <w:tcPr>
            <w:tcW w:w="1937" w:type="dxa"/>
            <w:noWrap w:val="0"/>
            <w:vAlign w:val="center"/>
          </w:tcPr>
          <w:p>
            <w:pPr>
              <w:spacing w:line="360" w:lineRule="auto"/>
              <w:jc w:val="center"/>
              <w:rPr>
                <w:rFonts w:hint="eastAsia" w:ascii="宋体" w:hAnsi="宋体" w:cs="宋体"/>
                <w:sz w:val="24"/>
              </w:rPr>
            </w:pPr>
            <w:r>
              <w:rPr>
                <w:rFonts w:hint="eastAsia" w:ascii="宋体" w:hAnsi="宋体" w:cs="宋体"/>
                <w:sz w:val="24"/>
              </w:rPr>
              <w:t>￥470,000.00</w:t>
            </w:r>
          </w:p>
        </w:tc>
        <w:tc>
          <w:tcPr>
            <w:tcW w:w="1963" w:type="dxa"/>
            <w:noWrap w:val="0"/>
            <w:vAlign w:val="center"/>
          </w:tcPr>
          <w:p>
            <w:pPr>
              <w:spacing w:line="360" w:lineRule="auto"/>
              <w:jc w:val="center"/>
              <w:rPr>
                <w:rFonts w:hint="eastAsia" w:ascii="宋体" w:hAnsi="宋体" w:cs="宋体"/>
                <w:sz w:val="24"/>
              </w:rPr>
            </w:pPr>
            <w:r>
              <w:rPr>
                <w:rFonts w:hint="eastAsia" w:ascii="宋体" w:hAnsi="宋体" w:cs="宋体"/>
                <w:sz w:val="24"/>
              </w:rPr>
              <w:t>￥470,000.00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32" w:type="dxa"/>
            <w:noWrap w:val="0"/>
            <w:vAlign w:val="center"/>
          </w:tcPr>
          <w:p>
            <w:pPr>
              <w:spacing w:line="360" w:lineRule="auto"/>
              <w:jc w:val="center"/>
              <w:rPr>
                <w:rFonts w:ascii="Calibri" w:hAnsi="Calibri"/>
                <w:sz w:val="24"/>
                <w:szCs w:val="32"/>
              </w:rPr>
            </w:pPr>
            <w:r>
              <w:rPr>
                <w:rFonts w:hint="eastAsia" w:ascii="Calibri" w:hAnsi="Calibri"/>
                <w:sz w:val="24"/>
                <w:szCs w:val="32"/>
              </w:rPr>
              <w:t>3</w:t>
            </w:r>
          </w:p>
        </w:tc>
        <w:tc>
          <w:tcPr>
            <w:tcW w:w="3130"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直流电弧故障及智能化断路器综合测试系统</w:t>
            </w:r>
          </w:p>
        </w:tc>
        <w:tc>
          <w:tcPr>
            <w:tcW w:w="914"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工业</w:t>
            </w:r>
          </w:p>
        </w:tc>
        <w:tc>
          <w:tcPr>
            <w:tcW w:w="818" w:type="dxa"/>
            <w:noWrap w:val="0"/>
            <w:vAlign w:val="center"/>
          </w:tcPr>
          <w:p>
            <w:pPr>
              <w:spacing w:line="360" w:lineRule="auto"/>
              <w:jc w:val="center"/>
              <w:rPr>
                <w:rFonts w:hint="eastAsia" w:ascii="宋体" w:hAnsi="宋体" w:cs="宋体"/>
                <w:sz w:val="24"/>
              </w:rPr>
            </w:pPr>
            <w:r>
              <w:rPr>
                <w:rFonts w:hint="eastAsia" w:ascii="Calibri" w:hAnsi="Calibri"/>
                <w:sz w:val="24"/>
                <w:szCs w:val="32"/>
              </w:rPr>
              <w:t>1台</w:t>
            </w:r>
          </w:p>
        </w:tc>
        <w:tc>
          <w:tcPr>
            <w:tcW w:w="1937" w:type="dxa"/>
            <w:noWrap w:val="0"/>
            <w:vAlign w:val="center"/>
          </w:tcPr>
          <w:p>
            <w:pPr>
              <w:spacing w:line="360" w:lineRule="auto"/>
              <w:jc w:val="center"/>
              <w:rPr>
                <w:rFonts w:hint="eastAsia" w:ascii="宋体" w:hAnsi="宋体" w:cs="宋体"/>
                <w:sz w:val="24"/>
              </w:rPr>
            </w:pPr>
            <w:r>
              <w:rPr>
                <w:rFonts w:hint="eastAsia" w:ascii="宋体" w:hAnsi="宋体" w:cs="宋体"/>
                <w:sz w:val="24"/>
              </w:rPr>
              <w:t>￥850,000.00</w:t>
            </w:r>
          </w:p>
        </w:tc>
        <w:tc>
          <w:tcPr>
            <w:tcW w:w="1963" w:type="dxa"/>
            <w:noWrap w:val="0"/>
            <w:vAlign w:val="center"/>
          </w:tcPr>
          <w:p>
            <w:pPr>
              <w:spacing w:line="360" w:lineRule="auto"/>
              <w:jc w:val="center"/>
              <w:rPr>
                <w:rFonts w:hint="eastAsia" w:ascii="宋体" w:hAnsi="宋体" w:cs="宋体"/>
                <w:sz w:val="24"/>
              </w:rPr>
            </w:pPr>
            <w:r>
              <w:rPr>
                <w:rFonts w:hint="eastAsia" w:ascii="宋体" w:hAnsi="宋体" w:cs="宋体"/>
                <w:sz w:val="24"/>
              </w:rPr>
              <w:t>￥850,000.00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32" w:type="dxa"/>
            <w:noWrap w:val="0"/>
            <w:vAlign w:val="center"/>
          </w:tcPr>
          <w:p>
            <w:pPr>
              <w:spacing w:line="360" w:lineRule="auto"/>
              <w:jc w:val="center"/>
              <w:rPr>
                <w:rFonts w:ascii="Calibri" w:hAnsi="Calibri"/>
                <w:sz w:val="24"/>
                <w:szCs w:val="32"/>
              </w:rPr>
            </w:pPr>
            <w:r>
              <w:rPr>
                <w:rFonts w:hint="eastAsia" w:ascii="Calibri" w:hAnsi="Calibri"/>
                <w:sz w:val="24"/>
                <w:szCs w:val="32"/>
              </w:rPr>
              <w:t>4</w:t>
            </w:r>
          </w:p>
        </w:tc>
        <w:tc>
          <w:tcPr>
            <w:tcW w:w="3130"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转换开关综合试验系统</w:t>
            </w:r>
          </w:p>
        </w:tc>
        <w:tc>
          <w:tcPr>
            <w:tcW w:w="914"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工业</w:t>
            </w:r>
          </w:p>
        </w:tc>
        <w:tc>
          <w:tcPr>
            <w:tcW w:w="818" w:type="dxa"/>
            <w:noWrap w:val="0"/>
            <w:vAlign w:val="center"/>
          </w:tcPr>
          <w:p>
            <w:pPr>
              <w:spacing w:line="360" w:lineRule="auto"/>
              <w:jc w:val="center"/>
              <w:rPr>
                <w:rFonts w:hint="eastAsia" w:ascii="宋体" w:hAnsi="宋体" w:cs="宋体"/>
                <w:sz w:val="24"/>
              </w:rPr>
            </w:pPr>
            <w:r>
              <w:rPr>
                <w:rFonts w:hint="eastAsia" w:ascii="Calibri" w:hAnsi="Calibri"/>
                <w:sz w:val="24"/>
                <w:szCs w:val="32"/>
              </w:rPr>
              <w:t>1台</w:t>
            </w:r>
          </w:p>
        </w:tc>
        <w:tc>
          <w:tcPr>
            <w:tcW w:w="1937" w:type="dxa"/>
            <w:noWrap w:val="0"/>
            <w:vAlign w:val="center"/>
          </w:tcPr>
          <w:p>
            <w:pPr>
              <w:spacing w:line="360" w:lineRule="auto"/>
              <w:jc w:val="center"/>
              <w:rPr>
                <w:rFonts w:hint="eastAsia" w:ascii="宋体" w:hAnsi="宋体" w:cs="宋体"/>
                <w:sz w:val="24"/>
              </w:rPr>
            </w:pPr>
            <w:r>
              <w:rPr>
                <w:rFonts w:hint="eastAsia" w:ascii="宋体" w:hAnsi="宋体" w:cs="宋体"/>
                <w:sz w:val="24"/>
              </w:rPr>
              <w:t>￥520,000.00</w:t>
            </w:r>
          </w:p>
        </w:tc>
        <w:tc>
          <w:tcPr>
            <w:tcW w:w="1963" w:type="dxa"/>
            <w:noWrap w:val="0"/>
            <w:vAlign w:val="center"/>
          </w:tcPr>
          <w:p>
            <w:pPr>
              <w:spacing w:line="360" w:lineRule="auto"/>
              <w:jc w:val="center"/>
              <w:rPr>
                <w:rFonts w:hint="eastAsia" w:ascii="宋体" w:hAnsi="宋体" w:cs="宋体"/>
                <w:sz w:val="24"/>
              </w:rPr>
            </w:pPr>
            <w:r>
              <w:rPr>
                <w:rFonts w:hint="eastAsia" w:ascii="宋体" w:hAnsi="宋体" w:cs="宋体"/>
                <w:sz w:val="24"/>
              </w:rPr>
              <w:t>￥520,000.00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32" w:type="dxa"/>
            <w:noWrap w:val="0"/>
            <w:vAlign w:val="center"/>
          </w:tcPr>
          <w:p>
            <w:pPr>
              <w:spacing w:line="360" w:lineRule="auto"/>
              <w:jc w:val="center"/>
              <w:rPr>
                <w:rFonts w:ascii="Calibri" w:hAnsi="Calibri"/>
                <w:sz w:val="24"/>
                <w:szCs w:val="32"/>
              </w:rPr>
            </w:pPr>
            <w:r>
              <w:rPr>
                <w:rFonts w:hint="eastAsia" w:ascii="Calibri" w:hAnsi="Calibri"/>
                <w:sz w:val="24"/>
                <w:szCs w:val="32"/>
              </w:rPr>
              <w:t>5</w:t>
            </w:r>
          </w:p>
        </w:tc>
        <w:tc>
          <w:tcPr>
            <w:tcW w:w="3130"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基于敏感参数退化的大功率交流继电器可靠性寿命试验及一致性评价分析系统</w:t>
            </w:r>
          </w:p>
        </w:tc>
        <w:tc>
          <w:tcPr>
            <w:tcW w:w="914" w:type="dxa"/>
            <w:noWrap w:val="0"/>
            <w:vAlign w:val="center"/>
          </w:tcPr>
          <w:p>
            <w:pPr>
              <w:spacing w:line="360" w:lineRule="auto"/>
              <w:jc w:val="center"/>
              <w:rPr>
                <w:rFonts w:hint="eastAsia" w:ascii="Calibri" w:hAnsi="Calibri"/>
                <w:sz w:val="24"/>
                <w:szCs w:val="32"/>
              </w:rPr>
            </w:pPr>
            <w:r>
              <w:rPr>
                <w:rFonts w:hint="eastAsia" w:ascii="Calibri" w:hAnsi="Calibri"/>
                <w:sz w:val="24"/>
                <w:szCs w:val="32"/>
              </w:rPr>
              <w:t>工业</w:t>
            </w:r>
          </w:p>
        </w:tc>
        <w:tc>
          <w:tcPr>
            <w:tcW w:w="818" w:type="dxa"/>
            <w:noWrap w:val="0"/>
            <w:vAlign w:val="center"/>
          </w:tcPr>
          <w:p>
            <w:pPr>
              <w:spacing w:line="360" w:lineRule="auto"/>
              <w:jc w:val="center"/>
              <w:rPr>
                <w:rFonts w:hint="eastAsia" w:ascii="宋体" w:hAnsi="宋体" w:cs="宋体"/>
                <w:sz w:val="24"/>
              </w:rPr>
            </w:pPr>
            <w:r>
              <w:rPr>
                <w:rFonts w:hint="eastAsia" w:ascii="Calibri" w:hAnsi="Calibri"/>
                <w:sz w:val="24"/>
                <w:szCs w:val="32"/>
              </w:rPr>
              <w:t>1台</w:t>
            </w:r>
          </w:p>
        </w:tc>
        <w:tc>
          <w:tcPr>
            <w:tcW w:w="1937" w:type="dxa"/>
            <w:noWrap w:val="0"/>
            <w:vAlign w:val="center"/>
          </w:tcPr>
          <w:p>
            <w:pPr>
              <w:spacing w:line="360" w:lineRule="auto"/>
              <w:jc w:val="center"/>
              <w:rPr>
                <w:rFonts w:hint="eastAsia" w:ascii="宋体" w:hAnsi="宋体" w:cs="宋体"/>
                <w:sz w:val="24"/>
              </w:rPr>
            </w:pPr>
            <w:r>
              <w:rPr>
                <w:rFonts w:hint="eastAsia" w:ascii="宋体" w:hAnsi="宋体" w:cs="宋体"/>
                <w:sz w:val="24"/>
              </w:rPr>
              <w:t>￥2,950,900.00</w:t>
            </w:r>
          </w:p>
        </w:tc>
        <w:tc>
          <w:tcPr>
            <w:tcW w:w="1963" w:type="dxa"/>
            <w:noWrap w:val="0"/>
            <w:vAlign w:val="center"/>
          </w:tcPr>
          <w:p>
            <w:pPr>
              <w:spacing w:line="360" w:lineRule="auto"/>
              <w:jc w:val="center"/>
              <w:rPr>
                <w:rFonts w:hint="eastAsia" w:ascii="宋体" w:hAnsi="宋体" w:cs="宋体"/>
                <w:sz w:val="24"/>
              </w:rPr>
            </w:pPr>
            <w:r>
              <w:rPr>
                <w:rFonts w:hint="eastAsia" w:ascii="宋体" w:hAnsi="宋体" w:cs="宋体"/>
                <w:sz w:val="24"/>
              </w:rPr>
              <w:t>￥2,950,900.00</w:t>
            </w:r>
          </w:p>
        </w:tc>
      </w:tr>
    </w:tbl>
    <w:p>
      <w:pPr>
        <w:pStyle w:val="4"/>
        <w:spacing w:line="360" w:lineRule="auto"/>
        <w:rPr>
          <w:rFonts w:hint="eastAsia" w:ascii="宋体" w:hAnsi="宋体" w:eastAsia="宋体" w:cs="宋体"/>
          <w:b/>
          <w:bCs w:val="0"/>
        </w:rPr>
      </w:pPr>
      <w:bookmarkStart w:id="0" w:name="_Toc20473794"/>
      <w:bookmarkStart w:id="1" w:name="_Toc351466512"/>
      <w:r>
        <w:rPr>
          <w:rFonts w:hint="eastAsia" w:ascii="宋体" w:hAnsi="宋体" w:eastAsia="宋体" w:cs="宋体"/>
          <w:b/>
          <w:bCs w:val="0"/>
        </w:rPr>
        <w:t>注：供应商单项设备报价不应超过此表的单价控制价，投标总价不应超过本项目预算金额/最高限价。</w:t>
      </w:r>
    </w:p>
    <w:p>
      <w:pPr>
        <w:pStyle w:val="4"/>
        <w:spacing w:line="360" w:lineRule="auto"/>
        <w:rPr>
          <w:rFonts w:hint="eastAsia" w:ascii="宋体" w:hAnsi="宋体" w:eastAsia="宋体" w:cs="宋体"/>
          <w:b/>
          <w:bCs w:val="0"/>
        </w:rPr>
      </w:pPr>
      <w:r>
        <w:rPr>
          <w:rFonts w:hint="eastAsia" w:ascii="宋体" w:hAnsi="宋体" w:eastAsia="宋体" w:cs="宋体"/>
          <w:b/>
          <w:bCs w:val="0"/>
        </w:rPr>
        <w:t>（一）技术要求</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
        <w:gridCol w:w="548"/>
        <w:gridCol w:w="542"/>
        <w:gridCol w:w="6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33" w:type="dxa"/>
            <w:noWrap w:val="0"/>
            <w:vAlign w:val="center"/>
          </w:tcPr>
          <w:p>
            <w:pPr>
              <w:spacing w:line="360" w:lineRule="auto"/>
              <w:jc w:val="center"/>
              <w:rPr>
                <w:rFonts w:hint="eastAsia" w:ascii="宋体" w:hAnsi="宋体" w:cs="宋体"/>
                <w:b/>
                <w:sz w:val="24"/>
              </w:rPr>
            </w:pPr>
            <w:r>
              <w:rPr>
                <w:rFonts w:hint="eastAsia" w:ascii="宋体" w:hAnsi="宋体" w:cs="宋体"/>
                <w:b/>
                <w:sz w:val="24"/>
              </w:rPr>
              <w:t>序号</w:t>
            </w:r>
          </w:p>
        </w:tc>
        <w:tc>
          <w:tcPr>
            <w:tcW w:w="720" w:type="dxa"/>
            <w:noWrap w:val="0"/>
            <w:vAlign w:val="center"/>
          </w:tcPr>
          <w:p>
            <w:pPr>
              <w:spacing w:line="360" w:lineRule="auto"/>
              <w:jc w:val="center"/>
              <w:rPr>
                <w:rFonts w:hint="eastAsia" w:ascii="宋体" w:hAnsi="宋体" w:cs="宋体"/>
                <w:b/>
                <w:sz w:val="24"/>
              </w:rPr>
            </w:pPr>
            <w:r>
              <w:rPr>
                <w:rFonts w:hint="eastAsia" w:ascii="宋体" w:hAnsi="宋体" w:cs="宋体"/>
                <w:b/>
                <w:sz w:val="24"/>
              </w:rPr>
              <w:t>设备名称</w:t>
            </w:r>
          </w:p>
        </w:tc>
        <w:tc>
          <w:tcPr>
            <w:tcW w:w="701" w:type="dxa"/>
            <w:noWrap w:val="0"/>
            <w:vAlign w:val="center"/>
          </w:tcPr>
          <w:p>
            <w:pPr>
              <w:spacing w:line="360" w:lineRule="auto"/>
              <w:jc w:val="center"/>
              <w:rPr>
                <w:rFonts w:hint="eastAsia" w:ascii="宋体" w:hAnsi="宋体" w:cs="宋体"/>
                <w:b/>
                <w:sz w:val="24"/>
              </w:rPr>
            </w:pPr>
            <w:r>
              <w:rPr>
                <w:rFonts w:hint="eastAsia" w:ascii="宋体" w:hAnsi="宋体" w:cs="宋体"/>
                <w:b/>
                <w:sz w:val="24"/>
              </w:rPr>
              <w:t>数量</w:t>
            </w:r>
          </w:p>
        </w:tc>
        <w:tc>
          <w:tcPr>
            <w:tcW w:w="7609" w:type="dxa"/>
            <w:noWrap w:val="0"/>
            <w:vAlign w:val="center"/>
          </w:tcPr>
          <w:p>
            <w:pPr>
              <w:spacing w:line="360" w:lineRule="auto"/>
              <w:jc w:val="center"/>
              <w:rPr>
                <w:rFonts w:hint="eastAsia" w:ascii="宋体" w:hAnsi="宋体" w:cs="宋体"/>
                <w:b/>
                <w:sz w:val="24"/>
              </w:rPr>
            </w:pPr>
            <w:r>
              <w:rPr>
                <w:rFonts w:hint="eastAsia" w:ascii="宋体" w:hAnsi="宋体" w:cs="宋体"/>
                <w:b/>
                <w:sz w:val="24"/>
              </w:rPr>
              <w:t>详细技术参数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3" w:type="dxa"/>
            <w:noWrap w:val="0"/>
            <w:vAlign w:val="center"/>
          </w:tcPr>
          <w:p>
            <w:pPr>
              <w:spacing w:line="360" w:lineRule="auto"/>
              <w:jc w:val="center"/>
              <w:rPr>
                <w:rFonts w:hint="eastAsia" w:ascii="宋体" w:hAnsi="宋体" w:cs="宋体"/>
                <w:sz w:val="24"/>
              </w:rPr>
            </w:pPr>
            <w:r>
              <w:rPr>
                <w:rFonts w:hint="eastAsia" w:ascii="宋体" w:hAnsi="宋体" w:cs="宋体"/>
                <w:sz w:val="24"/>
              </w:rPr>
              <w:t>1</w:t>
            </w:r>
          </w:p>
        </w:tc>
        <w:tc>
          <w:tcPr>
            <w:tcW w:w="720" w:type="dxa"/>
            <w:noWrap w:val="0"/>
            <w:vAlign w:val="center"/>
          </w:tcPr>
          <w:p>
            <w:pPr>
              <w:spacing w:line="360" w:lineRule="auto"/>
              <w:jc w:val="center"/>
              <w:rPr>
                <w:rFonts w:hint="eastAsia" w:ascii="宋体" w:hAnsi="宋体" w:cs="宋体"/>
                <w:sz w:val="24"/>
              </w:rPr>
            </w:pPr>
            <w:r>
              <w:rPr>
                <w:rFonts w:hint="eastAsia" w:ascii="宋体" w:hAnsi="宋体" w:cs="宋体"/>
                <w:sz w:val="24"/>
              </w:rPr>
              <w:t>直流电弧故障及智能化断路器综合测试系统</w:t>
            </w:r>
          </w:p>
        </w:tc>
        <w:tc>
          <w:tcPr>
            <w:tcW w:w="701" w:type="dxa"/>
            <w:noWrap w:val="0"/>
            <w:vAlign w:val="center"/>
          </w:tcPr>
          <w:p>
            <w:pPr>
              <w:spacing w:line="360" w:lineRule="auto"/>
              <w:jc w:val="center"/>
              <w:rPr>
                <w:rFonts w:hint="eastAsia" w:ascii="宋体" w:hAnsi="宋体" w:cs="宋体"/>
                <w:sz w:val="24"/>
              </w:rPr>
            </w:pPr>
            <w:r>
              <w:rPr>
                <w:rFonts w:hint="eastAsia" w:ascii="宋体" w:hAnsi="宋体" w:cs="宋体"/>
                <w:sz w:val="24"/>
              </w:rPr>
              <w:t>1台</w:t>
            </w:r>
          </w:p>
        </w:tc>
        <w:tc>
          <w:tcPr>
            <w:tcW w:w="7609" w:type="dxa"/>
            <w:noWrap w:val="0"/>
            <w:vAlign w:val="top"/>
          </w:tcPr>
          <w:p>
            <w:pPr>
              <w:spacing w:line="360" w:lineRule="auto"/>
              <w:rPr>
                <w:rFonts w:hint="eastAsia" w:ascii="宋体" w:hAnsi="宋体" w:cs="宋体"/>
                <w:sz w:val="24"/>
              </w:rPr>
            </w:pPr>
            <w:r>
              <w:rPr>
                <w:rFonts w:hint="eastAsia" w:ascii="宋体" w:hAnsi="宋体" w:cs="宋体"/>
                <w:sz w:val="24"/>
              </w:rPr>
              <w:t>一、设备主要用途</w:t>
            </w:r>
          </w:p>
          <w:p>
            <w:pPr>
              <w:spacing w:line="360" w:lineRule="auto"/>
              <w:ind w:firstLine="480" w:firstLineChars="200"/>
              <w:contextualSpacing/>
              <w:rPr>
                <w:rFonts w:hint="eastAsia" w:ascii="宋体" w:hAnsi="宋体" w:cs="宋体"/>
                <w:kern w:val="0"/>
                <w:sz w:val="24"/>
              </w:rPr>
            </w:pPr>
            <w:r>
              <w:rPr>
                <w:rFonts w:hint="eastAsia" w:ascii="宋体" w:hAnsi="宋体" w:cs="宋体"/>
                <w:kern w:val="0"/>
                <w:sz w:val="24"/>
              </w:rPr>
              <w:t>通过制造三种直流电弧故障信号，对具有智能模块的直流断路器、接触器进行测试，以评价智能化直流断路器、接触器识别装备配电系统中因连接松动、绝缘破损等因素引发的电弧故障的能力。</w:t>
            </w:r>
          </w:p>
          <w:p>
            <w:pPr>
              <w:spacing w:line="360" w:lineRule="auto"/>
              <w:rPr>
                <w:rFonts w:hint="eastAsia" w:ascii="宋体" w:hAnsi="宋体" w:cs="宋体"/>
                <w:sz w:val="24"/>
              </w:rPr>
            </w:pPr>
            <w:r>
              <w:rPr>
                <w:rFonts w:hint="eastAsia" w:ascii="宋体" w:hAnsi="宋体" w:cs="宋体"/>
                <w:sz w:val="24"/>
              </w:rPr>
              <w:t>二、技术要求</w:t>
            </w:r>
          </w:p>
          <w:p>
            <w:pPr>
              <w:numPr>
                <w:ilvl w:val="0"/>
                <w:numId w:val="2"/>
              </w:numPr>
              <w:spacing w:line="360" w:lineRule="auto"/>
              <w:contextualSpacing/>
              <w:rPr>
                <w:rFonts w:hint="eastAsia" w:ascii="宋体" w:hAnsi="宋体" w:cs="宋体"/>
                <w:kern w:val="0"/>
                <w:sz w:val="24"/>
              </w:rPr>
            </w:pPr>
            <w:r>
              <w:rPr>
                <w:rFonts w:hint="eastAsia" w:ascii="宋体" w:hAnsi="宋体" w:cs="宋体"/>
                <w:kern w:val="0"/>
                <w:sz w:val="24"/>
              </w:rPr>
              <w:t>★串联故障电弧最大试验电流：63A；</w:t>
            </w:r>
          </w:p>
          <w:p>
            <w:pPr>
              <w:numPr>
                <w:ilvl w:val="0"/>
                <w:numId w:val="2"/>
              </w:numPr>
              <w:spacing w:line="360" w:lineRule="auto"/>
              <w:contextualSpacing/>
              <w:rPr>
                <w:rFonts w:hint="eastAsia" w:ascii="宋体" w:hAnsi="宋体" w:cs="宋体"/>
                <w:kern w:val="0"/>
                <w:sz w:val="24"/>
              </w:rPr>
            </w:pPr>
            <w:r>
              <w:rPr>
                <w:rFonts w:hint="eastAsia" w:ascii="宋体" w:hAnsi="宋体" w:cs="宋体"/>
                <w:kern w:val="0"/>
                <w:sz w:val="24"/>
              </w:rPr>
              <w:t>★并联故障电弧最大试验电流：500A；</w:t>
            </w:r>
          </w:p>
          <w:p>
            <w:pPr>
              <w:numPr>
                <w:ilvl w:val="0"/>
                <w:numId w:val="2"/>
              </w:numPr>
              <w:spacing w:line="360" w:lineRule="auto"/>
              <w:contextualSpacing/>
              <w:rPr>
                <w:rFonts w:hint="eastAsia" w:ascii="宋体" w:hAnsi="宋体" w:cs="宋体"/>
                <w:kern w:val="0"/>
                <w:sz w:val="24"/>
              </w:rPr>
            </w:pPr>
            <w:r>
              <w:rPr>
                <w:rFonts w:hint="eastAsia" w:ascii="宋体" w:hAnsi="宋体" w:cs="宋体"/>
                <w:kern w:val="0"/>
                <w:sz w:val="24"/>
              </w:rPr>
              <w:t>★电源输出精度：电压：±2%，电流：±5%；</w:t>
            </w:r>
          </w:p>
          <w:p>
            <w:pPr>
              <w:numPr>
                <w:ilvl w:val="0"/>
                <w:numId w:val="2"/>
              </w:numPr>
              <w:spacing w:line="360" w:lineRule="auto"/>
              <w:contextualSpacing/>
              <w:rPr>
                <w:rFonts w:hint="eastAsia" w:ascii="宋体" w:hAnsi="宋体" w:cs="宋体"/>
                <w:kern w:val="0"/>
                <w:sz w:val="24"/>
              </w:rPr>
            </w:pPr>
            <w:r>
              <w:rPr>
                <w:rFonts w:hint="eastAsia" w:ascii="宋体" w:hAnsi="宋体" w:cs="宋体"/>
                <w:kern w:val="0"/>
                <w:sz w:val="24"/>
              </w:rPr>
              <w:t>★设备采样频率：500kHz/s；</w:t>
            </w:r>
          </w:p>
          <w:p>
            <w:pPr>
              <w:numPr>
                <w:ilvl w:val="0"/>
                <w:numId w:val="2"/>
              </w:numPr>
              <w:spacing w:line="360" w:lineRule="auto"/>
              <w:ind w:left="0" w:firstLine="0"/>
              <w:contextualSpacing/>
              <w:rPr>
                <w:rFonts w:hint="eastAsia" w:ascii="宋体" w:hAnsi="宋体" w:cs="宋体"/>
                <w:kern w:val="0"/>
                <w:sz w:val="24"/>
              </w:rPr>
            </w:pPr>
            <w:r>
              <w:rPr>
                <w:rFonts w:hint="eastAsia" w:ascii="宋体" w:hAnsi="宋体" w:cs="宋体"/>
                <w:kern w:val="0"/>
                <w:sz w:val="24"/>
              </w:rPr>
              <w:t>直流电弧故障及智能化断路器综合测试系统由直流电源、可调负载、电弧发生装置、固定夹具、检测及控制模块、参数采集模块和测控系统等组成。</w:t>
            </w:r>
          </w:p>
          <w:p>
            <w:pPr>
              <w:numPr>
                <w:ilvl w:val="0"/>
                <w:numId w:val="2"/>
              </w:numPr>
              <w:spacing w:line="360" w:lineRule="auto"/>
              <w:ind w:left="0" w:firstLine="0"/>
              <w:contextualSpacing/>
              <w:rPr>
                <w:rFonts w:hint="eastAsia" w:ascii="宋体" w:hAnsi="宋体" w:cs="宋体"/>
                <w:kern w:val="0"/>
                <w:sz w:val="24"/>
              </w:rPr>
            </w:pPr>
            <w:r>
              <w:rPr>
                <w:rFonts w:hint="eastAsia" w:ascii="宋体" w:hAnsi="宋体" w:cs="宋体"/>
                <w:kern w:val="0"/>
                <w:sz w:val="24"/>
              </w:rPr>
              <w:t>直流电弧故障及智能化断路器综合测试系统是通过直流电源为被测断路器提供试验电源，可调负载根据测试的需要给出不同的电流。电弧发生装置可以提供三种类型的故障电弧，包括串联型电弧、并联型电弧和接地型电弧。参数采集模块负责采集断路器触点的实时电参数，并发送给计算机进行数据记录和处理；计算机控制整套测试系统，其功能包括：电压波形记录、电流波形记录、保护时间分析、电弧特性分析、故障检测保护和电源输出控制等功能，系统组成如下图所示。</w:t>
            </w:r>
          </w:p>
          <w:p>
            <w:pPr>
              <w:spacing w:line="360" w:lineRule="auto"/>
              <w:jc w:val="center"/>
              <w:rPr>
                <w:rFonts w:hint="eastAsia" w:ascii="宋体" w:hAnsi="宋体" w:cs="宋体"/>
                <w:sz w:val="24"/>
              </w:rPr>
            </w:pPr>
            <w:r>
              <w:rPr>
                <w:rFonts w:hint="eastAsia" w:ascii="宋体" w:hAnsi="宋体" w:cs="宋体"/>
                <w:sz w:val="24"/>
              </w:rPr>
              <w:drawing>
                <wp:inline distT="0" distB="0" distL="114300" distR="114300">
                  <wp:extent cx="3335020" cy="1922145"/>
                  <wp:effectExtent l="0" t="0" r="17780" b="190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3335020" cy="1922145"/>
                          </a:xfrm>
                          <a:prstGeom prst="rect">
                            <a:avLst/>
                          </a:prstGeom>
                          <a:noFill/>
                          <a:ln>
                            <a:noFill/>
                          </a:ln>
                        </pic:spPr>
                      </pic:pic>
                    </a:graphicData>
                  </a:graphic>
                </wp:inline>
              </w:drawing>
            </w:r>
          </w:p>
          <w:p>
            <w:pPr>
              <w:spacing w:line="360" w:lineRule="auto"/>
              <w:jc w:val="center"/>
              <w:rPr>
                <w:rFonts w:hint="eastAsia" w:ascii="宋体" w:hAnsi="宋体" w:cs="宋体"/>
                <w:sz w:val="24"/>
              </w:rPr>
            </w:pPr>
            <w:r>
              <w:rPr>
                <w:rFonts w:hint="eastAsia" w:ascii="宋体" w:hAnsi="宋体" w:cs="宋体"/>
                <w:sz w:val="24"/>
              </w:rPr>
              <w:t>图1 直流电弧故障及智能化断路器综合测试系统</w:t>
            </w:r>
          </w:p>
          <w:p>
            <w:pPr>
              <w:numPr>
                <w:ilvl w:val="0"/>
                <w:numId w:val="2"/>
              </w:numPr>
              <w:spacing w:line="360" w:lineRule="auto"/>
              <w:contextualSpacing/>
              <w:rPr>
                <w:rFonts w:hint="eastAsia" w:ascii="宋体" w:hAnsi="宋体" w:cs="宋体"/>
                <w:kern w:val="0"/>
                <w:sz w:val="24"/>
              </w:rPr>
            </w:pPr>
            <w:r>
              <w:rPr>
                <w:rFonts w:hint="eastAsia" w:ascii="宋体" w:hAnsi="宋体" w:cs="宋体"/>
                <w:kern w:val="0"/>
                <w:sz w:val="24"/>
              </w:rPr>
              <w:t>电弧发生器通过电机控制，根据试验需求可以自动产生直流电弧；</w:t>
            </w:r>
          </w:p>
          <w:p>
            <w:pPr>
              <w:numPr>
                <w:ilvl w:val="0"/>
                <w:numId w:val="2"/>
              </w:numPr>
              <w:spacing w:line="360" w:lineRule="auto"/>
              <w:contextualSpacing/>
              <w:rPr>
                <w:rFonts w:hint="eastAsia" w:ascii="宋体" w:hAnsi="宋体" w:cs="宋体"/>
                <w:kern w:val="0"/>
                <w:sz w:val="24"/>
              </w:rPr>
            </w:pPr>
            <w:r>
              <w:rPr>
                <w:rFonts w:hint="eastAsia" w:ascii="宋体" w:hAnsi="宋体" w:cs="宋体"/>
                <w:kern w:val="0"/>
                <w:sz w:val="24"/>
              </w:rPr>
              <w:t>系统预留各种负载扩张接口，满足各类负载的接入；</w:t>
            </w:r>
          </w:p>
          <w:p>
            <w:pPr>
              <w:numPr>
                <w:ilvl w:val="0"/>
                <w:numId w:val="2"/>
              </w:numPr>
              <w:spacing w:line="360" w:lineRule="auto"/>
              <w:ind w:left="0" w:firstLine="0"/>
              <w:contextualSpacing/>
              <w:rPr>
                <w:rFonts w:hint="eastAsia" w:ascii="宋体" w:hAnsi="宋体" w:cs="宋体"/>
                <w:kern w:val="0"/>
                <w:sz w:val="24"/>
              </w:rPr>
            </w:pPr>
            <w:r>
              <w:rPr>
                <w:rFonts w:hint="eastAsia" w:ascii="宋体" w:hAnsi="宋体" w:cs="宋体"/>
                <w:kern w:val="0"/>
                <w:sz w:val="24"/>
              </w:rPr>
              <w:t>配置NI PXI采集系统，采集卡带同步模拟出发功能，采样率不低于500kS/s/ch，测控软件可以自动采集电压、电流，自动计算电弧时间，电弧能量及频谱分析等功能；</w:t>
            </w:r>
          </w:p>
          <w:p>
            <w:pPr>
              <w:numPr>
                <w:ilvl w:val="0"/>
                <w:numId w:val="2"/>
              </w:numPr>
              <w:spacing w:line="360" w:lineRule="auto"/>
              <w:ind w:left="0" w:firstLine="0"/>
              <w:contextualSpacing/>
              <w:rPr>
                <w:rFonts w:hint="eastAsia" w:ascii="宋体" w:hAnsi="宋体" w:cs="宋体"/>
                <w:kern w:val="0"/>
                <w:sz w:val="24"/>
              </w:rPr>
            </w:pPr>
            <w:r>
              <w:rPr>
                <w:rFonts w:hint="eastAsia" w:ascii="宋体" w:hAnsi="宋体" w:cs="宋体"/>
                <w:kern w:val="0"/>
                <w:sz w:val="24"/>
              </w:rPr>
              <w:t>设备接入用户的信息化系统中，具体要求见附录1：系统数据采集信息化要求；</w:t>
            </w:r>
          </w:p>
          <w:p>
            <w:pPr>
              <w:numPr>
                <w:ilvl w:val="0"/>
                <w:numId w:val="2"/>
              </w:numPr>
              <w:spacing w:line="360" w:lineRule="auto"/>
              <w:ind w:left="0" w:firstLine="0"/>
              <w:contextualSpacing/>
              <w:rPr>
                <w:rFonts w:hint="eastAsia" w:ascii="宋体" w:hAnsi="宋体" w:cs="宋体"/>
                <w:kern w:val="0"/>
                <w:sz w:val="24"/>
              </w:rPr>
            </w:pPr>
            <w:r>
              <w:rPr>
                <w:rFonts w:hint="eastAsia" w:ascii="宋体" w:hAnsi="宋体" w:cs="宋体"/>
                <w:kern w:val="0"/>
                <w:sz w:val="24"/>
              </w:rPr>
              <w:t>具备电器接地和安全保护装置；</w:t>
            </w:r>
          </w:p>
          <w:p>
            <w:pPr>
              <w:numPr>
                <w:ilvl w:val="0"/>
                <w:numId w:val="2"/>
              </w:numPr>
              <w:spacing w:line="360" w:lineRule="auto"/>
              <w:ind w:left="0" w:firstLine="0"/>
              <w:contextualSpacing/>
              <w:rPr>
                <w:rFonts w:hint="eastAsia" w:ascii="宋体" w:hAnsi="宋体" w:cs="宋体"/>
                <w:kern w:val="0"/>
                <w:sz w:val="24"/>
              </w:rPr>
            </w:pPr>
            <w:r>
              <w:rPr>
                <w:rFonts w:hint="eastAsia" w:ascii="宋体" w:hAnsi="宋体" w:cs="宋体"/>
                <w:kern w:val="0"/>
                <w:sz w:val="24"/>
              </w:rPr>
              <w:t>具备人身安全保障措施：设备在通电运行时必须充分保证操作者的人身安全、试验设备安全、试验样品安全、以及在试验中止或中断时的各项试验数据的安全和可靠；</w:t>
            </w:r>
          </w:p>
          <w:p>
            <w:pPr>
              <w:numPr>
                <w:ilvl w:val="0"/>
                <w:numId w:val="2"/>
              </w:numPr>
              <w:spacing w:line="360" w:lineRule="auto"/>
              <w:ind w:left="0" w:firstLine="0"/>
              <w:contextualSpacing/>
              <w:rPr>
                <w:rFonts w:hint="eastAsia" w:ascii="宋体" w:hAnsi="宋体" w:cs="宋体"/>
                <w:kern w:val="0"/>
                <w:sz w:val="24"/>
              </w:rPr>
            </w:pPr>
            <w:r>
              <w:rPr>
                <w:rFonts w:hint="eastAsia" w:ascii="宋体" w:hAnsi="宋体" w:cs="宋体"/>
                <w:kern w:val="0"/>
                <w:sz w:val="24"/>
              </w:rPr>
              <w:t>可靠性要求：监测台在规定的使用环境中的各种电磁干扰下，应能正常工作，具有较强的抗干扰能力和可靠性</w:t>
            </w:r>
            <w:bookmarkStart w:id="2" w:name="_bookmark5"/>
            <w:bookmarkEnd w:id="2"/>
            <w:r>
              <w:rPr>
                <w:rFonts w:hint="eastAsia" w:ascii="宋体" w:hAnsi="宋体" w:cs="宋体"/>
                <w:kern w:val="0"/>
                <w:sz w:val="24"/>
              </w:rPr>
              <w:t>；</w:t>
            </w:r>
          </w:p>
          <w:p>
            <w:pPr>
              <w:numPr>
                <w:ilvl w:val="0"/>
                <w:numId w:val="2"/>
              </w:numPr>
              <w:spacing w:line="360" w:lineRule="auto"/>
              <w:ind w:left="0" w:firstLine="0"/>
              <w:contextualSpacing/>
              <w:rPr>
                <w:rFonts w:hint="eastAsia" w:ascii="宋体" w:hAnsi="宋体" w:cs="宋体"/>
                <w:sz w:val="24"/>
              </w:rPr>
            </w:pPr>
            <w:r>
              <w:rPr>
                <w:rFonts w:hint="eastAsia" w:ascii="宋体" w:hAnsi="宋体" w:cs="宋体"/>
                <w:kern w:val="0"/>
                <w:sz w:val="24"/>
              </w:rPr>
              <w:t>散热性要求：设备具有热保护装置，设备的散热功能必须良好，并作为验收的一部分。如果用风冷，则必须保证噪声符合国家标准的要求，电扇的电磁干扰对监测电路不会造成损坏或影响</w:t>
            </w:r>
            <w:bookmarkStart w:id="3" w:name="_Hlk171414134"/>
            <w:r>
              <w:rPr>
                <w:rFonts w:hint="eastAsia" w:ascii="宋体" w:hAnsi="宋体" w:cs="宋体"/>
                <w:kern w:val="0"/>
                <w:sz w:val="24"/>
              </w:rPr>
              <w:t>。</w:t>
            </w:r>
            <w:bookmarkEnd w:id="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33" w:type="dxa"/>
            <w:noWrap w:val="0"/>
            <w:vAlign w:val="center"/>
          </w:tcPr>
          <w:p>
            <w:pPr>
              <w:spacing w:line="360" w:lineRule="auto"/>
              <w:jc w:val="center"/>
              <w:rPr>
                <w:rFonts w:hint="eastAsia" w:ascii="宋体" w:hAnsi="宋体" w:cs="宋体"/>
                <w:sz w:val="24"/>
              </w:rPr>
            </w:pPr>
            <w:r>
              <w:rPr>
                <w:rFonts w:hint="eastAsia" w:ascii="宋体" w:hAnsi="宋体" w:cs="宋体"/>
                <w:sz w:val="24"/>
              </w:rPr>
              <w:t>2</w:t>
            </w:r>
          </w:p>
        </w:tc>
        <w:tc>
          <w:tcPr>
            <w:tcW w:w="720" w:type="dxa"/>
            <w:noWrap w:val="0"/>
            <w:vAlign w:val="center"/>
          </w:tcPr>
          <w:p>
            <w:pPr>
              <w:spacing w:line="360" w:lineRule="auto"/>
              <w:jc w:val="center"/>
              <w:rPr>
                <w:rFonts w:hint="eastAsia" w:ascii="宋体" w:hAnsi="宋体" w:cs="宋体"/>
                <w:sz w:val="24"/>
              </w:rPr>
            </w:pPr>
            <w:r>
              <w:rPr>
                <w:rFonts w:hint="eastAsia" w:ascii="宋体" w:hAnsi="宋体" w:cs="宋体"/>
                <w:sz w:val="24"/>
              </w:rPr>
              <w:t>小功率交直流断路器动作特性试验仪</w:t>
            </w:r>
          </w:p>
        </w:tc>
        <w:tc>
          <w:tcPr>
            <w:tcW w:w="701" w:type="dxa"/>
            <w:noWrap w:val="0"/>
            <w:vAlign w:val="center"/>
          </w:tcPr>
          <w:p>
            <w:pPr>
              <w:spacing w:line="360" w:lineRule="auto"/>
              <w:jc w:val="center"/>
              <w:rPr>
                <w:rFonts w:hint="eastAsia" w:ascii="宋体" w:hAnsi="宋体" w:cs="宋体"/>
                <w:sz w:val="24"/>
              </w:rPr>
            </w:pPr>
            <w:r>
              <w:rPr>
                <w:rFonts w:hint="eastAsia" w:ascii="宋体" w:hAnsi="宋体" w:cs="宋体"/>
                <w:sz w:val="24"/>
              </w:rPr>
              <w:t>1台</w:t>
            </w:r>
          </w:p>
        </w:tc>
        <w:tc>
          <w:tcPr>
            <w:tcW w:w="7609" w:type="dxa"/>
            <w:noWrap w:val="0"/>
            <w:vAlign w:val="top"/>
          </w:tcPr>
          <w:p>
            <w:pPr>
              <w:numPr>
                <w:ilvl w:val="0"/>
                <w:numId w:val="3"/>
              </w:numPr>
              <w:spacing w:line="360" w:lineRule="auto"/>
              <w:rPr>
                <w:rFonts w:hint="eastAsia" w:ascii="宋体" w:hAnsi="宋体" w:cs="宋体"/>
                <w:sz w:val="24"/>
              </w:rPr>
            </w:pPr>
            <w:r>
              <w:rPr>
                <w:rFonts w:hint="eastAsia" w:ascii="宋体" w:hAnsi="宋体" w:cs="宋体"/>
                <w:sz w:val="24"/>
              </w:rPr>
              <w:t>主要用途</w:t>
            </w:r>
          </w:p>
          <w:p>
            <w:pPr>
              <w:spacing w:line="360" w:lineRule="auto"/>
              <w:ind w:firstLine="480" w:firstLineChars="200"/>
              <w:jc w:val="left"/>
              <w:rPr>
                <w:rFonts w:hint="eastAsia" w:ascii="宋体" w:hAnsi="宋体" w:cs="宋体"/>
                <w:sz w:val="24"/>
              </w:rPr>
            </w:pPr>
            <w:r>
              <w:rPr>
                <w:rFonts w:hint="eastAsia" w:ascii="宋体" w:hAnsi="宋体" w:cs="宋体"/>
                <w:sz w:val="24"/>
              </w:rPr>
              <w:t>测试额定电流小于3A的微型军用断路器保护动作特性曲线，并评价其批次产品一致性及其在高低温环境下的一致性。</w:t>
            </w:r>
          </w:p>
          <w:p>
            <w:pPr>
              <w:numPr>
                <w:ilvl w:val="0"/>
                <w:numId w:val="3"/>
              </w:numPr>
              <w:spacing w:line="360" w:lineRule="auto"/>
              <w:rPr>
                <w:rFonts w:hint="eastAsia" w:ascii="宋体" w:hAnsi="宋体" w:cs="宋体"/>
                <w:sz w:val="24"/>
              </w:rPr>
            </w:pPr>
            <w:r>
              <w:rPr>
                <w:rFonts w:hint="eastAsia" w:ascii="宋体" w:hAnsi="宋体" w:cs="宋体"/>
                <w:sz w:val="24"/>
              </w:rPr>
              <w:t>技术要求</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★测试范围：可对额定3A以下的直流、交流50Hz和400Hz断路器进行临界电流测试及保护动作特性曲线测试；</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★输出能力：直流500V50A，交流50Hz时500V50A、交流400Hz时500V50A；</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★电流测控精度：输出精度2%，调节步长0.05A，测试精度1%；</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★脱扣时间分辨率：脱扣时间大于100s时为100ms，脱扣时间大于1s时为1ms，脱扣时间小于1s时为10us；</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★温度范围：-55℃～125℃。</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★合闸方式：箱外自动合闸。</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小功率交直流断路器动作特性试验仪由交流电源、直流电源、温度试验箱、固定夹具、传动机构和控制模块、测控系统等组成；</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小功率交直流断路器动作特性试验仪搭配温度范围在-55～125℃的恒温箱可以远程设定温度，系统可以多档位电流、通电时间设定；至少预留3个档位设定电流及时间；</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小功率交直流断路器动作特性试验仪满足远程控制电流输出、试品动作控制、电压电流波形采集、动作特性自动波形采集和计时、故障检测保护、动作特性分析、一致性评价等功能；</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小功率交直流断路器动作特性试验仪搭配温度范围在-55～125℃的恒温箱共同为该目标提供实验手段并积累基础数据，试验时间可设定。</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系统工作原理是被测断路器由夹具固定于温度试验箱内；计算机控制动作机构运动，通过传动机构拨动温箱内断路器的手柄，使断路器合闸。温度稳定后再设置好交流或直流电源输出，并将电流输出至被测断路器上。同时，计算机开始采集被测断路器触点电流与电压波形，并分析动作特性，进行一致性评价，结构如下图所示：</w:t>
            </w:r>
          </w:p>
          <w:p>
            <w:pPr>
              <w:spacing w:line="360" w:lineRule="auto"/>
              <w:contextualSpacing/>
              <w:jc w:val="center"/>
              <w:rPr>
                <w:rFonts w:hint="eastAsia" w:ascii="宋体" w:hAnsi="宋体" w:cs="宋体"/>
                <w:kern w:val="0"/>
                <w:sz w:val="24"/>
              </w:rPr>
            </w:pPr>
            <w:r>
              <w:rPr>
                <w:rFonts w:hint="eastAsia" w:ascii="宋体" w:hAnsi="宋体" w:cs="宋体"/>
                <w:sz w:val="24"/>
              </w:rPr>
              <w:drawing>
                <wp:inline distT="0" distB="0" distL="114300" distR="114300">
                  <wp:extent cx="3630930" cy="2256790"/>
                  <wp:effectExtent l="0" t="0" r="7620" b="1016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3630930" cy="2256790"/>
                          </a:xfrm>
                          <a:prstGeom prst="rect">
                            <a:avLst/>
                          </a:prstGeom>
                          <a:noFill/>
                          <a:ln>
                            <a:noFill/>
                          </a:ln>
                        </pic:spPr>
                      </pic:pic>
                    </a:graphicData>
                  </a:graphic>
                </wp:inline>
              </w:drawing>
            </w:r>
          </w:p>
          <w:p>
            <w:pPr>
              <w:spacing w:line="360" w:lineRule="auto"/>
              <w:ind w:firstLine="480" w:firstLineChars="200"/>
              <w:contextualSpacing/>
              <w:jc w:val="center"/>
              <w:rPr>
                <w:rFonts w:hint="eastAsia" w:ascii="宋体" w:hAnsi="宋体" w:cs="宋体"/>
                <w:kern w:val="0"/>
                <w:sz w:val="24"/>
              </w:rPr>
            </w:pPr>
            <w:r>
              <w:rPr>
                <w:rFonts w:hint="eastAsia" w:ascii="宋体" w:hAnsi="宋体" w:cs="宋体"/>
                <w:kern w:val="0"/>
                <w:sz w:val="24"/>
              </w:rPr>
              <w:t>图2 小功率交直流断路器动作特性试验仪结构</w:t>
            </w:r>
          </w:p>
          <w:p>
            <w:pPr>
              <w:numPr>
                <w:ilvl w:val="0"/>
                <w:numId w:val="2"/>
              </w:numPr>
              <w:spacing w:line="360" w:lineRule="auto"/>
              <w:contextualSpacing/>
              <w:rPr>
                <w:rFonts w:hint="eastAsia" w:ascii="宋体" w:hAnsi="宋体" w:cs="宋体"/>
                <w:kern w:val="0"/>
                <w:sz w:val="24"/>
              </w:rPr>
            </w:pPr>
            <w:r>
              <w:rPr>
                <w:rFonts w:hint="eastAsia" w:ascii="宋体" w:hAnsi="宋体" w:cs="宋体"/>
                <w:kern w:val="0"/>
                <w:sz w:val="24"/>
              </w:rPr>
              <w:t>配置NI PCI采集系统，采集卡采样率不低于250kS/s/ch，测控软件可以自动采集电压、电流波形，自动采集计算脱扣时间等功能；</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设备接入用户的信息化系统中，具体要求见附录1：系统数据采集信息化要求；</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具备电器接地和安全保护装置；</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具备人身安全保障措施：寿命台在通电运行时必须充分保证操作者的人身安全、试验设备安全、试验样品安全、以及在试验中止或中断时的各项试验数据的安全和可靠；</w:t>
            </w:r>
          </w:p>
          <w:p>
            <w:pPr>
              <w:numPr>
                <w:ilvl w:val="0"/>
                <w:numId w:val="4"/>
              </w:numPr>
              <w:spacing w:line="360" w:lineRule="auto"/>
              <w:contextualSpacing/>
              <w:rPr>
                <w:rFonts w:hint="eastAsia" w:ascii="宋体" w:hAnsi="宋体" w:cs="宋体"/>
                <w:kern w:val="0"/>
                <w:sz w:val="24"/>
              </w:rPr>
            </w:pPr>
            <w:r>
              <w:rPr>
                <w:rFonts w:hint="eastAsia" w:ascii="宋体" w:hAnsi="宋体" w:cs="宋体"/>
                <w:kern w:val="0"/>
                <w:sz w:val="24"/>
              </w:rPr>
              <w:t>可靠性要求：监测台在规定的使用环境中的各种电磁干扰下，应能正常工作，具有较强的抗干扰能力和可靠性；</w:t>
            </w:r>
          </w:p>
          <w:p>
            <w:pPr>
              <w:numPr>
                <w:ilvl w:val="0"/>
                <w:numId w:val="4"/>
              </w:numPr>
              <w:spacing w:line="360" w:lineRule="auto"/>
              <w:contextualSpacing/>
              <w:rPr>
                <w:rFonts w:hint="eastAsia" w:ascii="宋体" w:hAnsi="宋体" w:cs="宋体"/>
                <w:sz w:val="24"/>
              </w:rPr>
            </w:pPr>
            <w:r>
              <w:rPr>
                <w:rFonts w:hint="eastAsia" w:ascii="宋体" w:hAnsi="宋体" w:cs="宋体"/>
                <w:kern w:val="0"/>
                <w:sz w:val="24"/>
              </w:rPr>
              <w:t>散热性要求：设备具有热保护装置，设备的散热功能必须良好，并作为验收的一部分。如果用风冷，则必须保证噪声符合国家标准的要求，电扇的电磁干扰对监测电路不会造成损坏或影响。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4" w:hRule="atLeast"/>
          <w:jc w:val="center"/>
        </w:trPr>
        <w:tc>
          <w:tcPr>
            <w:tcW w:w="433" w:type="dxa"/>
            <w:noWrap w:val="0"/>
            <w:vAlign w:val="center"/>
          </w:tcPr>
          <w:p>
            <w:pPr>
              <w:spacing w:line="360" w:lineRule="auto"/>
              <w:jc w:val="center"/>
              <w:rPr>
                <w:rFonts w:hint="eastAsia" w:ascii="宋体" w:hAnsi="宋体" w:cs="宋体"/>
                <w:b/>
                <w:sz w:val="24"/>
              </w:rPr>
            </w:pPr>
            <w:r>
              <w:rPr>
                <w:rFonts w:hint="eastAsia" w:ascii="宋体" w:hAnsi="宋体" w:cs="宋体"/>
                <w:bCs/>
                <w:sz w:val="24"/>
              </w:rPr>
              <w:t>3</w:t>
            </w:r>
          </w:p>
        </w:tc>
        <w:tc>
          <w:tcPr>
            <w:tcW w:w="720" w:type="dxa"/>
            <w:noWrap w:val="0"/>
            <w:vAlign w:val="center"/>
          </w:tcPr>
          <w:p>
            <w:pPr>
              <w:spacing w:line="360" w:lineRule="auto"/>
              <w:jc w:val="center"/>
              <w:rPr>
                <w:rFonts w:hint="eastAsia" w:ascii="宋体" w:hAnsi="宋体" w:cs="宋体"/>
                <w:b/>
                <w:sz w:val="24"/>
              </w:rPr>
            </w:pPr>
            <w:r>
              <w:rPr>
                <w:rFonts w:hint="eastAsia" w:ascii="宋体" w:hAnsi="宋体" w:cs="宋体"/>
                <w:sz w:val="24"/>
              </w:rPr>
              <w:t>中大功率断路器动作特性试验仪</w:t>
            </w:r>
          </w:p>
        </w:tc>
        <w:tc>
          <w:tcPr>
            <w:tcW w:w="701" w:type="dxa"/>
            <w:noWrap w:val="0"/>
            <w:vAlign w:val="center"/>
          </w:tcPr>
          <w:p>
            <w:pPr>
              <w:spacing w:line="360" w:lineRule="auto"/>
              <w:jc w:val="center"/>
              <w:rPr>
                <w:rFonts w:hint="eastAsia" w:ascii="宋体" w:hAnsi="宋体" w:cs="宋体"/>
                <w:b/>
                <w:sz w:val="24"/>
              </w:rPr>
            </w:pPr>
            <w:r>
              <w:rPr>
                <w:rFonts w:hint="eastAsia" w:ascii="宋体" w:hAnsi="宋体" w:cs="宋体"/>
                <w:bCs/>
                <w:sz w:val="24"/>
              </w:rPr>
              <w:t>1台</w:t>
            </w:r>
          </w:p>
        </w:tc>
        <w:tc>
          <w:tcPr>
            <w:tcW w:w="7609" w:type="dxa"/>
            <w:noWrap w:val="0"/>
            <w:vAlign w:val="top"/>
          </w:tcPr>
          <w:p>
            <w:pPr>
              <w:numPr>
                <w:ilvl w:val="0"/>
                <w:numId w:val="5"/>
              </w:numPr>
              <w:spacing w:line="360" w:lineRule="auto"/>
              <w:rPr>
                <w:rFonts w:hint="eastAsia" w:ascii="宋体" w:hAnsi="宋体" w:cs="宋体"/>
                <w:sz w:val="24"/>
              </w:rPr>
            </w:pPr>
            <w:r>
              <w:rPr>
                <w:rFonts w:hint="eastAsia" w:ascii="宋体" w:hAnsi="宋体" w:cs="宋体"/>
                <w:sz w:val="24"/>
              </w:rPr>
              <w:t>主要用途</w:t>
            </w:r>
          </w:p>
          <w:p>
            <w:pPr>
              <w:spacing w:line="360" w:lineRule="auto"/>
              <w:ind w:firstLine="480" w:firstLineChars="200"/>
              <w:contextualSpacing/>
              <w:rPr>
                <w:rFonts w:hint="eastAsia" w:ascii="宋体" w:hAnsi="宋体" w:cs="宋体"/>
                <w:kern w:val="0"/>
                <w:sz w:val="24"/>
              </w:rPr>
            </w:pPr>
            <w:r>
              <w:rPr>
                <w:rFonts w:hint="eastAsia" w:ascii="宋体" w:hAnsi="宋体" w:cs="宋体"/>
                <w:kern w:val="0"/>
                <w:sz w:val="24"/>
              </w:rPr>
              <w:t>测试额定电流大于3A的军用交流和直流断路器保护动作特性曲线，并评价其批次产品一致性及其在高低温环境下的一致性。</w:t>
            </w:r>
          </w:p>
          <w:p>
            <w:pPr>
              <w:spacing w:line="360" w:lineRule="auto"/>
              <w:ind w:firstLine="480" w:firstLineChars="200"/>
              <w:contextualSpacing/>
              <w:rPr>
                <w:rFonts w:hint="eastAsia" w:ascii="宋体" w:hAnsi="宋体" w:cs="宋体"/>
                <w:sz w:val="24"/>
              </w:rPr>
            </w:pPr>
            <w:r>
              <w:rPr>
                <w:rFonts w:hint="eastAsia" w:ascii="宋体" w:hAnsi="宋体" w:cs="宋体"/>
                <w:sz w:val="24"/>
              </w:rPr>
              <w:t>测试范围：额定3A以上的直流、交流50Hz和400Hz断路器；</w:t>
            </w:r>
          </w:p>
          <w:p>
            <w:pPr>
              <w:spacing w:line="360" w:lineRule="auto"/>
              <w:ind w:firstLine="480" w:firstLineChars="200"/>
              <w:contextualSpacing/>
              <w:rPr>
                <w:rFonts w:hint="eastAsia" w:ascii="宋体" w:hAnsi="宋体" w:cs="宋体"/>
                <w:kern w:val="0"/>
                <w:sz w:val="24"/>
              </w:rPr>
            </w:pPr>
            <w:r>
              <w:rPr>
                <w:rFonts w:hint="eastAsia" w:ascii="宋体" w:hAnsi="宋体" w:cs="宋体"/>
                <w:sz w:val="24"/>
              </w:rPr>
              <w:t>测试内容：临界电流测试、保护动作特性曲线测试。</w:t>
            </w:r>
          </w:p>
          <w:p>
            <w:pPr>
              <w:numPr>
                <w:ilvl w:val="0"/>
                <w:numId w:val="5"/>
              </w:numPr>
              <w:spacing w:line="360" w:lineRule="auto"/>
              <w:rPr>
                <w:rFonts w:hint="eastAsia" w:ascii="宋体" w:hAnsi="宋体" w:cs="宋体"/>
                <w:sz w:val="24"/>
              </w:rPr>
            </w:pPr>
            <w:r>
              <w:rPr>
                <w:rFonts w:hint="eastAsia" w:ascii="宋体" w:hAnsi="宋体" w:cs="宋体"/>
                <w:sz w:val="24"/>
              </w:rPr>
              <w:t>技术要求</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★输出能力：直流5V/5kA，交流50Hz时5V/5kA、交流400Hz时5V/5kA；</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★电流测控精度：输出精度2%，调节步长0.05A，测试精度1%；</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★脱扣时间分辨率：脱扣时间大于100s时为100ms，脱扣时间大于1s时为1ms，脱扣时间小于1s时为10us；</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★温度范围：-55℃～125℃，恒温箱与小功率断路器动作特性试验系统共用，不重复建设；</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★合闸方式：箱外自动合闸；</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中大功率断路器动作特性试验仪由交流电源、直流电源、温度试验箱、固定夹具、传动机构和控制模块、测控系统组成；</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中大功率断路器动作特性试验仪满足远程控制交直流电流输出、试品动作控制、电压电流波形采集、动作特性记时、故障检测保护、动作特性分析、一致性评价等功能；</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中大功率断路器动作特性试验仪搭配温度范围在-55～125℃的恒温箱可以远程设定温度，系统可以多档位电流、通电时间设定；至少预留3个档位设定电流及时间；</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中大功率断路器动作特性试验仪其工作原理是被测中大功率交流或直流断路器由夹具固定于温度试验箱内；计算机控制动作机构运动，通过传动机构拨动温箱内断路器的手柄，使被测断路器合闸；温度稳定后再设置好交流或直流电源，并将电流输出至被测断路器上；同时，计算机开始采集被测断路器触点电流与电压波形，并分析动作特性，进行一致性评价；由于中大功率断路器主回路电阻或阻抗相对较小，因此，测试所需的电源采用低压大电流电源，结构如下图3所示；</w:t>
            </w:r>
          </w:p>
          <w:p>
            <w:pPr>
              <w:spacing w:line="360" w:lineRule="auto"/>
              <w:contextualSpacing/>
              <w:jc w:val="center"/>
              <w:rPr>
                <w:rFonts w:hint="eastAsia" w:ascii="宋体" w:hAnsi="宋体" w:cs="宋体"/>
                <w:kern w:val="0"/>
                <w:sz w:val="24"/>
              </w:rPr>
            </w:pPr>
            <w:r>
              <w:rPr>
                <w:rFonts w:hint="eastAsia" w:ascii="宋体" w:hAnsi="宋体" w:cs="宋体"/>
                <w:sz w:val="24"/>
              </w:rPr>
              <w:drawing>
                <wp:inline distT="0" distB="0" distL="114300" distR="114300">
                  <wp:extent cx="3289935" cy="2025650"/>
                  <wp:effectExtent l="0" t="0" r="571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289935" cy="2025650"/>
                          </a:xfrm>
                          <a:prstGeom prst="rect">
                            <a:avLst/>
                          </a:prstGeom>
                          <a:noFill/>
                          <a:ln>
                            <a:noFill/>
                          </a:ln>
                        </pic:spPr>
                      </pic:pic>
                    </a:graphicData>
                  </a:graphic>
                </wp:inline>
              </w:drawing>
            </w:r>
          </w:p>
          <w:p>
            <w:pPr>
              <w:spacing w:line="360" w:lineRule="auto"/>
              <w:ind w:firstLine="480" w:firstLineChars="200"/>
              <w:contextualSpacing/>
              <w:jc w:val="center"/>
              <w:rPr>
                <w:rFonts w:hint="eastAsia" w:ascii="宋体" w:hAnsi="宋体" w:cs="宋体"/>
                <w:kern w:val="0"/>
                <w:sz w:val="24"/>
              </w:rPr>
            </w:pPr>
            <w:r>
              <w:rPr>
                <w:rFonts w:hint="eastAsia" w:ascii="宋体" w:hAnsi="宋体" w:cs="宋体"/>
                <w:kern w:val="0"/>
                <w:sz w:val="24"/>
              </w:rPr>
              <w:t>图3 中大功率断路器动作特性试验仪结构</w:t>
            </w:r>
          </w:p>
          <w:p>
            <w:pPr>
              <w:spacing w:line="360" w:lineRule="auto"/>
              <w:contextualSpacing/>
              <w:rPr>
                <w:rFonts w:hint="eastAsia" w:ascii="宋体" w:hAnsi="宋体" w:cs="宋体"/>
                <w:kern w:val="0"/>
                <w:sz w:val="24"/>
              </w:rPr>
            </w:pP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中大功率断路器动作特性试验仪动作特性操作机构如下图4。</w:t>
            </w:r>
          </w:p>
          <w:p>
            <w:pPr>
              <w:spacing w:line="360" w:lineRule="auto"/>
              <w:contextualSpacing/>
              <w:jc w:val="center"/>
              <w:rPr>
                <w:rFonts w:hint="eastAsia" w:ascii="宋体" w:hAnsi="宋体" w:cs="宋体"/>
                <w:sz w:val="24"/>
              </w:rPr>
            </w:pPr>
            <w:r>
              <w:rPr>
                <w:rFonts w:hint="eastAsia" w:ascii="宋体" w:hAnsi="宋体" w:cs="宋体"/>
                <w:sz w:val="24"/>
              </w:rPr>
              <w:drawing>
                <wp:inline distT="0" distB="0" distL="114300" distR="114300">
                  <wp:extent cx="4068445" cy="2480310"/>
                  <wp:effectExtent l="0" t="0" r="8255" b="1524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7"/>
                          <a:stretch>
                            <a:fillRect/>
                          </a:stretch>
                        </pic:blipFill>
                        <pic:spPr>
                          <a:xfrm>
                            <a:off x="0" y="0"/>
                            <a:ext cx="4068445" cy="2480310"/>
                          </a:xfrm>
                          <a:prstGeom prst="rect">
                            <a:avLst/>
                          </a:prstGeom>
                          <a:noFill/>
                          <a:ln>
                            <a:noFill/>
                          </a:ln>
                        </pic:spPr>
                      </pic:pic>
                    </a:graphicData>
                  </a:graphic>
                </wp:inline>
              </w:drawing>
            </w:r>
          </w:p>
          <w:p>
            <w:pPr>
              <w:spacing w:line="360" w:lineRule="auto"/>
              <w:ind w:firstLine="480" w:firstLineChars="200"/>
              <w:contextualSpacing/>
              <w:jc w:val="center"/>
              <w:rPr>
                <w:rFonts w:hint="eastAsia" w:ascii="宋体" w:hAnsi="宋体" w:cs="宋体"/>
                <w:sz w:val="24"/>
              </w:rPr>
            </w:pPr>
            <w:r>
              <w:rPr>
                <w:rFonts w:hint="eastAsia" w:ascii="宋体" w:hAnsi="宋体" w:cs="宋体"/>
                <w:kern w:val="0"/>
                <w:sz w:val="24"/>
              </w:rPr>
              <w:t>图4 中大功率断路器动作特性试验仪结构</w:t>
            </w:r>
          </w:p>
          <w:p>
            <w:pPr>
              <w:numPr>
                <w:ilvl w:val="0"/>
                <w:numId w:val="6"/>
              </w:numPr>
              <w:spacing w:line="360" w:lineRule="auto"/>
              <w:contextualSpacing/>
              <w:rPr>
                <w:rFonts w:hint="eastAsia" w:ascii="宋体" w:hAnsi="宋体" w:cs="宋体"/>
                <w:sz w:val="24"/>
              </w:rPr>
            </w:pPr>
            <w:r>
              <w:rPr>
                <w:rFonts w:hint="eastAsia" w:ascii="宋体" w:hAnsi="宋体" w:cs="宋体"/>
                <w:kern w:val="0"/>
                <w:sz w:val="24"/>
              </w:rPr>
              <w:t>中大功率断路器动作特性试验仪满足《密封电磁断路器总规范(GJB1932)》中脱扣特性测试要求、《军用小型非密封式断路器通用规范(GJB1779)》的条款3.8.3脱扣校准要求及4.7.4脱扣校准方法中规定断路器在环境温度为50℃时的脱扣特性应该满足表2要求、《航空断路器通用规范(GJB5885)》的条款3.8.4要求、《舰船用塑料外壳式断路器通用规范(GJB5329)》条款3.7.1.5脱扣特性测试要求；</w:t>
            </w:r>
          </w:p>
          <w:p>
            <w:pPr>
              <w:numPr>
                <w:ilvl w:val="0"/>
                <w:numId w:val="6"/>
              </w:numPr>
              <w:spacing w:line="360" w:lineRule="auto"/>
              <w:contextualSpacing/>
              <w:rPr>
                <w:rFonts w:hint="eastAsia" w:ascii="宋体" w:hAnsi="宋体" w:cs="宋体"/>
                <w:sz w:val="24"/>
              </w:rPr>
            </w:pPr>
            <w:r>
              <w:rPr>
                <w:rFonts w:hint="eastAsia" w:ascii="宋体" w:hAnsi="宋体" w:cs="宋体"/>
                <w:kern w:val="0"/>
                <w:sz w:val="24"/>
              </w:rPr>
              <w:t>配置NI PCI采集系统，采集卡采样率不低于250kS/s/ch，测控软件可以自动采集电压、电流波形，自动采集计算脱扣时间等功能；</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设备接入用户的信息化系统中，具体要求见附录1：系统数据采集信息化要求；</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具备电器接地和安全保护装置；</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具备人身安全保障措施：寿命台在通电运行时必须充分保证操作者的人身安全、试验设备安全、试验样品安全、以及在试验中止或中断时的各项试验数据的安全和可靠；</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可靠性要求：监测台在规定的使用环境中的各种电磁干扰下，应能正常工作，具有较强的抗干扰能力和可靠性；</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散热性要求：设备具有热保护装置，设备的散热功能必须良好，并作为验收的一部分。如果用风冷，则必须保证噪声符合国家标准的要求，电扇的电磁干扰对监测电路不会造成损坏或影响。</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设备接入用户的信息化系统中，具体要求见附录1：系统数据采集信息化要求；</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具备电器接地和安全保护装置；</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具备人身安全保障措施：寿命台在通电运行时必须充分保证操作者的人身安全、试验设备安全、试验样品安全、以及在试验中止或中断时的各项试验数据的安全和可靠；</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可靠性要求：监测台在规定的使用环境中的各种电磁干扰下，应能正常工作，具有较强的抗干扰能力和可靠性；</w:t>
            </w:r>
          </w:p>
          <w:p>
            <w:pPr>
              <w:numPr>
                <w:ilvl w:val="0"/>
                <w:numId w:val="6"/>
              </w:numPr>
              <w:spacing w:line="360" w:lineRule="auto"/>
              <w:contextualSpacing/>
              <w:rPr>
                <w:rFonts w:hint="eastAsia" w:ascii="宋体" w:hAnsi="宋体" w:cs="宋体"/>
                <w:kern w:val="0"/>
                <w:sz w:val="24"/>
              </w:rPr>
            </w:pPr>
            <w:r>
              <w:rPr>
                <w:rFonts w:hint="eastAsia" w:ascii="宋体" w:hAnsi="宋体" w:cs="宋体"/>
                <w:kern w:val="0"/>
                <w:sz w:val="24"/>
              </w:rPr>
              <w:t>散热性要求：设备具有热保护装置，设备的散热功能必须良好，并作为验收的一部分。如果用风冷，则必须保证噪声符合国家标准的要求，电扇的电磁干扰对监测电路不会造成损坏或影响。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3" w:type="dxa"/>
            <w:noWrap w:val="0"/>
            <w:vAlign w:val="center"/>
          </w:tcPr>
          <w:p>
            <w:pPr>
              <w:spacing w:line="360" w:lineRule="auto"/>
              <w:jc w:val="center"/>
              <w:rPr>
                <w:rFonts w:hint="eastAsia" w:ascii="宋体" w:hAnsi="宋体" w:cs="宋体"/>
                <w:sz w:val="24"/>
              </w:rPr>
            </w:pPr>
            <w:r>
              <w:rPr>
                <w:rFonts w:hint="eastAsia" w:ascii="宋体" w:hAnsi="宋体" w:cs="宋体"/>
                <w:sz w:val="24"/>
              </w:rPr>
              <w:t>4</w:t>
            </w:r>
          </w:p>
        </w:tc>
        <w:tc>
          <w:tcPr>
            <w:tcW w:w="720" w:type="dxa"/>
            <w:noWrap w:val="0"/>
            <w:vAlign w:val="center"/>
          </w:tcPr>
          <w:p>
            <w:pPr>
              <w:spacing w:line="360" w:lineRule="auto"/>
              <w:jc w:val="center"/>
              <w:rPr>
                <w:rFonts w:hint="eastAsia" w:ascii="宋体" w:hAnsi="宋体" w:cs="宋体"/>
                <w:sz w:val="24"/>
              </w:rPr>
            </w:pPr>
            <w:r>
              <w:rPr>
                <w:rFonts w:hint="eastAsia" w:ascii="宋体" w:hAnsi="宋体" w:cs="宋体"/>
                <w:sz w:val="24"/>
              </w:rPr>
              <w:t>转换开关综合试验系统</w:t>
            </w:r>
          </w:p>
        </w:tc>
        <w:tc>
          <w:tcPr>
            <w:tcW w:w="701" w:type="dxa"/>
            <w:noWrap w:val="0"/>
            <w:vAlign w:val="center"/>
          </w:tcPr>
          <w:p>
            <w:pPr>
              <w:spacing w:line="360" w:lineRule="auto"/>
              <w:jc w:val="center"/>
              <w:rPr>
                <w:rFonts w:hint="eastAsia" w:ascii="宋体" w:hAnsi="宋体" w:cs="宋体"/>
                <w:sz w:val="24"/>
              </w:rPr>
            </w:pPr>
            <w:r>
              <w:rPr>
                <w:rFonts w:hint="eastAsia" w:ascii="宋体" w:hAnsi="宋体" w:cs="宋体"/>
                <w:sz w:val="24"/>
              </w:rPr>
              <w:t>1台</w:t>
            </w:r>
          </w:p>
        </w:tc>
        <w:tc>
          <w:tcPr>
            <w:tcW w:w="7609" w:type="dxa"/>
            <w:noWrap w:val="0"/>
            <w:vAlign w:val="top"/>
          </w:tcPr>
          <w:p>
            <w:pPr>
              <w:numPr>
                <w:ilvl w:val="0"/>
                <w:numId w:val="7"/>
              </w:numPr>
              <w:spacing w:line="360" w:lineRule="auto"/>
              <w:rPr>
                <w:rFonts w:hint="eastAsia" w:ascii="宋体" w:hAnsi="宋体" w:cs="宋体"/>
                <w:sz w:val="24"/>
              </w:rPr>
            </w:pPr>
            <w:r>
              <w:rPr>
                <w:rFonts w:hint="eastAsia" w:ascii="宋体" w:hAnsi="宋体" w:cs="宋体"/>
                <w:sz w:val="24"/>
              </w:rPr>
              <w:t>主要用途</w:t>
            </w:r>
          </w:p>
          <w:p>
            <w:pPr>
              <w:spacing w:line="360" w:lineRule="auto"/>
              <w:ind w:firstLine="480" w:firstLineChars="200"/>
              <w:contextualSpacing/>
              <w:rPr>
                <w:rFonts w:hint="eastAsia" w:ascii="宋体" w:hAnsi="宋体" w:cs="宋体"/>
                <w:kern w:val="0"/>
                <w:sz w:val="24"/>
              </w:rPr>
            </w:pPr>
            <w:r>
              <w:rPr>
                <w:rFonts w:hint="eastAsia" w:ascii="宋体" w:hAnsi="宋体" w:cs="宋体"/>
                <w:kern w:val="0"/>
                <w:sz w:val="24"/>
              </w:rPr>
              <w:t>对转换开关的动作特性、接通和分断能力、机械寿命和电寿命进行测试，以确定产品完成规定工作周期的能力及退化情况。转换开关综合试验系统通过将被测转换开关接入规定要求的试验回路中，测试其动作特性、接通和分断能力、机械寿命和电寿命。</w:t>
            </w:r>
          </w:p>
          <w:p>
            <w:pPr>
              <w:numPr>
                <w:ilvl w:val="0"/>
                <w:numId w:val="7"/>
              </w:numPr>
              <w:spacing w:line="360" w:lineRule="auto"/>
              <w:rPr>
                <w:rFonts w:hint="eastAsia" w:ascii="宋体" w:hAnsi="宋体" w:cs="宋体"/>
                <w:sz w:val="24"/>
              </w:rPr>
            </w:pPr>
            <w:r>
              <w:rPr>
                <w:rFonts w:hint="eastAsia" w:ascii="宋体" w:hAnsi="宋体" w:cs="宋体"/>
                <w:sz w:val="24"/>
              </w:rPr>
              <w:t>技术要求</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★测试对像：转换开关，最多6P。</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★测试电源输出能力：交流电压0-660V，频率50Hz/400Hz，电流范围0～25A；直流电压0～-220V，电流0～25A。</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★测试电源输出精度：直流电压±5%，交流电压±7%，电流±5%，频率±5%。</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★电寿命实验参数：连续40000次，循环频率0～10次/min。</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★波形采样速度：500kHz/s。</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★负载：直流：DC-13型电磁铁；交流：AC-15型电磁铁。</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★驱动要求：转动速度0～1°/s，精度0.1°。</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★机械寿命实验参数：300万次，循环频率0～10次/min。</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转换开关综合试验系统主要由交流电源、直流电源、可调负载、交流电磁铁负载组、直流电磁铁负载组、驱动机构、固定夹具、动作机构控制模块、参数采集模块及测控系统等组成。</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转换开关综合试验系统是由交、直流电源负责为被测开关提供电寿命试验电压；交、直流电磁铁负载组提供为测试标准需要电流；固定夹具把被测开关固定于一可靠静止地平面上；动作机构控制模块依照计算机的指示向驱动机构发出控制指令；参数采集模块负责采集开关触点的实时电参数，并发送给计算机进行数据记录和处理；计算机控制整套测试系统，其功能包括：电压波形记录、电流波形记录、动作特性分析、电弧特性分析、动作机构控制、故障检测保护、和电源输出控制和一致性评价，结构如下图5所示：</w:t>
            </w:r>
          </w:p>
          <w:p>
            <w:pPr>
              <w:spacing w:line="360" w:lineRule="auto"/>
              <w:contextualSpacing/>
              <w:jc w:val="center"/>
              <w:rPr>
                <w:rFonts w:hint="eastAsia" w:ascii="宋体" w:hAnsi="宋体" w:cs="宋体"/>
                <w:sz w:val="24"/>
              </w:rPr>
            </w:pPr>
            <w:r>
              <w:rPr>
                <w:rFonts w:hint="eastAsia" w:ascii="宋体" w:hAnsi="宋体" w:cs="宋体"/>
                <w:sz w:val="24"/>
              </w:rPr>
              <w:drawing>
                <wp:inline distT="0" distB="0" distL="114300" distR="114300">
                  <wp:extent cx="3974465" cy="1957070"/>
                  <wp:effectExtent l="0" t="0" r="6985" b="508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8"/>
                          <a:stretch>
                            <a:fillRect/>
                          </a:stretch>
                        </pic:blipFill>
                        <pic:spPr>
                          <a:xfrm>
                            <a:off x="0" y="0"/>
                            <a:ext cx="3974465" cy="1957070"/>
                          </a:xfrm>
                          <a:prstGeom prst="rect">
                            <a:avLst/>
                          </a:prstGeom>
                          <a:noFill/>
                          <a:ln>
                            <a:noFill/>
                          </a:ln>
                        </pic:spPr>
                      </pic:pic>
                    </a:graphicData>
                  </a:graphic>
                </wp:inline>
              </w:drawing>
            </w:r>
          </w:p>
          <w:p>
            <w:pPr>
              <w:spacing w:line="360" w:lineRule="auto"/>
              <w:ind w:firstLine="480" w:firstLineChars="200"/>
              <w:contextualSpacing/>
              <w:jc w:val="center"/>
              <w:rPr>
                <w:rFonts w:hint="eastAsia" w:ascii="宋体" w:hAnsi="宋体" w:cs="宋体"/>
                <w:sz w:val="24"/>
              </w:rPr>
            </w:pPr>
            <w:r>
              <w:rPr>
                <w:rFonts w:hint="eastAsia" w:ascii="宋体" w:hAnsi="宋体" w:cs="宋体"/>
                <w:sz w:val="24"/>
              </w:rPr>
              <w:t>图5 转换开关综合试验系统</w:t>
            </w:r>
          </w:p>
          <w:p>
            <w:pPr>
              <w:numPr>
                <w:ilvl w:val="0"/>
                <w:numId w:val="8"/>
              </w:numPr>
              <w:spacing w:line="360" w:lineRule="auto"/>
              <w:contextualSpacing/>
              <w:rPr>
                <w:rFonts w:hint="eastAsia" w:ascii="宋体" w:hAnsi="宋体" w:cs="宋体"/>
                <w:kern w:val="0"/>
                <w:sz w:val="24"/>
              </w:rPr>
            </w:pPr>
            <w:r>
              <w:rPr>
                <w:rFonts w:hint="eastAsia" w:ascii="宋体" w:hAnsi="宋体" w:cs="宋体"/>
                <w:sz w:val="24"/>
              </w:rPr>
              <w:t>转换开关综合试验系统</w:t>
            </w:r>
            <w:r>
              <w:rPr>
                <w:rFonts w:hint="eastAsia" w:ascii="宋体" w:hAnsi="宋体" w:cs="宋体"/>
                <w:kern w:val="0"/>
                <w:sz w:val="24"/>
              </w:rPr>
              <w:t>符合《舰用万能转换开关通用规范（GJB5247）》条款3.6.1测试要求；《功率型旋转开关总规范（GJB1658）》条款4.6.13.1 测试要求；《舰船用转换开关通用规范（GJB5247）》条款3.6.2 及条款3.6.6.2 的测试要求；《功率型旋转开关总规范（GJB1658）》条款4.6.13.2测试要求；《舰用万能转换开关通用规范（GJB5247-2003）》中的条款3.6.6.1电寿命中要求，转换开关需操动六台电磁铁进行电寿命试验。</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配置NI PCI采集系统，采集卡采样率不低于250kS/s/ch，测控软件可以自动采集电压、电流波形，自动采集计算脱扣时间等功能；</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设备接入用户的信息化系统中，具体要求见附录1：系统数据采集信息化要求；</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具备电器接地和安全保护装置；</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具备人身安全保障措施：寿命台在通电运行时必须充分保证操作者的人身安全、试验设备安全、试验样品安全、以及在试验中止或中断时的各项试验数据的安全和可靠；</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可靠性要求：监测台在规定的使用环境中的各种电磁干扰下，应能正常工作，具有较强的抗干扰能力和可靠性；</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散热性要求：设备具有热保护装置，设备的散热功能必须良好，并作为验收的一部分。如果用风冷，则必须保证噪声符合国家标准的要求，电扇的电磁干扰对监测电路不会造成损坏或影响。</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设备接入用户的信息化系统中，具体要求见附录1：系统数据采集信息化要求；</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具备电器接地和安全保护装置；</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具备人身安全保障措施：寿命台在通电运行时必须充分保证操作者的人身安全、试验设备安全、试验样品安全、以及在试验中止或中断时的各项试验数据的安全和可靠；</w:t>
            </w:r>
          </w:p>
          <w:p>
            <w:pPr>
              <w:numPr>
                <w:ilvl w:val="0"/>
                <w:numId w:val="8"/>
              </w:numPr>
              <w:spacing w:line="360" w:lineRule="auto"/>
              <w:contextualSpacing/>
              <w:rPr>
                <w:rFonts w:hint="eastAsia" w:ascii="宋体" w:hAnsi="宋体" w:cs="宋体"/>
                <w:kern w:val="0"/>
                <w:sz w:val="24"/>
              </w:rPr>
            </w:pPr>
            <w:r>
              <w:rPr>
                <w:rFonts w:hint="eastAsia" w:ascii="宋体" w:hAnsi="宋体" w:cs="宋体"/>
                <w:kern w:val="0"/>
                <w:sz w:val="24"/>
              </w:rPr>
              <w:t>可靠性要求：监测台在规定的使用环境中的各种电磁干扰下，应能正常工作，具有较强的抗干扰能力和可靠性；</w:t>
            </w:r>
          </w:p>
          <w:p>
            <w:pPr>
              <w:numPr>
                <w:ilvl w:val="0"/>
                <w:numId w:val="8"/>
              </w:numPr>
              <w:spacing w:line="360" w:lineRule="auto"/>
              <w:contextualSpacing/>
              <w:rPr>
                <w:rFonts w:hint="eastAsia" w:ascii="宋体" w:hAnsi="宋体" w:cs="宋体"/>
                <w:sz w:val="24"/>
              </w:rPr>
            </w:pPr>
            <w:r>
              <w:rPr>
                <w:rFonts w:hint="eastAsia" w:ascii="宋体" w:hAnsi="宋体" w:cs="宋体"/>
                <w:kern w:val="0"/>
                <w:sz w:val="24"/>
              </w:rPr>
              <w:t>散热性要求：设备具有热保护装置，设备的散热功能必须良好，并作为验收的一部分。如果用风冷，则必须保证噪声符合国家标准的要求，电扇的电磁干扰对监测电路不会造成损坏或影响。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433" w:type="dxa"/>
            <w:noWrap w:val="0"/>
            <w:vAlign w:val="center"/>
          </w:tcPr>
          <w:p>
            <w:pPr>
              <w:spacing w:line="360" w:lineRule="auto"/>
              <w:jc w:val="center"/>
              <w:rPr>
                <w:rFonts w:hint="eastAsia" w:ascii="宋体" w:hAnsi="宋体" w:cs="宋体"/>
                <w:sz w:val="24"/>
              </w:rPr>
            </w:pPr>
            <w:r>
              <w:rPr>
                <w:rFonts w:hint="eastAsia" w:ascii="宋体" w:hAnsi="宋体" w:cs="宋体"/>
                <w:sz w:val="24"/>
              </w:rPr>
              <w:t>5</w:t>
            </w:r>
          </w:p>
        </w:tc>
        <w:tc>
          <w:tcPr>
            <w:tcW w:w="720" w:type="dxa"/>
            <w:noWrap w:val="0"/>
            <w:vAlign w:val="center"/>
          </w:tcPr>
          <w:p>
            <w:pPr>
              <w:spacing w:line="360" w:lineRule="auto"/>
              <w:jc w:val="center"/>
              <w:rPr>
                <w:rFonts w:hint="eastAsia" w:ascii="宋体" w:hAnsi="宋体" w:cs="宋体"/>
                <w:sz w:val="24"/>
              </w:rPr>
            </w:pPr>
            <w:r>
              <w:rPr>
                <w:rFonts w:hint="eastAsia" w:ascii="宋体" w:hAnsi="宋体" w:cs="宋体"/>
                <w:sz w:val="24"/>
              </w:rPr>
              <w:t>基于敏感参数退化的大功率交流继电器可靠性寿命试验及一致性评价分析系统</w:t>
            </w:r>
          </w:p>
        </w:tc>
        <w:tc>
          <w:tcPr>
            <w:tcW w:w="701" w:type="dxa"/>
            <w:noWrap w:val="0"/>
            <w:vAlign w:val="center"/>
          </w:tcPr>
          <w:p>
            <w:pPr>
              <w:spacing w:line="360" w:lineRule="auto"/>
              <w:jc w:val="center"/>
              <w:rPr>
                <w:rFonts w:hint="eastAsia" w:ascii="宋体" w:hAnsi="宋体" w:cs="宋体"/>
                <w:sz w:val="24"/>
              </w:rPr>
            </w:pPr>
            <w:r>
              <w:rPr>
                <w:rFonts w:hint="eastAsia" w:ascii="宋体" w:hAnsi="宋体" w:cs="宋体"/>
                <w:sz w:val="24"/>
              </w:rPr>
              <w:t>1台</w:t>
            </w:r>
          </w:p>
        </w:tc>
        <w:tc>
          <w:tcPr>
            <w:tcW w:w="7609" w:type="dxa"/>
            <w:noWrap w:val="0"/>
            <w:vAlign w:val="top"/>
          </w:tcPr>
          <w:p>
            <w:pPr>
              <w:numPr>
                <w:ilvl w:val="0"/>
                <w:numId w:val="9"/>
              </w:numPr>
              <w:spacing w:line="360" w:lineRule="auto"/>
              <w:rPr>
                <w:rFonts w:hint="eastAsia" w:ascii="宋体" w:hAnsi="宋体" w:cs="宋体"/>
                <w:sz w:val="24"/>
              </w:rPr>
            </w:pPr>
            <w:r>
              <w:rPr>
                <w:rFonts w:hint="eastAsia" w:ascii="宋体" w:hAnsi="宋体" w:cs="宋体"/>
                <w:sz w:val="24"/>
              </w:rPr>
              <w:t>主要用途</w:t>
            </w:r>
          </w:p>
          <w:p>
            <w:pPr>
              <w:spacing w:line="360" w:lineRule="auto"/>
              <w:ind w:firstLine="480" w:firstLineChars="200"/>
              <w:jc w:val="left"/>
              <w:rPr>
                <w:rFonts w:hint="eastAsia" w:ascii="宋体" w:hAnsi="宋体" w:cs="宋体"/>
                <w:sz w:val="24"/>
              </w:rPr>
            </w:pPr>
            <w:r>
              <w:rPr>
                <w:rFonts w:hint="eastAsia" w:ascii="宋体" w:hAnsi="宋体" w:cs="宋体"/>
                <w:sz w:val="24"/>
              </w:rPr>
              <w:t>针对大功率交流继电器，完成其可靠性寿命试验，能够实现实时动态波形监测及储存、敏感参数计算、可靠性评估和一致性评价。</w:t>
            </w:r>
          </w:p>
          <w:p>
            <w:pPr>
              <w:numPr>
                <w:ilvl w:val="0"/>
                <w:numId w:val="9"/>
              </w:numPr>
              <w:spacing w:line="360" w:lineRule="auto"/>
              <w:rPr>
                <w:rFonts w:hint="eastAsia" w:ascii="宋体" w:hAnsi="宋体" w:cs="宋体"/>
                <w:sz w:val="24"/>
              </w:rPr>
            </w:pPr>
            <w:r>
              <w:rPr>
                <w:rFonts w:hint="eastAsia" w:ascii="宋体" w:hAnsi="宋体" w:cs="宋体"/>
                <w:sz w:val="24"/>
              </w:rPr>
              <w:t>技术要求</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★可监测3组常开主触点的开路电压、触点压降、线圈电流、触点电流波形，以及4组转换辅助触点状态，实时波形记录采样率500k/s，垂直分辨率12位；</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★触点“接通”与“断开”后，监测触点的接触压降和断开电压，故障灵敏度可设定；</w:t>
            </w:r>
          </w:p>
          <w:p>
            <w:pPr>
              <w:numPr>
                <w:ilvl w:val="0"/>
                <w:numId w:val="10"/>
              </w:numPr>
              <w:spacing w:line="360" w:lineRule="auto"/>
              <w:contextualSpacing/>
              <w:rPr>
                <w:rFonts w:hint="eastAsia" w:ascii="宋体" w:hAnsi="宋体" w:cs="宋体"/>
                <w:sz w:val="24"/>
              </w:rPr>
            </w:pPr>
            <w:r>
              <w:rPr>
                <w:rFonts w:hint="eastAsia" w:ascii="宋体" w:hAnsi="宋体" w:cs="宋体"/>
                <w:kern w:val="0"/>
                <w:sz w:val="24"/>
              </w:rPr>
              <w:t>★负载条件：内置电源380V/20A/50Hz、240V/20A/400Hz，外接电源50Hz 1000V250A，400Hz240V250A；负载电流：额定负载电压下，AC0～250A；负载柜：阻性负载时间常数小于0.1ms；感性负载滞后功率因数为0.7±0.05；</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50Hz大功率交流电源三相四线制:输出相电压50Hz/540KVA/AC0-600V，线电压 0-1030V连续可调,最大300A；</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400Hz大功率交流电源三相四线制:输出相电压400Hz/240KVA/AC0-150V，线电压0-260V连续可调,最大533A；</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阻抗负载：阻抗采用柜式结构，放置在户内；电感为空心电感，跨接分流电阻手动可调；阻抗电流调节细度4%，功率因数调节细度为0.04，制造误差4%；</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数据采集指标：实时波形记录采样率：500 kS/s；实时波形记录垂直分辨率：大于12位；</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时间参数分辨率：不大于2</w:t>
            </w:r>
            <w:r>
              <w:rPr>
                <w:rFonts w:hint="eastAsia" w:ascii="宋体" w:hAnsi="宋体" w:cs="宋体"/>
                <w:snapToGrid w:val="0"/>
                <w:kern w:val="0"/>
                <w:sz w:val="24"/>
              </w:rPr>
              <w:t>μs；</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负载柜：阻性负载时间常数小于0.1ms；感性负载滞后功率因数不大于0.7ms,范围0.05-1ms；</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线圈：线圈激励电压范围直流5～250V，交流5～250V；</w:t>
            </w:r>
          </w:p>
          <w:p>
            <w:pPr>
              <w:numPr>
                <w:ilvl w:val="0"/>
                <w:numId w:val="10"/>
              </w:numPr>
              <w:spacing w:line="360" w:lineRule="auto"/>
              <w:contextualSpacing/>
              <w:rPr>
                <w:rFonts w:hint="eastAsia" w:ascii="宋体" w:hAnsi="宋体" w:cs="宋体"/>
                <w:kern w:val="0"/>
                <w:sz w:val="24"/>
              </w:rPr>
            </w:pPr>
            <w:r>
              <w:rPr>
                <w:rFonts w:hint="eastAsia" w:ascii="宋体" w:hAnsi="宋体" w:cs="宋体"/>
                <w:sz w:val="24"/>
              </w:rPr>
              <w:t>系统组成：内置电源、外置电源、试验负载、触点检测模块、回路保护模块、测试端口、测控系统等；</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设备接入用户的信息化系统中，具体要求见附录1：系统数据采集信息化要求；</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具备电器接地和安全保护装置；</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具备人身安全保障措施：寿命台在通电运行时必须充分保证操作者的人身安全、试验设备安全、试验样品安全、以及在试验中止或中断时的各项试验数据的安全和可靠；</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可靠性要求：监测台在规定的使用环境中的各种电磁干扰下，应能正常工作，具有较强的抗干扰能力和可靠性；</w:t>
            </w:r>
          </w:p>
          <w:p>
            <w:pPr>
              <w:numPr>
                <w:ilvl w:val="0"/>
                <w:numId w:val="10"/>
              </w:numPr>
              <w:spacing w:line="360" w:lineRule="auto"/>
              <w:contextualSpacing/>
              <w:rPr>
                <w:rFonts w:hint="eastAsia" w:ascii="宋体" w:hAnsi="宋体" w:cs="宋体"/>
                <w:kern w:val="0"/>
                <w:sz w:val="24"/>
              </w:rPr>
            </w:pPr>
            <w:r>
              <w:rPr>
                <w:rFonts w:hint="eastAsia" w:ascii="宋体" w:hAnsi="宋体" w:cs="宋体"/>
                <w:kern w:val="0"/>
                <w:sz w:val="24"/>
              </w:rPr>
              <w:t>散热性要求：设备具有热保护装置，设备的散热功能必须良好，并作为验收的一部分。如果用风冷，则必须保证噪声符合国家标准的要求，电扇的电磁干扰对监测电路不会造成损坏或影响。</w:t>
            </w:r>
          </w:p>
        </w:tc>
      </w:tr>
    </w:tbl>
    <w:p>
      <w:pPr>
        <w:spacing w:line="360" w:lineRule="auto"/>
        <w:rPr>
          <w:rFonts w:hint="eastAsia"/>
          <w:b/>
          <w:bCs/>
        </w:rPr>
      </w:pPr>
      <w:r>
        <w:rPr>
          <w:rFonts w:hint="eastAsia" w:ascii="宋体" w:hAnsi="宋体" w:cs="宋体"/>
          <w:b/>
          <w:bCs/>
          <w:sz w:val="24"/>
        </w:rPr>
        <w:t>注：打“★”为关键指标，一项不满足即视为废标。</w:t>
      </w:r>
    </w:p>
    <w:p>
      <w:pPr>
        <w:jc w:val="left"/>
        <w:rPr>
          <w:rFonts w:ascii="方正书宋简体" w:hAnsi="宋体" w:eastAsia="方正书宋简体"/>
          <w:b/>
          <w:sz w:val="24"/>
        </w:rPr>
      </w:pPr>
    </w:p>
    <w:p>
      <w:pPr>
        <w:jc w:val="left"/>
        <w:rPr>
          <w:rFonts w:ascii="方正书宋简体" w:hAnsi="宋体" w:eastAsia="方正书宋简体"/>
          <w:b/>
          <w:sz w:val="24"/>
        </w:rPr>
      </w:pPr>
    </w:p>
    <w:p>
      <w:pPr>
        <w:jc w:val="left"/>
        <w:rPr>
          <w:rFonts w:ascii="方正书宋简体" w:hAnsi="宋体" w:eastAsia="方正书宋简体"/>
          <w:b/>
          <w:sz w:val="24"/>
        </w:rPr>
      </w:pPr>
      <w:bookmarkStart w:id="13" w:name="_GoBack"/>
      <w:bookmarkEnd w:id="13"/>
      <w:r>
        <w:rPr>
          <w:rFonts w:ascii="方正书宋简体" w:hAnsi="宋体" w:eastAsia="方正书宋简体"/>
          <w:b/>
          <w:sz w:val="24"/>
        </w:rPr>
        <w:t>附</w:t>
      </w:r>
      <w:r>
        <w:rPr>
          <w:rFonts w:hint="eastAsia" w:ascii="方正书宋简体" w:hAnsi="宋体" w:eastAsia="方正书宋简体"/>
          <w:b/>
          <w:sz w:val="24"/>
        </w:rPr>
        <w:t>录</w:t>
      </w:r>
      <w:r>
        <w:rPr>
          <w:rFonts w:ascii="方正书宋简体" w:hAnsi="宋体" w:eastAsia="方正书宋简体"/>
          <w:b/>
          <w:sz w:val="24"/>
        </w:rPr>
        <w:t>1:</w:t>
      </w:r>
    </w:p>
    <w:p>
      <w:pPr>
        <w:jc w:val="center"/>
        <w:rPr>
          <w:rFonts w:ascii="方正书宋简体" w:hAnsi="宋体" w:eastAsia="方正书宋简体"/>
          <w:b/>
          <w:sz w:val="24"/>
        </w:rPr>
      </w:pPr>
      <w:r>
        <w:rPr>
          <w:rFonts w:ascii="方正书宋简体" w:hAnsi="宋体" w:eastAsia="方正书宋简体"/>
          <w:b/>
          <w:sz w:val="24"/>
        </w:rPr>
        <w:t>系统数据采集信息化要求</w:t>
      </w:r>
    </w:p>
    <w:p>
      <w:pPr>
        <w:spacing w:line="360" w:lineRule="auto"/>
        <w:jc w:val="left"/>
        <w:rPr>
          <w:rFonts w:hint="eastAsia" w:ascii="宋体" w:hAnsi="宋体" w:cs="宋体"/>
          <w:bCs/>
          <w:sz w:val="24"/>
        </w:rPr>
      </w:pPr>
      <w:r>
        <w:rPr>
          <w:rFonts w:hint="eastAsia" w:ascii="宋体" w:hAnsi="宋体" w:cs="宋体"/>
          <w:bCs/>
          <w:sz w:val="24"/>
        </w:rPr>
        <w:t>一、 软件要求</w:t>
      </w:r>
    </w:p>
    <w:p>
      <w:pPr>
        <w:spacing w:line="360" w:lineRule="auto"/>
        <w:jc w:val="left"/>
        <w:rPr>
          <w:rFonts w:hint="eastAsia" w:ascii="宋体" w:hAnsi="宋体" w:cs="宋体"/>
          <w:bCs/>
          <w:sz w:val="24"/>
        </w:rPr>
      </w:pPr>
      <w:r>
        <w:rPr>
          <w:rFonts w:hint="eastAsia" w:ascii="宋体" w:hAnsi="宋体" w:cs="宋体"/>
          <w:bCs/>
          <w:sz w:val="24"/>
        </w:rPr>
        <w:t>1. 集成接口。系统通过webapi接口（JSON数据格式）与数据采集平台进行对接，实现设备的状态获取、监控和各种数据的传输，并需提供相应的协议和webapi接口源程序。</w:t>
      </w:r>
    </w:p>
    <w:p>
      <w:pPr>
        <w:spacing w:line="360" w:lineRule="auto"/>
        <w:jc w:val="left"/>
        <w:rPr>
          <w:rFonts w:hint="eastAsia" w:ascii="宋体" w:hAnsi="宋体" w:cs="宋体"/>
          <w:bCs/>
          <w:sz w:val="24"/>
        </w:rPr>
      </w:pPr>
      <w:r>
        <w:rPr>
          <w:rFonts w:hint="eastAsia" w:ascii="宋体" w:hAnsi="宋体" w:cs="宋体"/>
          <w:bCs/>
          <w:sz w:val="24"/>
        </w:rPr>
        <w:t>2. 权限管理。系统按管理员和操作员分级配置可操作模块，管理员具有系统所有功能；操作者具备维护批次信息、微调试验程序和查询功能，具体见第6条。</w:t>
      </w:r>
    </w:p>
    <w:p>
      <w:pPr>
        <w:spacing w:line="360" w:lineRule="auto"/>
        <w:jc w:val="left"/>
        <w:rPr>
          <w:rFonts w:hint="eastAsia" w:ascii="宋体" w:hAnsi="宋体" w:cs="宋体"/>
          <w:bCs/>
          <w:sz w:val="24"/>
        </w:rPr>
      </w:pPr>
      <w:r>
        <w:rPr>
          <w:rFonts w:hint="eastAsia" w:ascii="宋体" w:hAnsi="宋体" w:cs="宋体"/>
          <w:bCs/>
          <w:sz w:val="24"/>
        </w:rPr>
        <w:t>3. 设备状态获取和监控。系统在开机、停机、异常、异常恢复时能通过接口上报设备状态，并可接受采集平台查询并回报设备状态。设备状态：停机、开机、异常、恢复正常，状态定义优先按定义1。</w:t>
      </w:r>
    </w:p>
    <w:tbl>
      <w:tblPr>
        <w:tblStyle w:val="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2828"/>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1282"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设备状态</w:t>
            </w:r>
          </w:p>
        </w:tc>
        <w:tc>
          <w:tcPr>
            <w:tcW w:w="2828"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定义1</w:t>
            </w:r>
          </w:p>
        </w:tc>
        <w:tc>
          <w:tcPr>
            <w:tcW w:w="4410"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定义2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1282"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停机</w:t>
            </w:r>
          </w:p>
        </w:tc>
        <w:tc>
          <w:tcPr>
            <w:tcW w:w="2828"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设备总电源关闭</w:t>
            </w:r>
          </w:p>
        </w:tc>
        <w:tc>
          <w:tcPr>
            <w:tcW w:w="4410"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设备应用软件关闭（操作系统关闭）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282"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开机</w:t>
            </w:r>
          </w:p>
        </w:tc>
        <w:tc>
          <w:tcPr>
            <w:tcW w:w="2828"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设备总电源开启</w:t>
            </w:r>
          </w:p>
        </w:tc>
        <w:tc>
          <w:tcPr>
            <w:tcW w:w="4410"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设备应用软件开启（操作系统开启）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82"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异常</w:t>
            </w:r>
          </w:p>
        </w:tc>
        <w:tc>
          <w:tcPr>
            <w:tcW w:w="2828"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设备出现异常或报警</w:t>
            </w:r>
          </w:p>
        </w:tc>
        <w:tc>
          <w:tcPr>
            <w:tcW w:w="4410"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设备出现异常或报警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 w:hRule="atLeast"/>
          <w:jc w:val="center"/>
        </w:trPr>
        <w:tc>
          <w:tcPr>
            <w:tcW w:w="1282"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恢复正常</w:t>
            </w:r>
          </w:p>
        </w:tc>
        <w:tc>
          <w:tcPr>
            <w:tcW w:w="2828"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设备异常恢复后</w:t>
            </w:r>
          </w:p>
        </w:tc>
        <w:tc>
          <w:tcPr>
            <w:tcW w:w="4410" w:type="dxa"/>
            <w:noWrap w:val="0"/>
            <w:vAlign w:val="center"/>
          </w:tcPr>
          <w:p>
            <w:pPr>
              <w:spacing w:line="360" w:lineRule="auto"/>
              <w:jc w:val="left"/>
              <w:rPr>
                <w:rFonts w:hint="eastAsia" w:ascii="宋体" w:hAnsi="宋体" w:cs="宋体"/>
                <w:bCs/>
                <w:sz w:val="24"/>
              </w:rPr>
            </w:pPr>
            <w:r>
              <w:rPr>
                <w:rFonts w:hint="eastAsia" w:ascii="宋体" w:hAnsi="宋体" w:cs="宋体"/>
                <w:bCs/>
                <w:sz w:val="24"/>
              </w:rPr>
              <w:t>设备异常恢复后</w:t>
            </w:r>
          </w:p>
        </w:tc>
      </w:tr>
    </w:tbl>
    <w:p>
      <w:pPr>
        <w:spacing w:line="360" w:lineRule="auto"/>
        <w:jc w:val="left"/>
        <w:rPr>
          <w:rFonts w:hint="eastAsia" w:ascii="宋体" w:hAnsi="宋体" w:cs="宋体"/>
          <w:bCs/>
          <w:sz w:val="24"/>
        </w:rPr>
      </w:pPr>
      <w:r>
        <w:rPr>
          <w:rFonts w:hint="eastAsia" w:ascii="宋体" w:hAnsi="宋体" w:cs="宋体"/>
          <w:bCs/>
          <w:sz w:val="24"/>
        </w:rPr>
        <w:t xml:space="preserve">4. 设备编号管理。系统可编辑、存储并显示设备编号（18位数字）。数据采集平台可通过接口远程编辑设备编号，设备管理员也可在本地进行编辑，设备工作中编辑功能不可用。 </w:t>
      </w:r>
    </w:p>
    <w:p>
      <w:pPr>
        <w:spacing w:line="360" w:lineRule="auto"/>
        <w:jc w:val="left"/>
        <w:rPr>
          <w:rFonts w:hint="eastAsia" w:ascii="宋体" w:hAnsi="宋体" w:cs="宋体"/>
          <w:bCs/>
          <w:sz w:val="24"/>
        </w:rPr>
      </w:pPr>
      <w:r>
        <w:rPr>
          <w:rFonts w:hint="eastAsia" w:ascii="宋体" w:hAnsi="宋体" w:cs="宋体"/>
          <w:bCs/>
          <w:sz w:val="24"/>
        </w:rPr>
        <w:t>5. 试验程序管理。管理员可通过触摸屏新增、编辑、修改试验程序，确认后通过接口将程序上传到数据采集平台，同时本地保存一份。设备至少能存储1000种产品试验程序，编程过程应简单方便。程序命名格式：设备编号（第4条设置的编号）+LS（或SX）+试验项目名称拼音首字母+产品工号（不含#）+环境等级+质量等级+试验次数（重复试验的次数），例如：65131300023+LS+SMSY+146+Ⅱ+G+1（1表示只做了1次）。</w:t>
      </w:r>
    </w:p>
    <w:p>
      <w:pPr>
        <w:spacing w:line="360" w:lineRule="auto"/>
        <w:jc w:val="left"/>
        <w:rPr>
          <w:rFonts w:hint="eastAsia" w:ascii="宋体" w:hAnsi="宋体" w:cs="宋体"/>
          <w:bCs/>
          <w:sz w:val="24"/>
        </w:rPr>
      </w:pPr>
      <w:r>
        <w:rPr>
          <w:rFonts w:hint="eastAsia" w:ascii="宋体" w:hAnsi="宋体" w:cs="宋体"/>
          <w:bCs/>
          <w:sz w:val="24"/>
        </w:rPr>
        <w:t>6. 业务功能：操作员可通过扫描二维码（至少支持QR Code、PDF417码制）自动填入工单相关信息和操作者编号，也可手工输入。工单信息包括：工单号（流转卡号）、产品工号、批次、零组件名称、零组件图号、工序号、工序名称、数量、操作者等。</w:t>
      </w:r>
    </w:p>
    <w:p>
      <w:pPr>
        <w:spacing w:line="360" w:lineRule="auto"/>
        <w:ind w:firstLine="480" w:firstLineChars="200"/>
        <w:jc w:val="left"/>
        <w:rPr>
          <w:rFonts w:hint="eastAsia" w:ascii="宋体" w:hAnsi="宋体" w:cs="宋体"/>
          <w:bCs/>
          <w:sz w:val="24"/>
        </w:rPr>
      </w:pPr>
      <w:r>
        <w:rPr>
          <w:rFonts w:hint="eastAsia" w:ascii="宋体" w:hAnsi="宋体" w:cs="宋体"/>
          <w:bCs/>
          <w:sz w:val="24"/>
        </w:rPr>
        <w:t>工单信息录入完成后，系统通过接口从采集平台获取工单当前试验项目、试验数量和试验程序，断网情况下可手动输入试验项目、试验数量，本地调用试验程序（当且仅当断网时才可用）。必要时操作员可微调试验程序，修改试验数量。点击开始试验后，系统通过接口向采集平台发送正进行的任务开始时间和信息。</w:t>
      </w:r>
    </w:p>
    <w:p>
      <w:pPr>
        <w:spacing w:line="360" w:lineRule="auto"/>
        <w:ind w:firstLine="480" w:firstLineChars="200"/>
        <w:jc w:val="left"/>
        <w:rPr>
          <w:rFonts w:hint="eastAsia" w:ascii="宋体" w:hAnsi="宋体" w:cs="宋体"/>
          <w:bCs/>
          <w:sz w:val="24"/>
        </w:rPr>
      </w:pPr>
      <w:r>
        <w:rPr>
          <w:rFonts w:hint="eastAsia" w:ascii="宋体" w:hAnsi="宋体" w:cs="宋体"/>
          <w:bCs/>
          <w:sz w:val="24"/>
        </w:rPr>
        <w:t>试验过程中，系统需自动采集并记录试验程序中的设定值（试验次数、负载工位、接通时间、关断时间、断灵敏度触点压降值和粘灵敏度触点压降值）和实际值，数据保存在设备本地数据库中（MySQL或Sql Server），并同时按工单保存一份采集数据的电子表格。数据内容包括工单号、产品工号、批次、试验项目的序号、试验项目名称、试验数量、操作员工、设备编号、试验开始时间、结束时间、寿命次数、产品编号（可自动生成序号，同批次产品试验时第二次试验开始序号是第一次试验结束时序号的下一位，负载工位禁用时，序号自动跳过，从下一工位继续；序号可任意手动输入和修改；负载工位、接通时间、关断时间、触点压降值、失效模式等。</w:t>
      </w:r>
    </w:p>
    <w:p>
      <w:pPr>
        <w:spacing w:line="360" w:lineRule="auto"/>
        <w:ind w:firstLine="480" w:firstLineChars="200"/>
        <w:jc w:val="left"/>
        <w:rPr>
          <w:rFonts w:hint="eastAsia" w:ascii="宋体" w:hAnsi="宋体" w:cs="宋体"/>
          <w:bCs/>
          <w:sz w:val="24"/>
        </w:rPr>
      </w:pPr>
      <w:r>
        <w:rPr>
          <w:rFonts w:hint="eastAsia" w:ascii="宋体" w:hAnsi="宋体" w:cs="宋体"/>
          <w:bCs/>
          <w:sz w:val="24"/>
        </w:rPr>
        <w:t>试验完成后，操作员通过再次扫描流程卡上二维码或手动选择工单，点击结束键后，系统通过接口将该工单的采集数据（JSON格式）、电子表格等文件发送至数据采集平台，记录传输状态，传输失败或断网情况下可支持后续重新上传。文件命名规则：设备编号+流转卡号+工序项目号+文件类型代号+三位流水。文件代码：电子表格BG。</w:t>
      </w:r>
    </w:p>
    <w:p>
      <w:pPr>
        <w:spacing w:line="360" w:lineRule="auto"/>
        <w:jc w:val="left"/>
        <w:rPr>
          <w:rFonts w:hint="eastAsia" w:ascii="宋体" w:hAnsi="宋体" w:cs="宋体"/>
          <w:bCs/>
          <w:sz w:val="24"/>
        </w:rPr>
      </w:pPr>
      <w:r>
        <w:rPr>
          <w:rFonts w:hint="eastAsia" w:ascii="宋体" w:hAnsi="宋体" w:cs="宋体"/>
          <w:bCs/>
          <w:sz w:val="24"/>
        </w:rPr>
        <w:t>7.数据查询。系统支持本地查询各工单的采集数据，可按工号、批次、工单号（流转卡号）、日期等条件进行模糊查询。</w:t>
      </w:r>
    </w:p>
    <w:p>
      <w:pPr>
        <w:spacing w:line="360" w:lineRule="auto"/>
        <w:jc w:val="left"/>
        <w:rPr>
          <w:rFonts w:hint="eastAsia" w:ascii="宋体" w:hAnsi="宋体" w:cs="宋体"/>
          <w:bCs/>
          <w:sz w:val="24"/>
        </w:rPr>
      </w:pPr>
      <w:r>
        <w:rPr>
          <w:rFonts w:hint="eastAsia" w:ascii="宋体" w:hAnsi="宋体" w:cs="宋体"/>
          <w:bCs/>
          <w:sz w:val="24"/>
        </w:rPr>
        <w:t>8. 软件主界面应简洁、方便操作、常用功能全部集成到主界面，减少菜单页面切换次数。</w:t>
      </w:r>
    </w:p>
    <w:p>
      <w:pPr>
        <w:spacing w:line="360" w:lineRule="auto"/>
        <w:jc w:val="left"/>
        <w:rPr>
          <w:rFonts w:hint="eastAsia" w:ascii="宋体" w:hAnsi="宋体" w:cs="宋体"/>
          <w:bCs/>
          <w:sz w:val="24"/>
        </w:rPr>
      </w:pPr>
      <w:r>
        <w:rPr>
          <w:rFonts w:hint="eastAsia" w:ascii="宋体" w:hAnsi="宋体" w:cs="宋体"/>
          <w:bCs/>
          <w:sz w:val="24"/>
        </w:rPr>
        <w:t>9. 要求传输数据时不能干扰设备正常运行，不能引起误报或失控。</w:t>
      </w:r>
    </w:p>
    <w:p>
      <w:pPr>
        <w:spacing w:line="360" w:lineRule="auto"/>
        <w:jc w:val="left"/>
        <w:rPr>
          <w:rFonts w:hint="eastAsia" w:ascii="宋体" w:hAnsi="宋体" w:cs="宋体"/>
          <w:b/>
          <w:sz w:val="24"/>
          <w:highlight w:val="none"/>
        </w:rPr>
      </w:pPr>
      <w:r>
        <w:rPr>
          <w:rFonts w:hint="eastAsia" w:ascii="宋体" w:hAnsi="宋体" w:cs="宋体"/>
          <w:b/>
          <w:sz w:val="24"/>
        </w:rPr>
        <w:t>二、硬件要求</w:t>
      </w:r>
    </w:p>
    <w:p>
      <w:pPr>
        <w:spacing w:line="360" w:lineRule="auto"/>
        <w:jc w:val="left"/>
        <w:rPr>
          <w:rFonts w:hint="eastAsia" w:ascii="宋体" w:hAnsi="宋体" w:cs="宋体"/>
          <w:bCs/>
          <w:sz w:val="24"/>
          <w:highlight w:val="none"/>
        </w:rPr>
      </w:pPr>
      <w:r>
        <w:rPr>
          <w:rFonts w:hint="eastAsia" w:ascii="宋体" w:hAnsi="宋体" w:cs="宋体"/>
          <w:bCs/>
          <w:sz w:val="24"/>
          <w:highlight w:val="none"/>
        </w:rPr>
        <w:t>1.设备配备高性能计算机，所有数据均可储存于本地计算机。采集计算机配置PXI数据采集系统，4T数据存储，最新Windows系统。</w:t>
      </w:r>
    </w:p>
    <w:p>
      <w:pPr>
        <w:spacing w:line="360" w:lineRule="auto"/>
        <w:jc w:val="left"/>
        <w:rPr>
          <w:rFonts w:hint="eastAsia" w:ascii="宋体" w:hAnsi="宋体" w:cs="宋体"/>
          <w:bCs/>
          <w:sz w:val="24"/>
          <w:highlight w:val="none"/>
        </w:rPr>
      </w:pPr>
      <w:r>
        <w:rPr>
          <w:rFonts w:hint="eastAsia" w:ascii="宋体" w:hAnsi="宋体" w:cs="宋体"/>
          <w:bCs/>
          <w:sz w:val="24"/>
          <w:highlight w:val="none"/>
        </w:rPr>
        <w:t>2.设备应具备U盘接口，可通过U盘拷贝存储在本地的采集数据。</w:t>
      </w:r>
    </w:p>
    <w:p>
      <w:pPr>
        <w:spacing w:line="360" w:lineRule="auto"/>
        <w:jc w:val="left"/>
        <w:rPr>
          <w:rFonts w:hint="eastAsia" w:ascii="方正书宋简体" w:hAnsi="宋体" w:eastAsia="方正书宋简体"/>
          <w:b/>
          <w:szCs w:val="21"/>
          <w:highlight w:val="none"/>
        </w:rPr>
      </w:pPr>
      <w:r>
        <w:rPr>
          <w:rFonts w:hint="eastAsia" w:ascii="宋体" w:hAnsi="宋体" w:cs="宋体"/>
          <w:bCs/>
          <w:sz w:val="24"/>
          <w:highlight w:val="none"/>
        </w:rPr>
        <w:t>3.设备需配备扫描枪，扫描枪参数：解析能力1D\2D\PDF，二维影像扫描分辨率不低于640X480，运动容差在最佳焦距下，可扫描以10cm/s的速度运动的13mil UPC码。</w:t>
      </w:r>
    </w:p>
    <w:p>
      <w:pPr>
        <w:pStyle w:val="4"/>
        <w:spacing w:line="360" w:lineRule="auto"/>
        <w:rPr>
          <w:rFonts w:hint="eastAsia" w:ascii="宋体" w:hAnsi="宋体" w:eastAsia="宋体" w:cs="宋体"/>
          <w:b/>
          <w:bCs w:val="0"/>
          <w:highlight w:val="none"/>
        </w:rPr>
      </w:pPr>
      <w:r>
        <w:rPr>
          <w:rFonts w:hint="eastAsia" w:ascii="宋体" w:hAnsi="宋体" w:eastAsia="宋体" w:cs="宋体"/>
          <w:b/>
          <w:bCs w:val="0"/>
          <w:highlight w:val="none"/>
        </w:rPr>
        <w:t>（二）售后及其他服务要求</w:t>
      </w:r>
    </w:p>
    <w:p>
      <w:pPr>
        <w:spacing w:line="360" w:lineRule="auto"/>
        <w:jc w:val="left"/>
        <w:rPr>
          <w:rFonts w:hint="eastAsia" w:ascii="宋体" w:hAnsi="宋体" w:cs="宋体"/>
          <w:bCs/>
          <w:sz w:val="24"/>
          <w:highlight w:val="none"/>
        </w:rPr>
      </w:pPr>
      <w:r>
        <w:rPr>
          <w:rFonts w:hint="eastAsia" w:ascii="宋体" w:hAnsi="宋体" w:cs="宋体"/>
          <w:bCs/>
          <w:sz w:val="24"/>
          <w:highlight w:val="none"/>
        </w:rPr>
        <w:t>1.交货地点</w:t>
      </w:r>
    </w:p>
    <w:p>
      <w:pPr>
        <w:spacing w:line="360" w:lineRule="auto"/>
        <w:jc w:val="left"/>
        <w:rPr>
          <w:rFonts w:hint="eastAsia" w:ascii="宋体" w:hAnsi="宋体" w:cs="宋体"/>
          <w:bCs/>
          <w:sz w:val="24"/>
          <w:highlight w:val="none"/>
        </w:rPr>
      </w:pPr>
      <w:r>
        <w:rPr>
          <w:rFonts w:hint="eastAsia" w:ascii="宋体" w:hAnsi="宋体" w:cs="宋体"/>
          <w:bCs/>
          <w:sz w:val="24"/>
          <w:highlight w:val="none"/>
        </w:rPr>
        <w:t>哈尔滨工业大学科学园科创大厦。</w:t>
      </w:r>
    </w:p>
    <w:p>
      <w:pPr>
        <w:spacing w:line="360" w:lineRule="auto"/>
        <w:jc w:val="left"/>
        <w:rPr>
          <w:rFonts w:hint="eastAsia" w:ascii="宋体" w:hAnsi="宋体" w:cs="宋体"/>
          <w:bCs/>
          <w:sz w:val="24"/>
        </w:rPr>
      </w:pPr>
      <w:r>
        <w:rPr>
          <w:rFonts w:hint="eastAsia" w:ascii="宋体" w:hAnsi="宋体" w:cs="宋体"/>
          <w:bCs/>
          <w:sz w:val="24"/>
        </w:rPr>
        <w:t>2.售后服务要求</w:t>
      </w:r>
    </w:p>
    <w:p>
      <w:pPr>
        <w:spacing w:line="360" w:lineRule="auto"/>
        <w:jc w:val="left"/>
        <w:rPr>
          <w:rFonts w:hint="eastAsia" w:ascii="宋体" w:hAnsi="宋体" w:cs="宋体"/>
          <w:bCs/>
          <w:sz w:val="24"/>
        </w:rPr>
      </w:pPr>
      <w:r>
        <w:rPr>
          <w:rFonts w:hint="eastAsia" w:ascii="宋体" w:hAnsi="宋体" w:cs="宋体"/>
          <w:bCs/>
          <w:sz w:val="24"/>
        </w:rPr>
        <w:t>单套配置要求：标准配置，技术说明书、操作说明书一套，设备主机一套。</w:t>
      </w:r>
    </w:p>
    <w:p>
      <w:pPr>
        <w:spacing w:line="360" w:lineRule="auto"/>
        <w:jc w:val="left"/>
        <w:rPr>
          <w:rFonts w:hint="eastAsia" w:ascii="宋体" w:hAnsi="宋体" w:cs="宋体"/>
          <w:bCs/>
          <w:sz w:val="24"/>
        </w:rPr>
      </w:pPr>
      <w:r>
        <w:rPr>
          <w:rFonts w:hint="eastAsia" w:ascii="宋体" w:hAnsi="宋体" w:cs="宋体"/>
          <w:bCs/>
          <w:sz w:val="24"/>
        </w:rPr>
        <w:t>质量保证：设备验收合格后，整机质保期不少于3年。在质保期内，卖方售后服务应及时有效。卖方在收到用户故障信息后，必须在24小时内做出书面响应，3个工作日内排除故障。如维修需更换部件，则该部件的质保期为自故障修复之日起36个月。</w:t>
      </w:r>
    </w:p>
    <w:p>
      <w:pPr>
        <w:spacing w:line="360" w:lineRule="auto"/>
        <w:jc w:val="left"/>
        <w:rPr>
          <w:rFonts w:hint="eastAsia" w:ascii="宋体" w:hAnsi="宋体" w:cs="宋体"/>
          <w:bCs/>
          <w:sz w:val="24"/>
        </w:rPr>
      </w:pPr>
      <w:r>
        <w:rPr>
          <w:rFonts w:hint="eastAsia" w:ascii="宋体" w:hAnsi="宋体" w:cs="宋体"/>
          <w:bCs/>
          <w:sz w:val="24"/>
        </w:rPr>
        <w:t>3.验收要求</w:t>
      </w:r>
    </w:p>
    <w:p>
      <w:pPr>
        <w:spacing w:line="360" w:lineRule="auto"/>
        <w:jc w:val="left"/>
        <w:rPr>
          <w:rFonts w:hint="eastAsia" w:ascii="宋体" w:hAnsi="宋体" w:cs="宋体"/>
          <w:bCs/>
          <w:sz w:val="24"/>
        </w:rPr>
      </w:pPr>
      <w:r>
        <w:rPr>
          <w:rFonts w:hint="eastAsia" w:ascii="宋体" w:hAnsi="宋体" w:cs="宋体"/>
          <w:bCs/>
          <w:sz w:val="24"/>
        </w:rPr>
        <w:t>（1）验收方法：分两次进行，预验收及正式验收。</w:t>
      </w:r>
    </w:p>
    <w:p>
      <w:pPr>
        <w:spacing w:line="360" w:lineRule="auto"/>
        <w:jc w:val="left"/>
        <w:rPr>
          <w:rFonts w:hint="eastAsia" w:ascii="宋体" w:hAnsi="宋体" w:cs="宋体"/>
          <w:bCs/>
          <w:sz w:val="24"/>
        </w:rPr>
      </w:pPr>
      <w:r>
        <w:rPr>
          <w:rFonts w:hint="eastAsia" w:ascii="宋体" w:hAnsi="宋体" w:cs="宋体"/>
          <w:bCs/>
          <w:sz w:val="24"/>
        </w:rPr>
        <w:t>（2）预验收在乙方所在地进行。乙方完成设备制造并检验合格后通知甲方，甲方代表在乙方进行预验收，预验收按照设备技术指标进行，主要是查看设备是否制造完整，功能是否符合要求，设备的主要技术指标是否满足使用要求，所需技术资料是否齐全。预验收合格后，通知乙方发运。</w:t>
      </w:r>
    </w:p>
    <w:p>
      <w:pPr>
        <w:spacing w:line="360" w:lineRule="auto"/>
        <w:jc w:val="left"/>
        <w:rPr>
          <w:rFonts w:hint="eastAsia" w:ascii="宋体" w:hAnsi="宋体" w:cs="宋体"/>
          <w:bCs/>
          <w:sz w:val="24"/>
        </w:rPr>
      </w:pPr>
      <w:r>
        <w:rPr>
          <w:rFonts w:hint="eastAsia" w:ascii="宋体" w:hAnsi="宋体" w:cs="宋体"/>
          <w:bCs/>
          <w:sz w:val="24"/>
        </w:rPr>
        <w:t>（3）最终验收在甲方所在地进行。设备入厂后一周内（货到后的卸货搬运费用由卖方承担），厂家委派技术人员到现场进行安装、调试及现场培训工作，并按照国家有关标准中规定的要求及程序进行验收，且必须符合技术协议（完成招标后签署技术协议），如果需要第三方进行测试验收，则卖方承担相应费用。</w:t>
      </w:r>
    </w:p>
    <w:p>
      <w:pPr>
        <w:spacing w:line="360" w:lineRule="auto"/>
        <w:jc w:val="left"/>
        <w:rPr>
          <w:rFonts w:hint="eastAsia" w:ascii="宋体" w:hAnsi="宋体" w:cs="宋体"/>
          <w:bCs/>
          <w:sz w:val="24"/>
          <w:highlight w:val="none"/>
        </w:rPr>
      </w:pPr>
      <w:r>
        <w:rPr>
          <w:rFonts w:hint="eastAsia" w:ascii="宋体" w:hAnsi="宋体" w:cs="宋体"/>
          <w:bCs/>
          <w:sz w:val="24"/>
        </w:rPr>
        <w:t>（4）验收时，卖方提供出厂检验报告。由甲方设备部门按规定标准和程序进行验收，且必须符合技术协议指标要求。</w:t>
      </w:r>
    </w:p>
    <w:p>
      <w:pPr>
        <w:spacing w:line="360" w:lineRule="auto"/>
        <w:jc w:val="left"/>
        <w:rPr>
          <w:rFonts w:hint="eastAsia" w:ascii="宋体" w:hAnsi="宋体" w:cs="宋体"/>
          <w:bCs/>
          <w:sz w:val="24"/>
          <w:highlight w:val="none"/>
        </w:rPr>
      </w:pPr>
      <w:r>
        <w:rPr>
          <w:rFonts w:hint="eastAsia" w:ascii="宋体" w:hAnsi="宋体" w:cs="宋体"/>
          <w:bCs/>
          <w:sz w:val="24"/>
          <w:highlight w:val="none"/>
        </w:rPr>
        <w:t>（5）验收时，卖方必须负责买方的使用、维护、基本维修等方面培训。</w:t>
      </w:r>
    </w:p>
    <w:p>
      <w:pPr>
        <w:spacing w:line="360" w:lineRule="auto"/>
        <w:jc w:val="left"/>
        <w:rPr>
          <w:rFonts w:hint="eastAsia" w:ascii="宋体" w:hAnsi="宋体" w:cs="宋体"/>
          <w:bCs/>
          <w:sz w:val="24"/>
          <w:highlight w:val="none"/>
        </w:rPr>
      </w:pPr>
      <w:r>
        <w:rPr>
          <w:rFonts w:hint="eastAsia" w:ascii="宋体" w:hAnsi="宋体" w:cs="宋体"/>
          <w:bCs/>
          <w:sz w:val="24"/>
          <w:highlight w:val="none"/>
        </w:rPr>
        <w:t>（6）设备调试验收完成后，设备进入试运行期，运行期为一个月。设备供方及时解决运行期出现的各类技术问题。</w:t>
      </w:r>
    </w:p>
    <w:p>
      <w:pPr>
        <w:spacing w:line="360" w:lineRule="auto"/>
        <w:jc w:val="left"/>
        <w:rPr>
          <w:rFonts w:hint="eastAsia" w:ascii="宋体" w:hAnsi="宋体" w:cs="宋体"/>
          <w:bCs/>
          <w:sz w:val="24"/>
          <w:highlight w:val="none"/>
        </w:rPr>
      </w:pPr>
      <w:r>
        <w:rPr>
          <w:rFonts w:hint="eastAsia" w:ascii="宋体" w:hAnsi="宋体" w:cs="宋体"/>
          <w:bCs/>
          <w:sz w:val="24"/>
          <w:highlight w:val="none"/>
        </w:rPr>
        <w:t>4.本项目报价内容包括</w:t>
      </w:r>
    </w:p>
    <w:p>
      <w:pPr>
        <w:spacing w:line="360" w:lineRule="auto"/>
        <w:jc w:val="left"/>
        <w:rPr>
          <w:rFonts w:hint="eastAsia" w:ascii="宋体" w:hAnsi="宋体" w:cs="宋体"/>
          <w:bCs/>
          <w:sz w:val="24"/>
        </w:rPr>
      </w:pPr>
      <w:r>
        <w:rPr>
          <w:rFonts w:hint="eastAsia" w:ascii="宋体" w:hAnsi="宋体" w:cs="宋体"/>
          <w:bCs/>
          <w:sz w:val="24"/>
        </w:rPr>
        <w:t>（1）货物及标准附件、备品备件、专用工具的价格；</w:t>
      </w:r>
    </w:p>
    <w:p>
      <w:pPr>
        <w:spacing w:line="360" w:lineRule="auto"/>
        <w:jc w:val="left"/>
        <w:rPr>
          <w:rFonts w:hint="eastAsia" w:ascii="宋体" w:hAnsi="宋体" w:cs="宋体"/>
          <w:bCs/>
          <w:sz w:val="24"/>
        </w:rPr>
      </w:pPr>
      <w:r>
        <w:rPr>
          <w:rFonts w:hint="eastAsia" w:ascii="宋体" w:hAnsi="宋体" w:cs="宋体"/>
          <w:bCs/>
          <w:sz w:val="24"/>
        </w:rPr>
        <w:t>（2）运输、装卸、调试、培训、计量、验收、技术支持、售后服务等费用；</w:t>
      </w:r>
    </w:p>
    <w:p>
      <w:pPr>
        <w:spacing w:line="360" w:lineRule="auto"/>
        <w:jc w:val="left"/>
        <w:rPr>
          <w:rFonts w:hint="eastAsia" w:ascii="宋体" w:hAnsi="宋体" w:cs="宋体"/>
          <w:bCs/>
          <w:sz w:val="24"/>
        </w:rPr>
      </w:pPr>
      <w:r>
        <w:rPr>
          <w:rFonts w:hint="eastAsia" w:ascii="宋体" w:hAnsi="宋体" w:cs="宋体"/>
          <w:bCs/>
          <w:sz w:val="24"/>
        </w:rPr>
        <w:t>（3）必要的保险费用和各项税费；</w:t>
      </w:r>
    </w:p>
    <w:p>
      <w:pPr>
        <w:spacing w:line="360" w:lineRule="auto"/>
        <w:jc w:val="left"/>
        <w:rPr>
          <w:rFonts w:hint="eastAsia" w:ascii="宋体" w:hAnsi="宋体" w:cs="宋体"/>
          <w:bCs/>
          <w:sz w:val="24"/>
        </w:rPr>
      </w:pPr>
      <w:r>
        <w:rPr>
          <w:rFonts w:hint="eastAsia" w:ascii="宋体" w:hAnsi="宋体" w:cs="宋体"/>
          <w:bCs/>
          <w:sz w:val="24"/>
        </w:rPr>
        <w:t>（4）包括安装费用。</w:t>
      </w:r>
    </w:p>
    <w:p>
      <w:pPr>
        <w:spacing w:line="360" w:lineRule="auto"/>
        <w:jc w:val="left"/>
        <w:rPr>
          <w:rFonts w:hint="eastAsia" w:ascii="宋体" w:hAnsi="宋体" w:cs="宋体"/>
          <w:bCs/>
          <w:sz w:val="24"/>
        </w:rPr>
      </w:pPr>
      <w:r>
        <w:rPr>
          <w:rFonts w:hint="eastAsia" w:ascii="宋体" w:hAnsi="宋体" w:cs="宋体"/>
          <w:bCs/>
          <w:sz w:val="24"/>
        </w:rPr>
        <w:t>（5）第5项其他要求中的第（7）条注明的其他费用。</w:t>
      </w:r>
    </w:p>
    <w:p>
      <w:pPr>
        <w:spacing w:line="360" w:lineRule="auto"/>
        <w:jc w:val="left"/>
        <w:rPr>
          <w:rFonts w:hint="eastAsia" w:ascii="宋体" w:hAnsi="宋体" w:cs="宋体"/>
          <w:bCs/>
          <w:sz w:val="24"/>
        </w:rPr>
      </w:pPr>
      <w:r>
        <w:rPr>
          <w:rFonts w:hint="eastAsia" w:ascii="宋体" w:hAnsi="宋体" w:cs="宋体"/>
          <w:bCs/>
          <w:sz w:val="24"/>
        </w:rPr>
        <w:t>5.其他要求</w:t>
      </w:r>
    </w:p>
    <w:p>
      <w:pPr>
        <w:spacing w:line="360" w:lineRule="auto"/>
        <w:jc w:val="left"/>
        <w:rPr>
          <w:rFonts w:hint="eastAsia" w:ascii="宋体" w:hAnsi="宋体" w:cs="宋体"/>
          <w:bCs/>
          <w:sz w:val="24"/>
        </w:rPr>
      </w:pPr>
      <w:r>
        <w:rPr>
          <w:rFonts w:hint="eastAsia" w:ascii="宋体" w:hAnsi="宋体" w:cs="宋体"/>
          <w:bCs/>
          <w:sz w:val="24"/>
        </w:rPr>
        <w:t>（1）中标供应商提供的所有设备均不得安装全球导航卫星系统定位装置及无线发射模块。</w:t>
      </w:r>
    </w:p>
    <w:p>
      <w:pPr>
        <w:spacing w:line="360" w:lineRule="auto"/>
        <w:jc w:val="left"/>
        <w:rPr>
          <w:rFonts w:hint="eastAsia" w:ascii="宋体" w:hAnsi="宋体" w:cs="宋体"/>
          <w:bCs/>
          <w:sz w:val="24"/>
        </w:rPr>
      </w:pPr>
      <w:r>
        <w:rPr>
          <w:rFonts w:hint="eastAsia" w:ascii="宋体" w:hAnsi="宋体" w:cs="宋体"/>
          <w:bCs/>
          <w:sz w:val="24"/>
        </w:rPr>
        <w:t>（2）中标供应商不得对所提供设备软件进行加密，锁定及远程控制。</w:t>
      </w:r>
    </w:p>
    <w:p>
      <w:pPr>
        <w:spacing w:line="360" w:lineRule="auto"/>
        <w:jc w:val="left"/>
        <w:rPr>
          <w:rFonts w:hint="eastAsia" w:ascii="宋体" w:hAnsi="宋体" w:cs="宋体"/>
          <w:bCs/>
          <w:sz w:val="24"/>
        </w:rPr>
      </w:pPr>
      <w:r>
        <w:rPr>
          <w:rFonts w:hint="eastAsia" w:ascii="宋体" w:hAnsi="宋体" w:cs="宋体"/>
          <w:bCs/>
          <w:sz w:val="24"/>
        </w:rPr>
        <w:t>（3）所有设备所使用的配件不得擦除铭牌及型号规格。</w:t>
      </w:r>
    </w:p>
    <w:p>
      <w:pPr>
        <w:spacing w:line="360" w:lineRule="auto"/>
        <w:jc w:val="left"/>
        <w:rPr>
          <w:rFonts w:hint="eastAsia" w:ascii="宋体" w:hAnsi="宋体" w:cs="宋体"/>
          <w:bCs/>
          <w:sz w:val="24"/>
        </w:rPr>
      </w:pPr>
      <w:r>
        <w:rPr>
          <w:rFonts w:hint="eastAsia" w:ascii="宋体" w:hAnsi="宋体" w:cs="宋体"/>
          <w:bCs/>
          <w:sz w:val="24"/>
        </w:rPr>
        <w:t>（5）中标供应商须向招标人提供用于维修相应设备的相关图纸。</w:t>
      </w:r>
    </w:p>
    <w:p>
      <w:pPr>
        <w:spacing w:line="360" w:lineRule="auto"/>
        <w:jc w:val="left"/>
        <w:rPr>
          <w:rFonts w:hint="eastAsia" w:ascii="宋体" w:hAnsi="宋体" w:cs="宋体"/>
          <w:bCs/>
          <w:sz w:val="24"/>
        </w:rPr>
      </w:pPr>
      <w:r>
        <w:rPr>
          <w:rFonts w:hint="eastAsia" w:ascii="宋体" w:hAnsi="宋体" w:cs="宋体"/>
          <w:bCs/>
          <w:sz w:val="24"/>
        </w:rPr>
        <w:t>（5）如中标供应商所提供设备带驱动软件的须向招标人提供完整的驱动软件备份。</w:t>
      </w:r>
    </w:p>
    <w:p>
      <w:pPr>
        <w:spacing w:line="360" w:lineRule="auto"/>
        <w:jc w:val="left"/>
        <w:rPr>
          <w:rFonts w:hint="eastAsia" w:ascii="宋体" w:hAnsi="宋体" w:cs="宋体"/>
          <w:bCs/>
          <w:sz w:val="24"/>
        </w:rPr>
      </w:pPr>
      <w:r>
        <w:rPr>
          <w:rFonts w:hint="eastAsia" w:ascii="宋体" w:hAnsi="宋体" w:cs="宋体"/>
          <w:bCs/>
          <w:sz w:val="24"/>
        </w:rPr>
        <w:t>（6）本项目投标报价超出采购预算金额的将被视为无效投标。</w:t>
      </w:r>
    </w:p>
    <w:p>
      <w:pPr>
        <w:spacing w:line="360" w:lineRule="auto"/>
        <w:jc w:val="left"/>
        <w:rPr>
          <w:rFonts w:hint="eastAsia" w:ascii="宋体" w:hAnsi="宋体" w:cs="宋体"/>
          <w:bCs/>
          <w:sz w:val="24"/>
        </w:rPr>
      </w:pPr>
      <w:r>
        <w:rPr>
          <w:rFonts w:hint="eastAsia" w:ascii="宋体" w:hAnsi="宋体" w:cs="宋体"/>
          <w:bCs/>
          <w:sz w:val="24"/>
        </w:rPr>
        <w:t>（7）本项目投标报价中须包含设备及零配件、备品备件、材料、消耗品、工具的采购和运输（装卸），项目安装、调试、检测、试验及验收、配合服务费、售后服务、税金、利润及其他所有成本等费用。</w:t>
      </w:r>
    </w:p>
    <w:p>
      <w:pPr>
        <w:pStyle w:val="4"/>
        <w:spacing w:line="360" w:lineRule="auto"/>
        <w:rPr>
          <w:rFonts w:hint="eastAsia" w:ascii="宋体" w:hAnsi="宋体" w:eastAsia="宋体" w:cs="宋体"/>
          <w:b/>
          <w:bCs w:val="0"/>
        </w:rPr>
      </w:pPr>
      <w:r>
        <w:rPr>
          <w:rFonts w:hint="eastAsia" w:ascii="宋体" w:hAnsi="宋体" w:eastAsia="宋体" w:cs="宋体"/>
          <w:b/>
          <w:bCs w:val="0"/>
        </w:rPr>
        <w:t>二、供应商应提供以下资格证明文件</w:t>
      </w:r>
      <w:bookmarkEnd w:id="0"/>
      <w:bookmarkEnd w:id="1"/>
    </w:p>
    <w:p>
      <w:pPr>
        <w:widowControl/>
        <w:spacing w:line="360" w:lineRule="auto"/>
        <w:ind w:firstLine="480"/>
        <w:rPr>
          <w:rFonts w:hint="eastAsia" w:ascii="宋体" w:hAnsi="宋体" w:cs="宋体"/>
          <w:kern w:val="0"/>
          <w:sz w:val="24"/>
        </w:rPr>
      </w:pPr>
      <w:r>
        <w:rPr>
          <w:rFonts w:hint="eastAsia" w:ascii="宋体" w:hAnsi="宋体" w:cs="宋体"/>
          <w:sz w:val="24"/>
        </w:rPr>
        <w:t>1.★</w:t>
      </w:r>
      <w:r>
        <w:rPr>
          <w:rFonts w:hint="eastAsia" w:ascii="宋体" w:hAnsi="宋体" w:cs="宋体"/>
          <w:kern w:val="0"/>
          <w:sz w:val="24"/>
        </w:rPr>
        <w:t>法人授权委托书（扫描件加盖公章）；</w:t>
      </w:r>
    </w:p>
    <w:p>
      <w:pPr>
        <w:widowControl/>
        <w:spacing w:line="360" w:lineRule="auto"/>
        <w:ind w:firstLine="480"/>
        <w:rPr>
          <w:rFonts w:hint="eastAsia" w:ascii="宋体" w:hAnsi="宋体" w:cs="宋体"/>
          <w:kern w:val="0"/>
          <w:sz w:val="24"/>
        </w:rPr>
      </w:pPr>
      <w:r>
        <w:rPr>
          <w:rFonts w:hint="eastAsia" w:ascii="宋体" w:hAnsi="宋体" w:cs="宋体"/>
          <w:sz w:val="24"/>
        </w:rPr>
        <w:t>2.★</w:t>
      </w:r>
      <w:r>
        <w:rPr>
          <w:rFonts w:hint="eastAsia" w:ascii="宋体" w:hAnsi="宋体" w:cs="宋体"/>
          <w:kern w:val="0"/>
          <w:sz w:val="24"/>
        </w:rPr>
        <w:t>被授权人身份证（扫描件加盖公章）；</w:t>
      </w:r>
    </w:p>
    <w:p>
      <w:pPr>
        <w:widowControl/>
        <w:spacing w:line="360" w:lineRule="auto"/>
        <w:ind w:firstLine="480"/>
        <w:rPr>
          <w:rFonts w:hint="eastAsia" w:ascii="宋体" w:hAnsi="宋体" w:cs="宋体"/>
          <w:sz w:val="24"/>
        </w:rPr>
      </w:pPr>
      <w:r>
        <w:rPr>
          <w:rFonts w:hint="eastAsia" w:ascii="宋体" w:hAnsi="宋体" w:cs="宋体"/>
          <w:kern w:val="0"/>
          <w:sz w:val="24"/>
        </w:rPr>
        <w:t>3.</w:t>
      </w:r>
      <w:r>
        <w:rPr>
          <w:rFonts w:hint="eastAsia" w:ascii="宋体" w:hAnsi="宋体" w:cs="宋体"/>
          <w:sz w:val="24"/>
        </w:rPr>
        <w:t>★</w:t>
      </w:r>
      <w:r>
        <w:rPr>
          <w:rFonts w:hint="eastAsia" w:ascii="宋体" w:hAnsi="宋体" w:cs="宋体"/>
          <w:kern w:val="0"/>
          <w:sz w:val="24"/>
        </w:rPr>
        <w:t>法定代表人身份证（扫描件加盖公章）；</w:t>
      </w:r>
    </w:p>
    <w:p>
      <w:pPr>
        <w:tabs>
          <w:tab w:val="left" w:pos="1485"/>
        </w:tabs>
        <w:spacing w:line="360" w:lineRule="auto"/>
        <w:ind w:firstLine="480" w:firstLineChars="200"/>
        <w:rPr>
          <w:rFonts w:hint="eastAsia" w:ascii="宋体" w:hAnsi="宋体" w:cs="宋体"/>
          <w:sz w:val="24"/>
        </w:rPr>
      </w:pPr>
      <w:r>
        <w:rPr>
          <w:rFonts w:hint="eastAsia" w:ascii="宋体" w:hAnsi="宋体" w:cs="宋体"/>
          <w:sz w:val="24"/>
        </w:rPr>
        <w:t>4.★营业执照</w:t>
      </w:r>
      <w:r>
        <w:rPr>
          <w:rFonts w:hint="eastAsia" w:ascii="宋体" w:hAnsi="宋体" w:cs="宋体"/>
          <w:kern w:val="0"/>
          <w:sz w:val="24"/>
        </w:rPr>
        <w:t>（扫描件加盖公章）</w:t>
      </w:r>
      <w:r>
        <w:rPr>
          <w:rFonts w:hint="eastAsia" w:ascii="宋体" w:hAnsi="宋体" w:cs="宋体"/>
          <w:sz w:val="24"/>
        </w:rPr>
        <w:t>；</w:t>
      </w:r>
      <w:r>
        <w:rPr>
          <w:rFonts w:hint="eastAsia" w:ascii="宋体" w:hAnsi="宋体" w:cs="宋体"/>
          <w:sz w:val="24"/>
        </w:rPr>
        <w:tab/>
      </w:r>
    </w:p>
    <w:p>
      <w:pPr>
        <w:widowControl/>
        <w:spacing w:line="360" w:lineRule="auto"/>
        <w:ind w:firstLine="480"/>
        <w:jc w:val="left"/>
        <w:rPr>
          <w:rFonts w:hint="eastAsia" w:hAnsi="宋体" w:cs="宋体"/>
        </w:rPr>
      </w:pPr>
      <w:r>
        <w:rPr>
          <w:rFonts w:hint="eastAsia" w:ascii="宋体" w:hAnsi="宋体" w:cs="宋体"/>
          <w:kern w:val="0"/>
          <w:sz w:val="24"/>
        </w:rPr>
        <w:t>5.</w:t>
      </w:r>
      <w:r>
        <w:rPr>
          <w:rFonts w:hint="eastAsia" w:ascii="宋体" w:hAnsi="宋体" w:cs="宋体"/>
          <w:sz w:val="24"/>
        </w:rPr>
        <w:t>★</w:t>
      </w:r>
      <w:r>
        <w:rPr>
          <w:rFonts w:hint="eastAsia" w:ascii="宋体" w:hAnsi="宋体" w:cs="宋体"/>
          <w:kern w:val="0"/>
          <w:sz w:val="24"/>
        </w:rPr>
        <w:t>基本账户开户许可证或基本存款账户信息单（扫描件加盖公章）；</w:t>
      </w:r>
    </w:p>
    <w:p>
      <w:pPr>
        <w:pStyle w:val="5"/>
        <w:spacing w:line="360" w:lineRule="auto"/>
        <w:ind w:firstLine="480"/>
        <w:rPr>
          <w:rFonts w:hint="eastAsia" w:ascii="宋体" w:hAnsi="宋体" w:cs="宋体"/>
          <w:sz w:val="24"/>
        </w:rPr>
      </w:pPr>
      <w:r>
        <w:rPr>
          <w:rFonts w:hint="eastAsia" w:ascii="宋体" w:hAnsi="宋体"/>
          <w:sz w:val="24"/>
        </w:rPr>
        <w:t>6.</w:t>
      </w:r>
      <w:r>
        <w:rPr>
          <w:rFonts w:hint="eastAsia" w:ascii="宋体" w:hAnsi="宋体" w:cs="宋体"/>
          <w:sz w:val="24"/>
        </w:rPr>
        <w:t>★具备</w:t>
      </w:r>
      <w:r>
        <w:rPr>
          <w:rFonts w:hint="eastAsia" w:ascii="宋体" w:hAnsi="宋体"/>
          <w:sz w:val="24"/>
        </w:rPr>
        <w:t>《中华人民共和国政府采购法》第二十二条供应商资格条件，</w:t>
      </w:r>
      <w:r>
        <w:rPr>
          <w:rFonts w:hint="eastAsia" w:ascii="宋体" w:hAnsi="宋体" w:cs="宋体"/>
          <w:sz w:val="24"/>
        </w:rPr>
        <w:t>按照招标文件给定格式提供《政府采购供应商资格承诺函》。</w:t>
      </w:r>
    </w:p>
    <w:p>
      <w:pPr>
        <w:pStyle w:val="5"/>
        <w:spacing w:line="360" w:lineRule="auto"/>
        <w:ind w:firstLine="480"/>
        <w:rPr>
          <w:rFonts w:hint="eastAsia" w:ascii="宋体" w:hAnsi="宋体" w:cs="宋体"/>
          <w:sz w:val="24"/>
        </w:rPr>
      </w:pPr>
      <w:r>
        <w:rPr>
          <w:rFonts w:hint="eastAsia" w:ascii="宋体" w:hAnsi="宋体" w:cs="宋体"/>
          <w:sz w:val="24"/>
        </w:rPr>
        <w:t>7.★中小企业声明函（</w:t>
      </w:r>
      <w:r>
        <w:rPr>
          <w:rFonts w:hint="eastAsia" w:ascii="宋体" w:hAnsi="宋体" w:cs="宋体"/>
          <w:bCs/>
          <w:sz w:val="24"/>
          <w:szCs w:val="32"/>
        </w:rPr>
        <w:t>按格式填写并加盖公章</w:t>
      </w:r>
      <w:r>
        <w:rPr>
          <w:rFonts w:hint="eastAsia" w:ascii="宋体" w:hAnsi="宋体" w:cs="宋体"/>
          <w:sz w:val="24"/>
        </w:rPr>
        <w:t>）。</w:t>
      </w:r>
    </w:p>
    <w:p>
      <w:pPr>
        <w:widowControl/>
        <w:snapToGrid w:val="0"/>
        <w:spacing w:line="360" w:lineRule="auto"/>
        <w:ind w:firstLine="479" w:firstLineChars="199"/>
        <w:jc w:val="left"/>
        <w:rPr>
          <w:rFonts w:hint="eastAsia" w:ascii="宋体" w:hAnsi="宋体" w:cs="宋体"/>
          <w:b/>
          <w:bCs/>
          <w:kern w:val="0"/>
          <w:sz w:val="24"/>
        </w:rPr>
      </w:pPr>
      <w:r>
        <w:rPr>
          <w:rFonts w:hint="eastAsia" w:ascii="宋体" w:hAnsi="宋体" w:cs="宋体"/>
          <w:b/>
          <w:sz w:val="24"/>
        </w:rPr>
        <w:t>注：供应商应按上述要求准备，且复印件与原件须一致，不满足上述要求的，投标无效，以上文件一次性递交，资格审查完成后补交的材料将视为无效。</w:t>
      </w:r>
    </w:p>
    <w:p>
      <w:pPr>
        <w:pStyle w:val="4"/>
        <w:spacing w:line="360" w:lineRule="auto"/>
        <w:rPr>
          <w:rFonts w:hint="eastAsia" w:ascii="宋体" w:hAnsi="宋体" w:eastAsia="宋体" w:cs="宋体"/>
          <w:b/>
          <w:bCs w:val="0"/>
        </w:rPr>
      </w:pPr>
      <w:bookmarkStart w:id="4" w:name="_Toc20473795"/>
      <w:bookmarkStart w:id="5" w:name="_Toc351466513"/>
      <w:r>
        <w:rPr>
          <w:rFonts w:hint="eastAsia" w:ascii="宋体" w:hAnsi="宋体" w:eastAsia="宋体" w:cs="宋体"/>
          <w:b/>
          <w:bCs w:val="0"/>
        </w:rPr>
        <w:t>三、供应商应提供以下商务技术文件</w:t>
      </w:r>
      <w:bookmarkEnd w:id="4"/>
      <w:bookmarkEnd w:id="5"/>
    </w:p>
    <w:p>
      <w:pPr>
        <w:spacing w:line="360" w:lineRule="auto"/>
        <w:ind w:firstLine="540"/>
        <w:rPr>
          <w:rFonts w:hint="eastAsia" w:ascii="宋体" w:hAnsi="宋体" w:cs="宋体"/>
          <w:sz w:val="24"/>
        </w:rPr>
      </w:pPr>
      <w:r>
        <w:rPr>
          <w:rFonts w:hint="eastAsia" w:ascii="宋体" w:hAnsi="宋体" w:cs="宋体"/>
          <w:sz w:val="24"/>
        </w:rPr>
        <w:t>1.★投标函</w:t>
      </w:r>
    </w:p>
    <w:p>
      <w:pPr>
        <w:spacing w:line="360" w:lineRule="auto"/>
        <w:ind w:firstLine="540"/>
        <w:rPr>
          <w:rFonts w:hint="eastAsia" w:ascii="宋体" w:hAnsi="宋体" w:cs="宋体"/>
          <w:sz w:val="24"/>
        </w:rPr>
      </w:pPr>
      <w:r>
        <w:rPr>
          <w:rFonts w:hint="eastAsia" w:ascii="宋体" w:hAnsi="宋体" w:cs="宋体"/>
          <w:sz w:val="24"/>
        </w:rPr>
        <w:t>2.★开标一览表</w:t>
      </w:r>
    </w:p>
    <w:p>
      <w:pPr>
        <w:spacing w:line="360" w:lineRule="auto"/>
        <w:ind w:firstLine="540" w:firstLineChars="225"/>
        <w:rPr>
          <w:rFonts w:hint="eastAsia" w:ascii="宋体" w:hAnsi="宋体" w:cs="宋体"/>
          <w:sz w:val="24"/>
        </w:rPr>
      </w:pPr>
      <w:r>
        <w:rPr>
          <w:rFonts w:hint="eastAsia" w:ascii="宋体" w:hAnsi="宋体" w:cs="宋体"/>
          <w:sz w:val="24"/>
        </w:rPr>
        <w:t>3.★资格证明文件</w:t>
      </w:r>
    </w:p>
    <w:p>
      <w:pPr>
        <w:snapToGrid w:val="0"/>
        <w:spacing w:line="360" w:lineRule="auto"/>
        <w:ind w:firstLine="540" w:firstLineChars="225"/>
        <w:rPr>
          <w:rFonts w:hint="eastAsia" w:ascii="宋体" w:hAnsi="宋体" w:cs="宋体"/>
          <w:sz w:val="24"/>
        </w:rPr>
      </w:pPr>
      <w:r>
        <w:rPr>
          <w:rFonts w:hint="eastAsia" w:ascii="宋体" w:hAnsi="宋体" w:cs="宋体"/>
          <w:sz w:val="24"/>
        </w:rPr>
        <w:t>4.其他需要提供的有效文件</w:t>
      </w:r>
    </w:p>
    <w:p>
      <w:pPr>
        <w:spacing w:line="360" w:lineRule="auto"/>
        <w:ind w:firstLine="540"/>
        <w:rPr>
          <w:rFonts w:hint="eastAsia" w:ascii="宋体" w:hAnsi="宋体" w:cs="宋体"/>
          <w:sz w:val="24"/>
        </w:rPr>
      </w:pPr>
      <w:r>
        <w:rPr>
          <w:rFonts w:hint="eastAsia" w:ascii="宋体" w:hAnsi="宋体" w:cs="宋体"/>
          <w:sz w:val="24"/>
        </w:rPr>
        <w:t>以上★号为必备条款，任一条不满足则视为投标无效。</w:t>
      </w:r>
    </w:p>
    <w:p>
      <w:pPr>
        <w:pStyle w:val="4"/>
        <w:spacing w:before="120" w:beforeLines="50" w:after="120" w:afterLines="50" w:line="360" w:lineRule="auto"/>
        <w:rPr>
          <w:rFonts w:hint="eastAsia" w:ascii="宋体" w:hAnsi="宋体" w:eastAsia="宋体" w:cs="宋体"/>
          <w:b/>
          <w:bCs w:val="0"/>
        </w:rPr>
      </w:pPr>
      <w:bookmarkStart w:id="6" w:name="_Toc299699083"/>
      <w:bookmarkStart w:id="7" w:name="_Toc299709511"/>
      <w:bookmarkStart w:id="8" w:name="_Toc299699814"/>
      <w:bookmarkStart w:id="9" w:name="_Toc299700537"/>
      <w:bookmarkStart w:id="10" w:name="_Toc351466517"/>
      <w:bookmarkStart w:id="11" w:name="_Toc299699624"/>
      <w:bookmarkStart w:id="12" w:name="_Toc20473796"/>
      <w:r>
        <w:rPr>
          <w:rFonts w:hint="eastAsia" w:ascii="宋体" w:hAnsi="宋体" w:eastAsia="宋体" w:cs="宋体"/>
          <w:b/>
          <w:bCs w:val="0"/>
        </w:rPr>
        <w:t>四、</w:t>
      </w:r>
      <w:bookmarkEnd w:id="6"/>
      <w:bookmarkEnd w:id="7"/>
      <w:bookmarkEnd w:id="8"/>
      <w:bookmarkEnd w:id="9"/>
      <w:bookmarkEnd w:id="10"/>
      <w:bookmarkEnd w:id="11"/>
      <w:r>
        <w:rPr>
          <w:rFonts w:hint="eastAsia" w:ascii="宋体" w:hAnsi="宋体" w:eastAsia="宋体" w:cs="宋体"/>
          <w:b/>
          <w:bCs w:val="0"/>
        </w:rPr>
        <w:t>其他</w:t>
      </w:r>
      <w:bookmarkEnd w:id="12"/>
    </w:p>
    <w:p>
      <w:pPr>
        <w:ind w:firstLine="480" w:firstLineChars="200"/>
      </w:pPr>
      <w:r>
        <w:rPr>
          <w:rFonts w:hint="eastAsia" w:ascii="宋体" w:hAnsi="宋体" w:cs="宋体"/>
          <w:sz w:val="24"/>
        </w:rPr>
        <w:t>与本项目招标相关的事务及澄清公告敬请关注招标公告发布媒介。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92A68"/>
    <w:multiLevelType w:val="singleLevel"/>
    <w:tmpl w:val="8EC92A68"/>
    <w:lvl w:ilvl="0" w:tentative="0">
      <w:start w:val="1"/>
      <w:numFmt w:val="chineseCounting"/>
      <w:suff w:val="nothing"/>
      <w:lvlText w:val="%1、"/>
      <w:lvlJc w:val="left"/>
      <w:pPr>
        <w:ind w:left="-420" w:firstLine="420"/>
      </w:pPr>
      <w:rPr>
        <w:rFonts w:hint="eastAsia"/>
      </w:rPr>
    </w:lvl>
  </w:abstractNum>
  <w:abstractNum w:abstractNumId="1">
    <w:nsid w:val="967C6C39"/>
    <w:multiLevelType w:val="singleLevel"/>
    <w:tmpl w:val="967C6C39"/>
    <w:lvl w:ilvl="0" w:tentative="0">
      <w:start w:val="1"/>
      <w:numFmt w:val="chineseCounting"/>
      <w:suff w:val="nothing"/>
      <w:lvlText w:val="%1、"/>
      <w:lvlJc w:val="left"/>
      <w:pPr>
        <w:ind w:left="-420" w:firstLine="420"/>
      </w:pPr>
      <w:rPr>
        <w:rFonts w:hint="eastAsia"/>
      </w:rPr>
    </w:lvl>
  </w:abstractNum>
  <w:abstractNum w:abstractNumId="2">
    <w:nsid w:val="BC920434"/>
    <w:multiLevelType w:val="singleLevel"/>
    <w:tmpl w:val="BC920434"/>
    <w:lvl w:ilvl="0" w:tentative="0">
      <w:start w:val="1"/>
      <w:numFmt w:val="decimal"/>
      <w:lvlText w:val="%1."/>
      <w:lvlJc w:val="left"/>
      <w:pPr>
        <w:ind w:left="425" w:hanging="425"/>
      </w:pPr>
      <w:rPr>
        <w:rFonts w:hint="default"/>
      </w:rPr>
    </w:lvl>
  </w:abstractNum>
  <w:abstractNum w:abstractNumId="3">
    <w:nsid w:val="C0EB79B9"/>
    <w:multiLevelType w:val="singleLevel"/>
    <w:tmpl w:val="C0EB79B9"/>
    <w:lvl w:ilvl="0" w:tentative="0">
      <w:start w:val="1"/>
      <w:numFmt w:val="decimal"/>
      <w:lvlText w:val="%1."/>
      <w:lvlJc w:val="left"/>
      <w:pPr>
        <w:ind w:left="425" w:hanging="425"/>
      </w:pPr>
      <w:rPr>
        <w:rFonts w:hint="default"/>
      </w:rPr>
    </w:lvl>
  </w:abstractNum>
  <w:abstractNum w:abstractNumId="4">
    <w:nsid w:val="C0EF99C0"/>
    <w:multiLevelType w:val="singleLevel"/>
    <w:tmpl w:val="C0EF99C0"/>
    <w:lvl w:ilvl="0" w:tentative="0">
      <w:start w:val="1"/>
      <w:numFmt w:val="chineseCounting"/>
      <w:suff w:val="nothing"/>
      <w:lvlText w:val="%1、"/>
      <w:lvlJc w:val="left"/>
      <w:pPr>
        <w:ind w:left="-420" w:firstLine="420"/>
      </w:pPr>
      <w:rPr>
        <w:rFonts w:hint="eastAsia"/>
      </w:rPr>
    </w:lvl>
  </w:abstractNum>
  <w:abstractNum w:abstractNumId="5">
    <w:nsid w:val="C3B79948"/>
    <w:multiLevelType w:val="singleLevel"/>
    <w:tmpl w:val="C3B79948"/>
    <w:lvl w:ilvl="0" w:tentative="0">
      <w:start w:val="1"/>
      <w:numFmt w:val="decimal"/>
      <w:lvlText w:val="%1."/>
      <w:lvlJc w:val="left"/>
      <w:pPr>
        <w:ind w:left="425" w:hanging="425"/>
      </w:pPr>
      <w:rPr>
        <w:rFonts w:hint="default"/>
      </w:rPr>
    </w:lvl>
  </w:abstractNum>
  <w:abstractNum w:abstractNumId="6">
    <w:nsid w:val="CA4B0CF9"/>
    <w:multiLevelType w:val="singleLevel"/>
    <w:tmpl w:val="CA4B0CF9"/>
    <w:lvl w:ilvl="0" w:tentative="0">
      <w:start w:val="1"/>
      <w:numFmt w:val="decimal"/>
      <w:lvlText w:val="%1."/>
      <w:lvlJc w:val="left"/>
      <w:pPr>
        <w:ind w:left="425" w:hanging="425"/>
      </w:pPr>
      <w:rPr>
        <w:rFonts w:hint="default"/>
      </w:rPr>
    </w:lvl>
  </w:abstractNum>
  <w:abstractNum w:abstractNumId="7">
    <w:nsid w:val="DBE3B7DB"/>
    <w:multiLevelType w:val="singleLevel"/>
    <w:tmpl w:val="DBE3B7DB"/>
    <w:lvl w:ilvl="0" w:tentative="0">
      <w:start w:val="1"/>
      <w:numFmt w:val="decimal"/>
      <w:lvlText w:val="%1."/>
      <w:lvlJc w:val="left"/>
      <w:pPr>
        <w:ind w:left="425" w:hanging="425"/>
      </w:pPr>
      <w:rPr>
        <w:rFonts w:hint="default"/>
      </w:rPr>
    </w:lvl>
  </w:abstractNum>
  <w:abstractNum w:abstractNumId="8">
    <w:nsid w:val="19E815C4"/>
    <w:multiLevelType w:val="singleLevel"/>
    <w:tmpl w:val="19E815C4"/>
    <w:lvl w:ilvl="0" w:tentative="0">
      <w:start w:val="1"/>
      <w:numFmt w:val="chineseCounting"/>
      <w:suff w:val="nothing"/>
      <w:lvlText w:val="%1、"/>
      <w:lvlJc w:val="left"/>
      <w:pPr>
        <w:ind w:left="-420" w:firstLine="420"/>
      </w:pPr>
      <w:rPr>
        <w:rFonts w:hint="eastAsia"/>
      </w:rPr>
    </w:lvl>
  </w:abstractNum>
  <w:abstractNum w:abstractNumId="9">
    <w:nsid w:val="1F6B0F38"/>
    <w:multiLevelType w:val="singleLevel"/>
    <w:tmpl w:val="1F6B0F38"/>
    <w:lvl w:ilvl="0" w:tentative="0">
      <w:start w:val="1"/>
      <w:numFmt w:val="chineseCounting"/>
      <w:suff w:val="nothing"/>
      <w:lvlText w:val="%1、"/>
      <w:lvlJc w:val="left"/>
      <w:rPr>
        <w:rFonts w:hint="eastAsia"/>
      </w:rPr>
    </w:lvl>
  </w:abstractNum>
  <w:num w:numId="1">
    <w:abstractNumId w:val="9"/>
  </w:num>
  <w:num w:numId="2">
    <w:abstractNumId w:val="7"/>
  </w:num>
  <w:num w:numId="3">
    <w:abstractNumId w:val="8"/>
  </w:num>
  <w:num w:numId="4">
    <w:abstractNumId w:val="3"/>
  </w:num>
  <w:num w:numId="5">
    <w:abstractNumId w:val="0"/>
  </w:num>
  <w:num w:numId="6">
    <w:abstractNumId w:val="2"/>
  </w:num>
  <w:num w:numId="7">
    <w:abstractNumId w:val="4"/>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ODFmM2YxOTcwNDY5ZjAxNTMyMjk0NTUyNTQ1MzkifQ=="/>
  </w:docVars>
  <w:rsids>
    <w:rsidRoot w:val="29FF0FE6"/>
    <w:rsid w:val="29FF0FE6"/>
    <w:rsid w:val="4BB61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240" w:after="240"/>
      <w:ind w:left="100" w:leftChars="100" w:right="100" w:rightChars="100"/>
      <w:jc w:val="center"/>
      <w:outlineLvl w:val="0"/>
    </w:pPr>
    <w:rPr>
      <w:rFonts w:eastAsia="黑体"/>
      <w:bCs/>
      <w:kern w:val="44"/>
      <w:sz w:val="44"/>
      <w:szCs w:val="44"/>
    </w:rPr>
  </w:style>
  <w:style w:type="paragraph" w:styleId="4">
    <w:name w:val="heading 2"/>
    <w:basedOn w:val="1"/>
    <w:next w:val="1"/>
    <w:qFormat/>
    <w:uiPriority w:val="9"/>
    <w:pPr>
      <w:keepNext/>
      <w:keepLines/>
      <w:outlineLvl w:val="1"/>
    </w:pPr>
    <w:rPr>
      <w:rFonts w:ascii="Arial" w:hAnsi="Arial" w:eastAsia="黑体"/>
      <w:bCs/>
      <w:sz w:val="28"/>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列出段落1"/>
    <w:uiPriority w:val="0"/>
    <w:pPr>
      <w:ind w:firstLine="420" w:firstLineChars="200"/>
      <w:jc w:val="center"/>
    </w:pPr>
    <w:rPr>
      <w:rFonts w:ascii="Times New Roman" w:hAnsi="Times New Roman" w:eastAsia="宋体" w:cs="Times New Roman"/>
      <w:szCs w:val="22"/>
      <w:lang w:val="en-US" w:eastAsia="zh-CN" w:bidi="ar-SA"/>
    </w:rPr>
  </w:style>
  <w:style w:type="paragraph" w:styleId="5">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2024-09-11T08:24:00Z</dcterms:created>
  <dc:creator></dc:creator>
  <cp:lastModifiedBy>赵丽娜</cp:lastModifiedBy>
  <dcterms:modified xsi:type="dcterms:W3CDTF">2024-09-12T03:10:02Z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459E100159D54EB584785821D261A56E_11</vt:lpwstr>
  </property>
</Properties>
</file>