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锡林郭勒超高压供电分公司2024年-2026年诉讼与非诉案件委托代理服务框架采购项目</w:t>
      </w:r>
    </w:p>
    <w:p>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锡林郭勒超高压供电分公司2024年-2026年诉讼与非诉案件委托代理服务框架采购项目</w:t>
      </w:r>
      <w:r>
        <w:rPr>
          <w:rFonts w:hint="eastAsia" w:ascii="宋体" w:hAnsi="宋体" w:eastAsia="宋体" w:cs="宋体"/>
          <w:color w:val="000000"/>
          <w:kern w:val="2"/>
          <w:sz w:val="24"/>
          <w:szCs w:val="24"/>
          <w:highlight w:val="none"/>
          <w:lang w:val="en-US" w:eastAsia="zh-CN" w:bidi="ar-SA"/>
        </w:rPr>
        <w:t>”进行询比采购，项目资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eastAsia="zh-CN"/>
        </w:rPr>
        <w:t>锡林郭勒超高压供电分公司2024年-2026年诉讼与非诉案件委托代理服务框架采购项目</w:t>
      </w:r>
    </w:p>
    <w:p>
      <w:pPr>
        <w:pStyle w:val="9"/>
        <w:spacing w:after="0" w:line="360" w:lineRule="auto"/>
        <w:ind w:left="0" w:leftChars="0"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项目编号：XCGS-2024-FW-</w:t>
      </w:r>
      <w:r>
        <w:rPr>
          <w:rFonts w:hint="eastAsia" w:ascii="宋体" w:hAnsi="宋体" w:cs="宋体"/>
          <w:color w:val="000000"/>
          <w:sz w:val="24"/>
          <w:highlight w:val="none"/>
          <w:lang w:val="en-US" w:eastAsia="zh-CN"/>
        </w:rPr>
        <w:t>041（ZS-QCMC-H-2024-3006）</w:t>
      </w:r>
      <w:r>
        <w:rPr>
          <w:rFonts w:hint="eastAsia" w:ascii="宋体" w:hAnsi="宋体" w:cs="宋体"/>
          <w:color w:val="000000"/>
          <w:sz w:val="24"/>
          <w:highlight w:val="none"/>
          <w:lang w:eastAsia="zh-CN"/>
        </w:rPr>
        <w:t>；</w:t>
      </w:r>
    </w:p>
    <w:p>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pPr>
        <w:pStyle w:val="12"/>
        <w:spacing w:line="360" w:lineRule="auto"/>
        <w:ind w:left="0" w:leftChars="0" w:firstLine="0" w:firstLineChars="0"/>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10"/>
        <w:tblW w:w="53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21"/>
        <w:gridCol w:w="1450"/>
        <w:gridCol w:w="1220"/>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9" w:type="pct"/>
            <w:noWrap/>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cs="宋体"/>
                <w:b/>
                <w:bCs/>
                <w:sz w:val="24"/>
                <w:szCs w:val="24"/>
                <w:lang w:eastAsia="zh-CN"/>
              </w:rPr>
            </w:pPr>
            <w:r>
              <w:rPr>
                <w:rFonts w:hint="eastAsia" w:ascii="宋体" w:hAnsi="宋体" w:cs="宋体"/>
                <w:b/>
                <w:bCs/>
                <w:sz w:val="24"/>
                <w:szCs w:val="24"/>
                <w:lang w:eastAsia="zh-CN"/>
              </w:rPr>
              <w:t>序号</w:t>
            </w:r>
          </w:p>
        </w:tc>
        <w:tc>
          <w:tcPr>
            <w:tcW w:w="1315" w:type="pct"/>
            <w:noWrap/>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项目名称</w:t>
            </w:r>
          </w:p>
        </w:tc>
        <w:tc>
          <w:tcPr>
            <w:tcW w:w="787"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预估金额（元）</w:t>
            </w:r>
          </w:p>
        </w:tc>
        <w:tc>
          <w:tcPr>
            <w:tcW w:w="662"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入围家数</w:t>
            </w:r>
          </w:p>
        </w:tc>
        <w:tc>
          <w:tcPr>
            <w:tcW w:w="916"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分配原则</w:t>
            </w:r>
          </w:p>
        </w:tc>
        <w:tc>
          <w:tcPr>
            <w:tcW w:w="916"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399"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315"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锡林郭勒超高压供电分公司2024年-2026年诉讼与非诉案件委托代理服务框架采购项目</w:t>
            </w:r>
          </w:p>
        </w:tc>
        <w:tc>
          <w:tcPr>
            <w:tcW w:w="787" w:type="pct"/>
            <w:noWrap w:val="0"/>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500000.00</w:t>
            </w:r>
          </w:p>
        </w:tc>
        <w:tc>
          <w:tcPr>
            <w:tcW w:w="662" w:type="pct"/>
            <w:noWrap/>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2家</w:t>
            </w:r>
          </w:p>
        </w:tc>
        <w:tc>
          <w:tcPr>
            <w:tcW w:w="916" w:type="pct"/>
            <w:noWrap/>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按案件数量平均分配</w:t>
            </w:r>
            <w:r>
              <w:rPr>
                <w:rFonts w:hint="eastAsia" w:ascii="宋体" w:hAnsi="宋体" w:cs="宋体"/>
                <w:sz w:val="24"/>
                <w:szCs w:val="24"/>
                <w:highlight w:val="none"/>
                <w:lang w:val="en-US" w:eastAsia="zh-CN"/>
              </w:rPr>
              <w:t>，上下浮动不超过10%</w:t>
            </w:r>
          </w:p>
        </w:tc>
        <w:tc>
          <w:tcPr>
            <w:tcW w:w="916" w:type="pct"/>
            <w:noWrap/>
            <w:vAlign w:val="center"/>
          </w:tcPr>
          <w:p>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100%</w:t>
            </w:r>
          </w:p>
        </w:tc>
      </w:tr>
    </w:tbl>
    <w:p>
      <w:pPr>
        <w:pStyle w:val="12"/>
        <w:spacing w:line="360" w:lineRule="auto"/>
        <w:ind w:left="0" w:leftChars="0" w:firstLine="0" w:firstLineChars="0"/>
        <w:rPr>
          <w:rFonts w:hint="eastAsia" w:ascii="宋体" w:hAnsi="宋体" w:eastAsia="宋体" w:cs="宋体"/>
          <w:b w:val="0"/>
          <w:bCs/>
          <w:sz w:val="24"/>
          <w:szCs w:val="24"/>
          <w:highlight w:val="none"/>
          <w:lang w:val="en-US" w:eastAsia="zh-CN"/>
        </w:rPr>
      </w:pPr>
    </w:p>
    <w:p>
      <w:pPr>
        <w:pStyle w:val="12"/>
        <w:spacing w:line="360" w:lineRule="auto"/>
        <w:ind w:left="0" w:leftChars="0" w:firstLine="0" w:firstLineChars="0"/>
        <w:rPr>
          <w:rFonts w:hint="eastAsia" w:ascii="宋体" w:hAnsi="宋体" w:eastAsia="宋体" w:cs="宋体"/>
          <w:b w:val="0"/>
          <w:bCs/>
          <w:sz w:val="24"/>
          <w:szCs w:val="24"/>
          <w:highlight w:val="yellow"/>
          <w:lang w:eastAsia="zh-CN"/>
        </w:rPr>
      </w:pPr>
      <w:r>
        <w:rPr>
          <w:rFonts w:hint="eastAsia" w:ascii="宋体" w:hAnsi="宋体" w:eastAsia="宋体" w:cs="宋体"/>
          <w:b w:val="0"/>
          <w:bCs/>
          <w:sz w:val="24"/>
          <w:szCs w:val="24"/>
          <w:highlight w:val="none"/>
          <w:lang w:val="en-US" w:eastAsia="zh-CN"/>
        </w:rPr>
        <w:t>5.服务内容：负责处理重大疑难案件，服务内容包括但不限于出庭参加诉讼收集证据，出具代理方案及其他法律文书，配合开展案件专项研讨会，进行风险分析提示等。</w:t>
      </w:r>
    </w:p>
    <w:p>
      <w:pPr>
        <w:pStyle w:val="12"/>
        <w:spacing w:line="360" w:lineRule="auto"/>
        <w:ind w:left="0" w:leftChars="0" w:firstLine="0" w:firstLineChars="0"/>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6.框架服务期限</w:t>
      </w:r>
      <w:r>
        <w:rPr>
          <w:rFonts w:hint="eastAsia" w:ascii="宋体" w:hAnsi="宋体" w:eastAsia="宋体" w:cs="宋体"/>
          <w:color w:val="000000"/>
          <w:kern w:val="2"/>
          <w:sz w:val="24"/>
          <w:szCs w:val="24"/>
          <w:highlight w:val="none"/>
          <w:lang w:val="en-US" w:eastAsia="zh-CN" w:bidi="ar-SA"/>
        </w:rPr>
        <w:t>：自合同签订之日起至2026年12月31日</w:t>
      </w:r>
      <w:r>
        <w:rPr>
          <w:rFonts w:hint="eastAsia" w:ascii="宋体" w:hAnsi="宋体" w:cs="宋体"/>
          <w:color w:val="000000"/>
          <w:kern w:val="2"/>
          <w:sz w:val="24"/>
          <w:szCs w:val="24"/>
          <w:highlight w:val="none"/>
          <w:lang w:val="en-US" w:eastAsia="zh-CN" w:bidi="ar-SA"/>
        </w:rPr>
        <w:t xml:space="preserve"> ；</w:t>
      </w:r>
    </w:p>
    <w:p>
      <w:pPr>
        <w:pStyle w:val="12"/>
        <w:spacing w:line="360" w:lineRule="auto"/>
        <w:ind w:left="0" w:leftChars="0" w:firstLine="0" w:firstLineChars="0"/>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7.服务地点：与案件相关地点。</w:t>
      </w:r>
    </w:p>
    <w:p>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pPr>
        <w:spacing w:line="360" w:lineRule="auto"/>
        <w:ind w:firstLine="480" w:firstLineChars="200"/>
        <w:jc w:val="left"/>
        <w:rPr>
          <w:rFonts w:hint="eastAsia" w:ascii="宋体" w:hAnsi="宋体" w:eastAsia="宋体" w:cs="宋体"/>
          <w:bCs/>
          <w:color w:val="92D050"/>
          <w:sz w:val="24"/>
          <w:highlight w:val="none"/>
          <w:lang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pPr>
        <w:pStyle w:val="3"/>
        <w:spacing w:line="360" w:lineRule="auto"/>
        <w:ind w:firstLine="482"/>
        <w:rPr>
          <w:rFonts w:hint="eastAsia" w:ascii="宋体" w:hAnsi="宋体" w:eastAsia="宋体" w:cs="宋体"/>
          <w:b/>
          <w:color w:val="000000"/>
          <w:sz w:val="24"/>
        </w:rPr>
      </w:pPr>
      <w:r>
        <w:rPr>
          <w:rFonts w:hint="eastAsia" w:ascii="宋体" w:hAnsi="宋体" w:eastAsia="宋体" w:cs="宋体"/>
          <w:b/>
          <w:color w:val="000000"/>
          <w:sz w:val="24"/>
        </w:rPr>
        <w:t>专用资格要求：</w:t>
      </w:r>
    </w:p>
    <w:p>
      <w:pPr>
        <w:pStyle w:val="3"/>
        <w:keepNext w:val="0"/>
        <w:keepLines w:val="0"/>
        <w:pageBreakBefore w:val="0"/>
        <w:widowControl w:val="0"/>
        <w:kinsoku/>
        <w:wordWrap/>
        <w:overflowPunct/>
        <w:topLinePunct w:val="0"/>
        <w:autoSpaceDE/>
        <w:autoSpaceDN/>
        <w:bidi w:val="0"/>
        <w:adjustRightInd/>
        <w:snapToGrid/>
        <w:spacing w:line="360" w:lineRule="auto"/>
        <w:ind w:left="1684" w:leftChars="228" w:hanging="1205" w:hangingChars="5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第1标段：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kern w:val="0"/>
          <w:sz w:val="24"/>
          <w:szCs w:val="24"/>
          <w:highlight w:val="none"/>
          <w:lang w:val="en-US" w:eastAsia="zh-CN" w:bidi="ar-SA"/>
        </w:rPr>
      </w:pPr>
      <w:r>
        <w:rPr>
          <w:rFonts w:hint="eastAsia" w:ascii="宋体" w:hAnsi="宋体" w:cs="宋体"/>
          <w:b/>
          <w:bCs w:val="0"/>
          <w:kern w:val="0"/>
          <w:sz w:val="24"/>
          <w:szCs w:val="24"/>
          <w:highlight w:val="none"/>
          <w:lang w:val="en-US" w:eastAsia="zh-CN" w:bidi="ar-SA"/>
        </w:rPr>
        <w:t>（1）</w:t>
      </w:r>
      <w:r>
        <w:rPr>
          <w:rFonts w:hint="eastAsia" w:ascii="宋体" w:hAnsi="宋体" w:eastAsia="宋体" w:cs="宋体"/>
          <w:b/>
          <w:bCs w:val="0"/>
          <w:kern w:val="0"/>
          <w:sz w:val="24"/>
          <w:szCs w:val="24"/>
          <w:highlight w:val="none"/>
          <w:lang w:val="en-US" w:eastAsia="zh-CN" w:bidi="ar-SA"/>
        </w:rPr>
        <w:t>供应商须具有中国司法行政管理部门核发的《律师事务所执业许可证》，且年检合格(分所参与须提交总所《律师事务所执业许可证》及总所的授权文件);)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kern w:val="0"/>
          <w:sz w:val="24"/>
          <w:szCs w:val="24"/>
          <w:highlight w:val="none"/>
          <w:lang w:val="en-US" w:eastAsia="zh-CN" w:bidi="ar-SA"/>
        </w:rPr>
      </w:pPr>
      <w:r>
        <w:rPr>
          <w:rFonts w:hint="eastAsia" w:ascii="宋体" w:hAnsi="宋体" w:cs="宋体"/>
          <w:b/>
          <w:bCs w:val="0"/>
          <w:kern w:val="0"/>
          <w:sz w:val="24"/>
          <w:szCs w:val="24"/>
          <w:highlight w:val="none"/>
          <w:lang w:val="en-US" w:eastAsia="zh-CN" w:bidi="ar-SA"/>
        </w:rPr>
        <w:t>（2）供应商需提供至少1名具有10年以上执业经历的律师作为项目负责人</w:t>
      </w:r>
      <w:r>
        <w:rPr>
          <w:rFonts w:hint="eastAsia" w:ascii="宋体" w:hAnsi="宋体" w:eastAsia="宋体" w:cs="宋体"/>
          <w:b/>
          <w:bCs w:val="0"/>
          <w:kern w:val="0"/>
          <w:sz w:val="24"/>
          <w:szCs w:val="24"/>
          <w:highlight w:val="none"/>
          <w:lang w:val="en-US" w:eastAsia="zh-CN" w:bidi="ar-SA"/>
        </w:rPr>
        <w:t>(</w:t>
      </w:r>
      <w:r>
        <w:rPr>
          <w:rFonts w:hint="eastAsia" w:ascii="宋体" w:hAnsi="宋体" w:cs="宋体"/>
          <w:b/>
          <w:bCs w:val="0"/>
          <w:kern w:val="0"/>
          <w:sz w:val="24"/>
          <w:szCs w:val="24"/>
          <w:highlight w:val="none"/>
          <w:lang w:val="en-US" w:eastAsia="zh-CN" w:bidi="ar-SA"/>
        </w:rPr>
        <w:t>提供委派项目负责人律师工作证，并注册为本单位</w:t>
      </w:r>
      <w:r>
        <w:rPr>
          <w:rFonts w:hint="eastAsia" w:ascii="宋体" w:hAnsi="宋体" w:eastAsia="宋体" w:cs="宋体"/>
          <w:b/>
          <w:bCs w:val="0"/>
          <w:kern w:val="0"/>
          <w:sz w:val="24"/>
          <w:szCs w:val="24"/>
          <w:highlight w:val="none"/>
          <w:lang w:val="en-US" w:eastAsia="zh-CN" w:bidi="ar-SA"/>
        </w:rPr>
        <w:t>)</w:t>
      </w:r>
      <w:r>
        <w:rPr>
          <w:rFonts w:hint="eastAsia" w:ascii="宋体" w:hAnsi="宋体" w:cs="宋体"/>
          <w:b/>
          <w:bCs w:val="0"/>
          <w:kern w:val="0"/>
          <w:sz w:val="24"/>
          <w:szCs w:val="24"/>
          <w:highlight w:val="none"/>
          <w:lang w:val="en-US" w:eastAsia="zh-CN" w:bidi="ar-SA"/>
        </w:rPr>
        <w:t>，负责处理重大、疑难案件(执业年限以工作证号起始年限为准：工作证号第六位为年限鉴定标准)</w:t>
      </w:r>
      <w:r>
        <w:rPr>
          <w:rFonts w:hint="eastAsia" w:ascii="宋体" w:hAnsi="宋体" w:eastAsia="宋体" w:cs="宋体"/>
          <w:b/>
          <w:bCs w:val="0"/>
          <w:kern w:val="0"/>
          <w:sz w:val="24"/>
          <w:szCs w:val="24"/>
          <w:highlight w:val="none"/>
          <w:lang w:val="en-US" w:eastAsia="zh-CN" w:bidi="ar-SA"/>
        </w:rPr>
        <w:t>;</w:t>
      </w:r>
    </w:p>
    <w:bookmarkEnd w:id="0"/>
    <w:p>
      <w:pPr>
        <w:pStyle w:val="9"/>
        <w:numPr>
          <w:ilvl w:val="0"/>
          <w:numId w:val="0"/>
        </w:numPr>
        <w:spacing w:line="360" w:lineRule="auto"/>
        <w:ind w:firstLine="241" w:firstLineChars="100"/>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pPr>
        <w:pStyle w:val="8"/>
        <w:rPr>
          <w:rFonts w:hint="eastAsia"/>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p>
    <w:p>
      <w:pPr>
        <w:pStyle w:val="14"/>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凡第一次参与内蒙古电力公司的各类采购项目的投标人，在投标报名前需要在内蒙古电力公司物资管理信息系统--“内蒙古电力（集团）有限责任公司电子商务平台（http://wzglb.impc.com.cn:82）”，先进行投标人基本信息注册，然后在采购项目挂网公告所在的电子采购交易平台办理中招互连扫码签章，前述工作完成后方可开始报名。</w:t>
      </w:r>
    </w:p>
    <w:p>
      <w:pPr>
        <w:pStyle w:val="14"/>
        <w:adjustRightInd w:val="0"/>
        <w:snapToGrid w:val="0"/>
        <w:spacing w:line="360" w:lineRule="auto"/>
        <w:jc w:val="left"/>
        <w:rPr>
          <w:rFonts w:hint="eastAsia" w:ascii="宋体" w:hAnsi="宋体" w:eastAsia="宋体" w:cs="宋体"/>
          <w:color w:val="000000"/>
          <w:sz w:val="24"/>
          <w:szCs w:val="24"/>
          <w:highlight w:val="none"/>
        </w:rPr>
      </w:pPr>
      <w:bookmarkStart w:id="1" w:name="_GoBack"/>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06月28</w:t>
      </w:r>
      <w:r>
        <w:rPr>
          <w:rFonts w:hint="eastAsia" w:ascii="宋体" w:hAnsi="宋体" w:eastAsia="宋体" w:cs="宋体"/>
          <w:b/>
          <w:bCs/>
          <w:color w:val="0000FF"/>
          <w:sz w:val="24"/>
          <w:szCs w:val="24"/>
          <w:highlight w:val="none"/>
          <w:lang w:eastAsia="zh-CN"/>
        </w:rPr>
        <w:t>日</w:t>
      </w:r>
      <w:r>
        <w:rPr>
          <w:rFonts w:hint="eastAsia" w:ascii="宋体" w:hAnsi="宋体" w:cs="宋体"/>
          <w:b/>
          <w:bCs/>
          <w:color w:val="0000FF"/>
          <w:sz w:val="24"/>
          <w:szCs w:val="24"/>
          <w:highlight w:val="none"/>
          <w:lang w:val="en-US" w:eastAsia="zh-CN"/>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07</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03</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下午17:00，进入《内蒙古电力集团电子</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系统》（http://guocai-impc.cppchina.cn）在线报名和下载文件，逾期不予受理。</w:t>
      </w:r>
    </w:p>
    <w:bookmarkEnd w:id="1"/>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（1）具体流程为：登录平台（未注册用户请先免费注册）→在报名管理界面查看最新采购项目→投标人报名提交报名资料→等待审核→审核通过后→投标人下载招标文件。平台联系电话：400-9913-966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名单位须凭【中招互连】APP办理项目后续电子响应事宜，之前未进行注册【中招互连】APP的企业需要登录内蒙古电力集团电子采购系统，点击首页扫码下载【中招互连】APP，根据提示即可在线办理相关事宜，后续所有流程全部扫码登录，扫码签章，扫码加密，扫码解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注：扫码登录，扫码签章，扫码加密，扫码解密， 登录 APP 的手机号必须保持一致。</w:t>
      </w:r>
    </w:p>
    <w:p>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pPr>
        <w:pStyle w:val="14"/>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pPr>
        <w:pStyle w:val="7"/>
        <w:numPr>
          <w:ilvl w:val="0"/>
          <w:numId w:val="2"/>
        </w:numPr>
        <w:shd w:val="clear" w:color="auto" w:fill="FFFFFF"/>
        <w:spacing w:before="0" w:beforeAutospacing="0" w:after="0" w:afterAutospacing="0" w:line="360" w:lineRule="auto"/>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需将上述材料扫描件上传至“内蒙古电力集团电子商务系统”内。</w:t>
      </w:r>
    </w:p>
    <w:p>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1、电子响应文件请于响应截止时间之前上传到“内蒙古电力集团电子采购系统”，响应截止时间后上传的响应文件恕不接收。本项目采用远程评审方式，不接收纸质响应文件，逾期送达的响应文件，“内蒙古电力集团电子采购系统”将不予接收。</w:t>
      </w:r>
    </w:p>
    <w:p>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2、供应商对网上递交的响应文件应加密。登录[中招互联]：APP对响应文件进行加密功能（如果供应商使用 A 手机号码对响应文件进行了扫码解密），必须需要使用A手机号码进行扫码解密，才能读取或导入响应文件。</w:t>
      </w:r>
    </w:p>
    <w:p>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06月28日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07月05日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07 月 05日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07 月 05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07月 05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pPr>
        <w:pStyle w:val="15"/>
        <w:spacing w:line="360" w:lineRule="auto"/>
        <w:ind w:firstLine="480" w:firstLineChars="200"/>
        <w:rPr>
          <w:rFonts w:hint="eastAsia" w:ascii="宋体" w:hAnsi="宋体" w:eastAsia="宋体" w:cs="宋体"/>
        </w:rPr>
      </w:pPr>
      <w:r>
        <w:rPr>
          <w:rFonts w:hint="eastAsia" w:ascii="宋体" w:hAnsi="宋体" w:eastAsia="宋体" w:cs="宋体"/>
        </w:rPr>
        <w:t>远程解密：投标人于递交投标文件截止时间在原单位使用原上传文件电脑在“网上开标”界面，点击“进开标厅”按钮，在该界面进行投标文件的远程解密。届时请持上传文件时所使用的数字证书（CA证书）提前30分钟等候在电脑前准备参加文件解密（投标人需保持电脑网络通畅）。</w:t>
      </w:r>
    </w:p>
    <w:p>
      <w:pPr>
        <w:pStyle w:val="15"/>
        <w:spacing w:line="360" w:lineRule="auto"/>
        <w:ind w:firstLine="480" w:firstLineChars="200"/>
        <w:rPr>
          <w:rFonts w:hint="eastAsia" w:ascii="宋体" w:hAnsi="宋体" w:eastAsia="宋体" w:cs="宋体"/>
        </w:rPr>
      </w:pPr>
      <w:r>
        <w:rPr>
          <w:rFonts w:hint="eastAsia" w:ascii="宋体" w:hAnsi="宋体" w:eastAsia="宋体" w:cs="宋体"/>
        </w:rPr>
        <w:t>请投标人按公告时间及时参与相关签到、解密及确认工作，签到、解密及确认过程中有任何问题请及时联系技术支持解决（电话：400-9913-966，周一至周日，8点30至20点30时），因投标人原因未在规定时间内解密投标文件，视为投标人撤销其投标文件。</w:t>
      </w:r>
    </w:p>
    <w:p>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pPr>
        <w:wordWrap w:val="0"/>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本次公告在《内蒙古电力集团电子采购系统》（http://guocai-impc.cppchina.cn）、《中国招标投标公共服务平台》（www.cebpubservice.com）、《内蒙古招标投标公共服务平台》（http://zbgg.nmgztb.com.cn/）同时发布，其它媒介转发无效。</w:t>
      </w:r>
    </w:p>
    <w:p>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pPr>
        <w:pStyle w:val="16"/>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pPr>
        <w:pStyle w:val="16"/>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pPr>
        <w:pStyle w:val="16"/>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pPr>
        <w:pStyle w:val="16"/>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pPr>
        <w:pStyle w:val="9"/>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pPr>
        <w:pStyle w:val="16"/>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pPr>
        <w:widowControl/>
        <w:tabs>
          <w:tab w:val="left" w:pos="2625"/>
        </w:tabs>
        <w:spacing w:line="520" w:lineRule="exact"/>
        <w:ind w:firstLine="480" w:firstLineChars="200"/>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pPr>
        <w:spacing w:line="360" w:lineRule="auto"/>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03C"/>
    <w:multiLevelType w:val="singleLevel"/>
    <w:tmpl w:val="B567703C"/>
    <w:lvl w:ilvl="0" w:tentative="0">
      <w:start w:val="1"/>
      <w:numFmt w:val="decimal"/>
      <w:suff w:val="nothing"/>
      <w:lvlText w:val="（%1）"/>
      <w:lvlJc w:val="left"/>
    </w:lvl>
  </w:abstractNum>
  <w:abstractNum w:abstractNumId="1">
    <w:nsid w:val="12E1755A"/>
    <w:multiLevelType w:val="singleLevel"/>
    <w:tmpl w:val="12E175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5C570FB3"/>
    <w:rsid w:val="0A6E0560"/>
    <w:rsid w:val="21D40F5A"/>
    <w:rsid w:val="3A667F7C"/>
    <w:rsid w:val="4197533F"/>
    <w:rsid w:val="4DE519FB"/>
    <w:rsid w:val="5C57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Times New Roman" w:cs="Times New Roman"/>
      <w:sz w:val="22"/>
      <w:lang w:val="en-US" w:eastAsia="zh-CN" w:bidi="ar-SA"/>
    </w:rPr>
  </w:style>
  <w:style w:type="paragraph" w:styleId="3">
    <w:name w:val="Normal Indent"/>
    <w:basedOn w:val="1"/>
    <w:next w:val="1"/>
    <w:qFormat/>
    <w:uiPriority w:val="0"/>
    <w:pPr>
      <w:widowControl/>
      <w:ind w:firstLine="420"/>
      <w:jc w:val="left"/>
    </w:pPr>
    <w:rPr>
      <w:kern w:val="0"/>
      <w:sz w:val="20"/>
      <w:szCs w:val="20"/>
    </w:rPr>
  </w:style>
  <w:style w:type="paragraph" w:styleId="4">
    <w:name w:val="Body Text"/>
    <w:basedOn w:val="1"/>
    <w:qFormat/>
    <w:uiPriority w:val="0"/>
    <w:pPr>
      <w:spacing w:after="120" w:afterLines="0"/>
    </w:pPr>
  </w:style>
  <w:style w:type="paragraph" w:styleId="5">
    <w:name w:val="Body Text Indent"/>
    <w:basedOn w:val="1"/>
    <w:next w:val="6"/>
    <w:qFormat/>
    <w:uiPriority w:val="0"/>
    <w:pPr>
      <w:spacing w:line="360" w:lineRule="auto"/>
      <w:ind w:left="42" w:leftChars="20"/>
    </w:pPr>
    <w:rPr>
      <w:rFonts w:eastAsia="宋体"/>
      <w:sz w:val="24"/>
      <w:szCs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w:basedOn w:val="4"/>
    <w:next w:val="1"/>
    <w:qFormat/>
    <w:uiPriority w:val="0"/>
    <w:pPr>
      <w:ind w:firstLine="420"/>
    </w:pPr>
    <w:rPr>
      <w:rFonts w:ascii="Times New Roman" w:hAnsi="Times New Roman" w:eastAsia="宋体" w:cs="Times New Roman"/>
      <w:sz w:val="28"/>
    </w:rPr>
  </w:style>
  <w:style w:type="paragraph" w:styleId="9">
    <w:name w:val="Body Text First Indent 2"/>
    <w:basedOn w:val="5"/>
    <w:next w:val="8"/>
    <w:qFormat/>
    <w:uiPriority w:val="0"/>
    <w:pPr>
      <w:spacing w:after="120" w:afterLines="0" w:line="240" w:lineRule="auto"/>
      <w:ind w:left="420" w:leftChars="200" w:firstLine="420" w:firstLineChars="200"/>
    </w:pPr>
    <w:rPr>
      <w:rFonts w:ascii="Times New Roman" w:hAnsi="Times New Roman"/>
      <w:sz w:val="21"/>
      <w:szCs w:val="24"/>
    </w:rPr>
  </w:style>
  <w:style w:type="paragraph" w:customStyle="1" w:styleId="12">
    <w:name w:val="BodyText1I2"/>
    <w:basedOn w:val="13"/>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3">
    <w:name w:val="BodyTextIndent"/>
    <w:basedOn w:val="1"/>
    <w:qFormat/>
    <w:uiPriority w:val="0"/>
    <w:pPr>
      <w:snapToGrid w:val="0"/>
      <w:spacing w:line="500" w:lineRule="atLeast"/>
      <w:ind w:firstLine="480"/>
    </w:pPr>
    <w:rPr>
      <w:rFonts w:ascii="宋体" w:hAnsi="CG Times"/>
      <w:sz w:val="24"/>
      <w:lang w:val="zh-CN"/>
    </w:rPr>
  </w:style>
  <w:style w:type="paragraph" w:customStyle="1" w:styleId="14">
    <w:name w:val="列出段落11"/>
    <w:basedOn w:val="1"/>
    <w:qFormat/>
    <w:uiPriority w:val="34"/>
    <w:pPr>
      <w:ind w:firstLine="420" w:firstLineChars="200"/>
    </w:pPr>
    <w:rPr>
      <w:rFonts w:ascii="Calibri" w:hAnsi="Calibri"/>
      <w:szCs w:val="20"/>
    </w:rPr>
  </w:style>
  <w:style w:type="paragraph" w:customStyle="1" w:styleId="15">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2024-06-27T09:45:00Z</dcterms:created>
  <dc:creator>WPS_1496299590</dc:creator>
  <cp:lastModifiedBy>WPS_1496299590</cp:lastModifiedBy>
  <dcterms:modified xsi:type="dcterms:W3CDTF">2024-06-28T07:37:10Z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8A65E7194EAF4D09A790990D0F64B119_11</vt:lpwstr>
  </property>
</Properties>
</file>