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336"/>
      </w:tblGrid>
      <w:tr w14:paraId="7CD1C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66C7D991">
            <w:pPr>
              <w:widowControl/>
              <w:spacing w:line="675" w:lineRule="atLeast"/>
              <w:ind w:firstLine="630"/>
              <w:jc w:val="center"/>
              <w:rPr>
                <w:rStyle w:val="3"/>
                <w:rFonts w:ascii="宋体" w:hAnsi="宋体" w:cs="宋体"/>
                <w:b w:val="0"/>
                <w:bCs w:val="0"/>
                <w:i w:val="0"/>
                <w:iCs w:val="0"/>
                <w:smallCaps w:val="0"/>
                <w:kern w:val="0"/>
                <w:sz w:val="27"/>
                <w:szCs w:val="27"/>
              </w:rPr>
            </w:pPr>
            <w:bookmarkStart w:id="0" w:name="_GoBack"/>
            <w:r>
              <w:rPr>
                <w:rStyle w:val="3"/>
                <w:rFonts w:ascii="宋体" w:hAnsi="宋体" w:cs="宋体"/>
                <w:b/>
                <w:bCs/>
                <w:i w:val="0"/>
                <w:iCs w:val="0"/>
                <w:smallCaps w:val="0"/>
                <w:kern w:val="0"/>
                <w:sz w:val="27"/>
                <w:szCs w:val="27"/>
              </w:rPr>
              <w:t>贵港市覃塘区石卡高级中学综合教学楼、实验楼、2#学生宿舍楼项目施工招标公告</w:t>
            </w:r>
            <w:bookmarkEnd w:id="0"/>
          </w:p>
        </w:tc>
      </w:tr>
      <w:tr w14:paraId="754C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6F33F9D1">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1.招标条件</w:t>
            </w:r>
          </w:p>
        </w:tc>
      </w:tr>
      <w:tr w14:paraId="4203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7BCF1C68">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本招标项目</w:t>
            </w:r>
            <w:r>
              <w:rPr>
                <w:rStyle w:val="3"/>
                <w:rFonts w:ascii="宋体" w:hAnsi="宋体" w:cs="宋体"/>
                <w:b/>
                <w:bCs/>
                <w:i w:val="0"/>
                <w:iCs w:val="0"/>
                <w:smallCaps w:val="0"/>
                <w:kern w:val="0"/>
                <w:sz w:val="27"/>
                <w:szCs w:val="27"/>
              </w:rPr>
              <w:t>贵港市覃塘区石卡高级中学综合教学楼、实验楼、2#学生宿舍楼项目</w:t>
            </w:r>
            <w:r>
              <w:rPr>
                <w:rStyle w:val="3"/>
                <w:rFonts w:ascii="宋体" w:hAnsi="宋体" w:cs="宋体"/>
                <w:b w:val="0"/>
                <w:bCs w:val="0"/>
                <w:i w:val="0"/>
                <w:iCs w:val="0"/>
                <w:smallCaps w:val="0"/>
                <w:kern w:val="0"/>
                <w:sz w:val="27"/>
                <w:szCs w:val="27"/>
              </w:rPr>
              <w:t xml:space="preserve"> 已由</w:t>
            </w:r>
            <w:r>
              <w:rPr>
                <w:rStyle w:val="3"/>
                <w:rFonts w:ascii="宋体" w:hAnsi="宋体" w:cs="宋体"/>
                <w:b/>
                <w:bCs/>
                <w:i w:val="0"/>
                <w:iCs w:val="0"/>
                <w:smallCaps w:val="0"/>
                <w:kern w:val="0"/>
                <w:sz w:val="27"/>
                <w:szCs w:val="27"/>
              </w:rPr>
              <w:t>覃塘区发展和改革局办公室</w:t>
            </w:r>
            <w:r>
              <w:rPr>
                <w:rStyle w:val="3"/>
                <w:rFonts w:ascii="宋体" w:hAnsi="宋体" w:cs="宋体"/>
                <w:b w:val="0"/>
                <w:bCs w:val="0"/>
                <w:i w:val="0"/>
                <w:iCs w:val="0"/>
                <w:smallCaps w:val="0"/>
                <w:kern w:val="0"/>
                <w:sz w:val="27"/>
                <w:szCs w:val="27"/>
              </w:rPr>
              <w:t>以覃发改社会【2021】55号批准建设。 招标人为</w:t>
            </w:r>
            <w:r>
              <w:rPr>
                <w:rStyle w:val="3"/>
                <w:rFonts w:ascii="宋体" w:hAnsi="宋体" w:cs="宋体"/>
                <w:b/>
                <w:bCs/>
                <w:i w:val="0"/>
                <w:iCs w:val="0"/>
                <w:smallCaps w:val="0"/>
                <w:kern w:val="0"/>
                <w:sz w:val="27"/>
                <w:szCs w:val="27"/>
              </w:rPr>
              <w:t>贵港市覃塘区石卡高级中学</w:t>
            </w:r>
            <w:r>
              <w:rPr>
                <w:rStyle w:val="3"/>
                <w:rFonts w:ascii="宋体" w:hAnsi="宋体" w:cs="宋体"/>
                <w:b w:val="0"/>
                <w:bCs w:val="0"/>
                <w:i w:val="0"/>
                <w:iCs w:val="0"/>
                <w:smallCaps w:val="0"/>
                <w:kern w:val="0"/>
                <w:sz w:val="27"/>
                <w:szCs w:val="27"/>
              </w:rPr>
              <w:t>, 建设资金来自</w:t>
            </w:r>
            <w:r>
              <w:rPr>
                <w:rStyle w:val="3"/>
                <w:rFonts w:ascii="宋体" w:hAnsi="宋体" w:cs="宋体"/>
                <w:b/>
                <w:bCs/>
                <w:i w:val="0"/>
                <w:iCs w:val="0"/>
                <w:smallCaps w:val="0"/>
                <w:kern w:val="0"/>
                <w:sz w:val="27"/>
                <w:szCs w:val="27"/>
              </w:rPr>
              <w:t>财政资金</w:t>
            </w:r>
            <w:r>
              <w:rPr>
                <w:rStyle w:val="3"/>
                <w:rFonts w:ascii="宋体" w:hAnsi="宋体" w:cs="宋体"/>
                <w:b w:val="0"/>
                <w:bCs w:val="0"/>
                <w:i w:val="0"/>
                <w:iCs w:val="0"/>
                <w:smallCaps w:val="0"/>
                <w:kern w:val="0"/>
                <w:sz w:val="27"/>
                <w:szCs w:val="27"/>
              </w:rPr>
              <w:t xml:space="preserve"> ，项目出资比例为： </w:t>
            </w:r>
          </w:p>
        </w:tc>
      </w:tr>
      <w:tr w14:paraId="5A033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14"/>
              <w:gridCol w:w="1825"/>
              <w:gridCol w:w="838"/>
              <w:gridCol w:w="1624"/>
              <w:gridCol w:w="1033"/>
              <w:gridCol w:w="572"/>
            </w:tblGrid>
            <w:tr w14:paraId="7D34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6" w:space="0"/>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079BE04C">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国有资金</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57198F76">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0.0万元</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0513778A">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50C44858">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私有资金</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299403E6">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0.0万元</w:t>
                  </w:r>
                </w:p>
              </w:tc>
              <w:tc>
                <w:tcPr>
                  <w:tcW w:w="0" w:type="auto"/>
                  <w:tcBorders>
                    <w:top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0759C8C4">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w:t>
                  </w:r>
                </w:p>
              </w:tc>
            </w:tr>
            <w:tr w14:paraId="5876B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69787C61">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外国政府及组织投资</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07BB37DA">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11ADD7CF">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66DED9EA">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境外私人投资</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7A06C81E">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6C5C15FB">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w:t>
                  </w:r>
                </w:p>
              </w:tc>
            </w:tr>
            <w:tr w14:paraId="254C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auto" w:sz="6" w:space="0"/>
                    <w:bottom w:val="single" w:color="808080" w:sz="6" w:space="0"/>
                    <w:right w:val="single" w:color="808080" w:sz="6" w:space="0"/>
                  </w:tcBorders>
                  <w:noWrap w:val="0"/>
                  <w:tcMar>
                    <w:top w:w="15" w:type="dxa"/>
                    <w:left w:w="15" w:type="dxa"/>
                    <w:bottom w:w="15" w:type="dxa"/>
                    <w:right w:w="15" w:type="dxa"/>
                  </w:tcMar>
                  <w:vAlign w:val="center"/>
                </w:tcPr>
                <w:p w14:paraId="2732D859">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财政资金</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512D2F15">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2111.4894万元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4C8E82ED">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100.0%</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1A0594CF">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其他</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552D5099">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0.0万元</w:t>
                  </w:r>
                </w:p>
              </w:tc>
              <w:tc>
                <w:tcPr>
                  <w:tcW w:w="0" w:type="auto"/>
                  <w:tcBorders>
                    <w:bottom w:val="single" w:color="808080" w:sz="6" w:space="0"/>
                    <w:right w:val="single" w:color="808080" w:sz="6" w:space="0"/>
                  </w:tcBorders>
                  <w:noWrap w:val="0"/>
                  <w:tcMar>
                    <w:top w:w="15" w:type="dxa"/>
                    <w:left w:w="15" w:type="dxa"/>
                    <w:bottom w:w="15" w:type="dxa"/>
                    <w:right w:w="15" w:type="dxa"/>
                  </w:tcMar>
                  <w:vAlign w:val="center"/>
                </w:tcPr>
                <w:p w14:paraId="4619AFBF">
                  <w:pPr>
                    <w:widowControl/>
                    <w:spacing w:line="270" w:lineRule="atLeast"/>
                    <w:jc w:val="center"/>
                    <w:rPr>
                      <w:rStyle w:val="3"/>
                      <w:rFonts w:ascii="宋体" w:hAnsi="宋体" w:cs="宋体"/>
                      <w:b w:val="0"/>
                      <w:bCs w:val="0"/>
                      <w:i w:val="0"/>
                      <w:iCs w:val="0"/>
                      <w:smallCaps w:val="0"/>
                      <w:kern w:val="0"/>
                      <w:sz w:val="18"/>
                      <w:szCs w:val="18"/>
                    </w:rPr>
                  </w:pPr>
                  <w:r>
                    <w:rPr>
                      <w:rStyle w:val="3"/>
                      <w:rFonts w:ascii="宋体" w:hAnsi="宋体" w:cs="宋体"/>
                      <w:b/>
                      <w:bCs/>
                      <w:i w:val="0"/>
                      <w:iCs w:val="0"/>
                      <w:smallCaps w:val="0"/>
                      <w:kern w:val="0"/>
                      <w:sz w:val="18"/>
                      <w:szCs w:val="18"/>
                    </w:rPr>
                    <w:t>0.0%</w:t>
                  </w:r>
                </w:p>
              </w:tc>
            </w:tr>
          </w:tbl>
          <w:p w14:paraId="47222436">
            <w:pPr>
              <w:widowControl w:val="0"/>
              <w:jc w:val="both"/>
              <w:rPr>
                <w:rStyle w:val="3"/>
                <w:rFonts w:ascii="宋体" w:hAnsi="宋体" w:cs="宋体"/>
                <w:b w:val="0"/>
                <w:bCs w:val="0"/>
                <w:i w:val="0"/>
                <w:iCs w:val="0"/>
                <w:smallCaps w:val="0"/>
                <w:kern w:val="0"/>
                <w:sz w:val="27"/>
                <w:szCs w:val="27"/>
              </w:rPr>
            </w:pPr>
          </w:p>
        </w:tc>
      </w:tr>
      <w:tr w14:paraId="1ABD9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60F79A7E">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项目已具备招标条件，现对该项目的施工进行公开招标。</w:t>
            </w:r>
          </w:p>
        </w:tc>
      </w:tr>
      <w:tr w14:paraId="491E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2FC8FBD4">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2.项目概况与招标范围</w:t>
            </w:r>
          </w:p>
        </w:tc>
      </w:tr>
      <w:tr w14:paraId="6913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004F85C5">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项目招标编号：</w:t>
            </w:r>
            <w:r>
              <w:rPr>
                <w:rStyle w:val="3"/>
                <w:rFonts w:ascii="宋体" w:hAnsi="宋体" w:cs="宋体"/>
                <w:b/>
                <w:bCs/>
                <w:i w:val="0"/>
                <w:iCs w:val="0"/>
                <w:smallCaps w:val="0"/>
                <w:kern w:val="0"/>
                <w:sz w:val="27"/>
                <w:szCs w:val="27"/>
              </w:rPr>
              <w:t>E4508002851003885001</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报建号（如有）：</w:t>
            </w:r>
            <w:r>
              <w:rPr>
                <w:rStyle w:val="3"/>
                <w:rFonts w:ascii="宋体" w:hAnsi="宋体" w:cs="宋体"/>
                <w:b/>
                <w:bCs/>
                <w:i w:val="0"/>
                <w:iCs w:val="0"/>
                <w:smallCaps w:val="0"/>
                <w:kern w:val="0"/>
                <w:sz w:val="27"/>
                <w:szCs w:val="27"/>
              </w:rPr>
              <w:t>无</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建设地点：</w:t>
            </w:r>
            <w:r>
              <w:rPr>
                <w:rStyle w:val="3"/>
                <w:rFonts w:ascii="宋体" w:hAnsi="宋体" w:cs="宋体"/>
                <w:b/>
                <w:bCs/>
                <w:i w:val="0"/>
                <w:iCs w:val="0"/>
                <w:smallCaps w:val="0"/>
                <w:kern w:val="0"/>
                <w:sz w:val="27"/>
                <w:szCs w:val="27"/>
              </w:rPr>
              <w:t>覃塘区石卡高级中学校园内</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建设规模：</w:t>
            </w:r>
            <w:r>
              <w:rPr>
                <w:rStyle w:val="3"/>
                <w:rFonts w:ascii="宋体" w:hAnsi="宋体" w:cs="宋体"/>
                <w:b/>
                <w:bCs/>
                <w:i w:val="0"/>
                <w:iCs w:val="0"/>
                <w:smallCaps w:val="0"/>
                <w:kern w:val="0"/>
                <w:sz w:val="27"/>
                <w:szCs w:val="27"/>
              </w:rPr>
              <w:t>三栋楼房拟建总建筑面积9885平方米,其中综合教学楼5732平方米，2#学生宿舍楼2634平方米，实验楼1520平方米，结构形式为现浇钢筋混凝土框架结构。建设内容包括：土建工程：地基处理、基础（含土方）、主体、装修；安装工程：电气、给排水工程。</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合同估算价：</w:t>
            </w:r>
            <w:r>
              <w:rPr>
                <w:rStyle w:val="3"/>
                <w:rFonts w:ascii="宋体" w:hAnsi="宋体" w:cs="宋体"/>
                <w:b/>
                <w:bCs/>
                <w:i w:val="0"/>
                <w:iCs w:val="0"/>
                <w:smallCaps w:val="0"/>
                <w:kern w:val="0"/>
                <w:sz w:val="27"/>
                <w:szCs w:val="27"/>
              </w:rPr>
              <w:t>2111.48万元</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要求工期：</w:t>
            </w:r>
            <w:r>
              <w:rPr>
                <w:rStyle w:val="3"/>
                <w:rFonts w:ascii="宋体" w:hAnsi="宋体" w:cs="宋体"/>
                <w:b/>
                <w:bCs/>
                <w:i w:val="0"/>
                <w:iCs w:val="0"/>
                <w:smallCaps w:val="0"/>
                <w:kern w:val="0"/>
                <w:sz w:val="27"/>
                <w:szCs w:val="27"/>
              </w:rPr>
              <w:t>352</w:t>
            </w:r>
            <w:r>
              <w:rPr>
                <w:rStyle w:val="3"/>
                <w:rFonts w:ascii="宋体" w:hAnsi="宋体" w:cs="宋体"/>
                <w:b w:val="0"/>
                <w:bCs w:val="0"/>
                <w:i w:val="0"/>
                <w:iCs w:val="0"/>
                <w:smallCaps w:val="0"/>
                <w:kern w:val="0"/>
                <w:sz w:val="27"/>
                <w:szCs w:val="27"/>
              </w:rPr>
              <w:t>日历天，定额工期</w:t>
            </w:r>
            <w:r>
              <w:rPr>
                <w:rStyle w:val="3"/>
                <w:rFonts w:ascii="宋体" w:hAnsi="宋体" w:cs="宋体"/>
                <w:b/>
                <w:bCs/>
                <w:i w:val="0"/>
                <w:iCs w:val="0"/>
                <w:smallCaps w:val="0"/>
                <w:kern w:val="0"/>
                <w:sz w:val="27"/>
                <w:szCs w:val="27"/>
              </w:rPr>
              <w:t>352</w:t>
            </w:r>
            <w:r>
              <w:rPr>
                <w:rStyle w:val="3"/>
                <w:rFonts w:ascii="宋体" w:hAnsi="宋体" w:cs="宋体"/>
                <w:b w:val="0"/>
                <w:bCs w:val="0"/>
                <w:i w:val="0"/>
                <w:iCs w:val="0"/>
                <w:smallCaps w:val="0"/>
                <w:kern w:val="0"/>
                <w:sz w:val="27"/>
                <w:szCs w:val="27"/>
              </w:rPr>
              <w:t xml:space="preserve">日历天 </w:t>
            </w:r>
            <w:r>
              <w:rPr>
                <w:rStyle w:val="3"/>
                <w:rFonts w:ascii="宋体" w:hAnsi="宋体" w:cs="宋体"/>
                <w:b/>
                <w:bCs/>
                <w:i w:val="0"/>
                <w:iCs w:val="0"/>
                <w:smallCaps w:val="0"/>
                <w:kern w:val="0"/>
                <w:sz w:val="27"/>
                <w:szCs w:val="27"/>
              </w:rPr>
              <w:t>【备注：建筑安装工程定额工期应按《建筑安装工程工期定额（TY01-89-2016）》确定，工期压缩时，宜组织专家论证，且在招标工程量清单中增设提前竣工（赶工补偿）费项目清单】。</w:t>
            </w:r>
            <w:r>
              <w:rPr>
                <w:rStyle w:val="3"/>
                <w:rFonts w:ascii="宋体" w:hAnsi="宋体" w:cs="宋体"/>
                <w:b/>
                <w:bCs/>
                <w:i w:val="0"/>
                <w:iCs w:val="0"/>
                <w:smallCaps w:val="0"/>
                <w:kern w:val="0"/>
                <w:sz w:val="27"/>
                <w:szCs w:val="27"/>
              </w:rPr>
              <w:br w:type="textWrapping"/>
            </w:r>
            <w:r>
              <w:rPr>
                <w:rStyle w:val="3"/>
                <w:rFonts w:ascii="宋体" w:hAnsi="宋体" w:cs="宋体"/>
                <w:b w:val="0"/>
                <w:bCs w:val="0"/>
                <w:i w:val="0"/>
                <w:iCs w:val="0"/>
                <w:smallCaps w:val="0"/>
                <w:kern w:val="0"/>
                <w:sz w:val="27"/>
                <w:szCs w:val="27"/>
              </w:rPr>
              <w:t>    招标范围：</w:t>
            </w:r>
            <w:r>
              <w:rPr>
                <w:rStyle w:val="3"/>
                <w:rFonts w:ascii="宋体" w:hAnsi="宋体" w:cs="宋体"/>
                <w:b/>
                <w:bCs/>
                <w:i w:val="0"/>
                <w:iCs w:val="0"/>
                <w:smallCaps w:val="0"/>
                <w:kern w:val="0"/>
                <w:sz w:val="27"/>
                <w:szCs w:val="27"/>
              </w:rPr>
              <w:t>详见经评审后的施工图纸及工程量清单。</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标段划分：</w:t>
            </w:r>
            <w:r>
              <w:rPr>
                <w:rStyle w:val="3"/>
                <w:rFonts w:ascii="宋体" w:hAnsi="宋体" w:cs="宋体"/>
                <w:b/>
                <w:bCs/>
                <w:i w:val="0"/>
                <w:iCs w:val="0"/>
                <w:smallCaps w:val="0"/>
                <w:kern w:val="0"/>
                <w:sz w:val="27"/>
                <w:szCs w:val="27"/>
              </w:rPr>
              <w:t>标段(包)编号：E4508002851003885001001，标段(包)名称：贵港市覃塘区石卡高级中学综合教学楼、实验楼、2#学生宿舍楼项目</w:t>
            </w:r>
            <w:r>
              <w:rPr>
                <w:rStyle w:val="3"/>
                <w:rFonts w:ascii="宋体" w:hAnsi="宋体" w:cs="宋体"/>
                <w:b w:val="0"/>
                <w:bCs w:val="0"/>
                <w:i w:val="0"/>
                <w:iCs w:val="0"/>
                <w:smallCaps w:val="0"/>
                <w:kern w:val="0"/>
                <w:sz w:val="27"/>
                <w:szCs w:val="27"/>
              </w:rPr>
              <w:t xml:space="preserve">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设计单位：</w:t>
            </w:r>
            <w:r>
              <w:rPr>
                <w:rStyle w:val="3"/>
                <w:rFonts w:ascii="宋体" w:hAnsi="宋体" w:cs="宋体"/>
                <w:b/>
                <w:bCs/>
                <w:i w:val="0"/>
                <w:iCs w:val="0"/>
                <w:smallCaps w:val="0"/>
                <w:kern w:val="0"/>
                <w:sz w:val="27"/>
                <w:szCs w:val="27"/>
              </w:rPr>
              <w:t>广西汉华建筑设计有限公司</w:t>
            </w:r>
            <w:r>
              <w:rPr>
                <w:rStyle w:val="3"/>
                <w:rFonts w:ascii="宋体" w:hAnsi="宋体" w:cs="宋体"/>
                <w:b/>
                <w:bCs/>
                <w:i w:val="0"/>
                <w:iCs w:val="0"/>
                <w:smallCaps w:val="0"/>
                <w:kern w:val="0"/>
                <w:sz w:val="27"/>
                <w:szCs w:val="27"/>
              </w:rPr>
              <w:br w:type="textWrapping"/>
            </w:r>
            <w:r>
              <w:rPr>
                <w:rStyle w:val="3"/>
                <w:rFonts w:ascii="宋体" w:hAnsi="宋体" w:cs="宋体"/>
                <w:b w:val="0"/>
                <w:bCs w:val="0"/>
                <w:i w:val="0"/>
                <w:iCs w:val="0"/>
                <w:smallCaps w:val="0"/>
                <w:kern w:val="0"/>
                <w:sz w:val="27"/>
                <w:szCs w:val="27"/>
              </w:rPr>
              <w:t>    勘察单位：</w:t>
            </w:r>
            <w:r>
              <w:rPr>
                <w:rStyle w:val="3"/>
                <w:rFonts w:ascii="宋体" w:hAnsi="宋体" w:cs="宋体"/>
                <w:b/>
                <w:bCs/>
                <w:i w:val="0"/>
                <w:iCs w:val="0"/>
                <w:smallCaps w:val="0"/>
                <w:kern w:val="0"/>
                <w:sz w:val="27"/>
                <w:szCs w:val="27"/>
              </w:rPr>
              <w:t>广西科探勘察设计有限公司、中化（广西）地质勘查有限公司</w:t>
            </w:r>
          </w:p>
        </w:tc>
      </w:tr>
      <w:tr w14:paraId="29F6B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2DDD3C88">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3.投标人资格要求</w:t>
            </w:r>
          </w:p>
        </w:tc>
      </w:tr>
      <w:tr w14:paraId="61FF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533F9564">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xml:space="preserve">    3.1 本次招标要求投标人须已办理“桂建云”入库手续并处于有效状态， 具备建筑工程施工总承包三级（含三级）及以上资质 </w:t>
            </w:r>
            <w:r>
              <w:rPr>
                <w:rStyle w:val="3"/>
                <w:rFonts w:ascii="宋体" w:hAnsi="宋体" w:cs="宋体"/>
                <w:b/>
                <w:bCs/>
                <w:i w:val="0"/>
                <w:iCs w:val="0"/>
                <w:smallCaps w:val="0"/>
                <w:kern w:val="0"/>
                <w:sz w:val="27"/>
                <w:szCs w:val="27"/>
              </w:rPr>
              <w:t xml:space="preserve">【备注：1、招标人应当根据国家法律法规对企业资质等级许可的相关规定以及招标项目特点，合理设置企业资质等级， 不得提高资质等级要求；资质设置为施工总承包已可满足项目建设要求的，不得额外同时设置专业承包资质； 2、轨道交通、隧道、综合管廊、大型桥梁项目招标时，注册地在广西的建筑业企业与区外建筑业企业采用联合体形式参与投标的，联合体资质按最高的企业计取； 3、/】 </w:t>
            </w:r>
            <w:r>
              <w:rPr>
                <w:rStyle w:val="3"/>
                <w:rFonts w:ascii="宋体" w:hAnsi="宋体" w:cs="宋体"/>
                <w:b w:val="0"/>
                <w:bCs w:val="0"/>
                <w:i w:val="0"/>
                <w:iCs w:val="0"/>
                <w:smallCaps w:val="0"/>
                <w:kern w:val="0"/>
                <w:sz w:val="27"/>
                <w:szCs w:val="27"/>
              </w:rPr>
              <w:t xml:space="preserve">，并在人员、设备、资金等方面具备相应的施工能力。 其中，投标人拟派项目经理须具备建筑工程专业贰级以上（含本级）注册建造师执业资格 </w:t>
            </w:r>
            <w:r>
              <w:rPr>
                <w:rStyle w:val="3"/>
                <w:rFonts w:ascii="宋体" w:hAnsi="宋体" w:cs="宋体"/>
                <w:b/>
                <w:bCs/>
                <w:i w:val="0"/>
                <w:iCs w:val="0"/>
                <w:smallCaps w:val="0"/>
                <w:kern w:val="0"/>
                <w:sz w:val="27"/>
                <w:szCs w:val="27"/>
              </w:rPr>
              <w:t>【备注：招标人应当根据项目规模，按照注册建造师执业工程规模标准，合理设置注册建造师等级，不应提高资格要求】</w:t>
            </w:r>
            <w:r>
              <w:rPr>
                <w:rStyle w:val="3"/>
                <w:rFonts w:ascii="宋体" w:hAnsi="宋体" w:cs="宋体"/>
                <w:b w:val="0"/>
                <w:bCs w:val="0"/>
                <w:i w:val="0"/>
                <w:iCs w:val="0"/>
                <w:smallCaps w:val="0"/>
                <w:kern w:val="0"/>
                <w:sz w:val="27"/>
                <w:szCs w:val="27"/>
              </w:rPr>
              <w:t xml:space="preserve"> ，已录入桂建云并处于有效状态，具备有效的安全生产考核合格证书（B类）。 本项目不接受有在建、已中标未开工或已列为其他项目中标候选人第一名的建造师作为项目经理（符合《广西壮族自治区建筑市场诚信卡管理暂行办法》第十六条第一款及桂建管﹝2016﹞70号、桂建管〔2019〕26号和桂建管〔2020〕11号文除外）。</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xml:space="preserve">    3.2业绩要求： 无要求。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xml:space="preserve">    3.3 本次招标不接受联合体投标。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3.4各投标人可就本招标项目的所有标段进行投标，并允许中标其中所有标段（由招标人事先确定）。 但投标人应就不同标段派出不同的项目经理和项目专职安全生产管理人员，否则同一项目经理或项目专职安全生产管理人员所投其它标段作否决投标处理 （符合桂建管﹝2016﹞70号、桂建管〔2020〕11号文除外）</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xml:space="preserve">     </w:t>
            </w:r>
          </w:p>
        </w:tc>
      </w:tr>
      <w:tr w14:paraId="5FE1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7F8977A6">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xml:space="preserve">    3.5根据最高人民法院等9部门《关于在招标投标活动中对失信被执行人实施联合惩戒的通知》（法〔2016〕285号）规定， 投标人（如为联合体时，联合体中有一个或一个以上成员属于失信被执行人的，联合体视为失信被执行人）、 拟派项目经理不得为失信被执行人（以评标阶段通过“信用中国”网站（www.creditchina.gov.cn）查询的结果为准）。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xml:space="preserve">在评标阶段通过全国建筑市场监管公共服务平台（http://jzsc.mohurd.gov.cn/home）查询投标人（如为联合体时，联合体中任一个成员）、 拟派项目经理被列为企业或个人诚信不良、黑名单、失信联合惩戒的，依法对其投标活动予以限制。 </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xml:space="preserve">近三年内投标人或其法定代表人不得有行贿犯罪行为（以评标阶段通过“中国裁判文书”网站（https://wenshu.court.gov.cn）查询结果为准）。 </w:t>
            </w:r>
          </w:p>
        </w:tc>
      </w:tr>
      <w:tr w14:paraId="53F98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7E433653">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3.6投标人信息以“桂建云”为准。</w:t>
            </w:r>
          </w:p>
        </w:tc>
      </w:tr>
      <w:tr w14:paraId="5825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2158EEE5">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3.7 本项目属于政府采购工程项目：</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标段为预留份额专门面向中小企业采购的项目，落实政府采购政策需满足的资格要求： 投标人必须为 中小微 企业、监狱企业或者残疾人福利性单位， 大型 企业不得参加。</w:t>
            </w:r>
          </w:p>
        </w:tc>
      </w:tr>
      <w:tr w14:paraId="73587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6A95F459">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4.招标文件的获取</w:t>
            </w:r>
          </w:p>
        </w:tc>
      </w:tr>
      <w:tr w14:paraId="1E77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63EAA7C6">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w:t>
            </w:r>
            <w:r>
              <w:rPr>
                <w:rFonts w:hint="eastAsia" w:ascii="宋体" w:hAnsi="宋体" w:eastAsia="宋体" w:cs="宋体"/>
                <w:color w:val="333333"/>
                <w:sz w:val="27"/>
                <w:szCs w:val="27"/>
                <w:bdr w:val="none" w:color="auto" w:sz="0" w:space="0"/>
              </w:rPr>
              <w:t>请于2024年10月15日 17时31分至投标文件递交的截止时间止（不少于20日），由潜在投标人登录全国公共资源交易平台（广西·贵港）免费下载招标文件</w:t>
            </w:r>
            <w:r>
              <w:rPr>
                <w:rStyle w:val="3"/>
                <w:rFonts w:ascii="宋体" w:hAnsi="宋体" w:cs="宋体"/>
                <w:b w:val="0"/>
                <w:bCs w:val="0"/>
                <w:i w:val="0"/>
                <w:iCs w:val="0"/>
                <w:smallCaps w:val="0"/>
                <w:kern w:val="0"/>
                <w:sz w:val="27"/>
                <w:szCs w:val="27"/>
              </w:rPr>
              <w:t>。</w:t>
            </w:r>
          </w:p>
        </w:tc>
      </w:tr>
      <w:tr w14:paraId="44A89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1C77404B">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5.投标文件的提交及不见面开标说明</w:t>
            </w:r>
          </w:p>
        </w:tc>
      </w:tr>
      <w:tr w14:paraId="1728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49A24CB9">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5.1</w:t>
            </w:r>
            <w:r>
              <w:rPr>
                <w:rFonts w:hint="eastAsia" w:ascii="宋体" w:hAnsi="宋体" w:eastAsia="宋体" w:cs="宋体"/>
                <w:color w:val="333333"/>
                <w:sz w:val="27"/>
                <w:szCs w:val="27"/>
                <w:bdr w:val="none" w:color="auto" w:sz="0" w:space="0"/>
              </w:rPr>
              <w:t>投标文件应通过全国公共资源交易平台（广西壮族自治区）http://ggzy.jgswj.gxzf.gov.cn/提交， 截止时间（投标截止时间，下同）为2024年11月06日09时00分</w:t>
            </w:r>
            <w:r>
              <w:rPr>
                <w:rStyle w:val="3"/>
                <w:rFonts w:ascii="宋体" w:hAnsi="宋体" w:cs="宋体"/>
                <w:b w:val="0"/>
                <w:bCs w:val="0"/>
                <w:i w:val="0"/>
                <w:iCs w:val="0"/>
                <w:smallCaps w:val="0"/>
                <w:kern w:val="0"/>
                <w:sz w:val="27"/>
                <w:szCs w:val="27"/>
              </w:rPr>
              <w:t>。</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5.2 投标人须在投标截止前将加密的投标文件（含弹出的输入框中需填写的专职投标员、拟投入的项目主要管理人员身份证信息）通过全国公共资源交易平台（广西壮族自治区）http://ggzy.jgswj.gxzf.gov.cn/成功上传。 投标截止公布投标人名单后，由招标代理机构点击进入投标人签到、投标文件解密环节，签到、解密时间为60分钟。在签到、解密时间结束前投标人须通过广西壮族自治区网上开标子系统（http://ggggjy.gxgg.gov.cn:18080/BidOpening/bidopeninghallaction/hall/login） 使用专职投标员个人CA锁签到，使用加密投标文件的CA锁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 并通过广西壮族自治区网上开标子系统自动验证有效，否则，视为投标人撤销其投标文件。（注：投标单位在制作电子投标文件过程中，须在弹出的输入框中填写专职投标员及拟投入的项目主要管理人员身份证信息并仔细确认。）投标人拟投入项目经理被标注为注册状态异常的，拟投入的项目经理本人须持本人身份证原件（或公安系统生成的电子身份证）出席开标会现场，否则招标人有权拒绝该投标人投标</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5.3广西壮族自治区网上开标子系统（不见面）登录方式：各投标人使用IE浏览器（IE11版本）打开登录页面（登录地址：http://ggggjy.gxgg.gov.cn:18080/BidOpening/bidopeninghallaction/hall/login），使用CA锁或“桂交易移动CA”登录。使用“桂交易移动CA”投标的操作流程，详见</w:t>
            </w:r>
            <w:r>
              <w:rPr>
                <w:rStyle w:val="3"/>
                <w:rFonts w:ascii="宋体" w:hAnsi="宋体" w:cs="宋体"/>
                <w:b w:val="0"/>
                <w:bCs w:val="0"/>
                <w:i w:val="0"/>
                <w:iCs w:val="0"/>
                <w:smallCaps w:val="0"/>
                <w:kern w:val="0"/>
                <w:sz w:val="27"/>
                <w:szCs w:val="27"/>
              </w:rPr>
              <w:fldChar w:fldCharType="begin"/>
            </w:r>
            <w:r>
              <w:rPr>
                <w:rStyle w:val="3"/>
                <w:rFonts w:ascii="宋体" w:hAnsi="宋体" w:cs="宋体"/>
                <w:b w:val="0"/>
                <w:bCs w:val="0"/>
                <w:i w:val="0"/>
                <w:iCs w:val="0"/>
                <w:smallCaps w:val="0"/>
                <w:kern w:val="0"/>
                <w:sz w:val="27"/>
                <w:szCs w:val="27"/>
              </w:rPr>
              <w:instrText xml:space="preserve"> HYPERLINK "http://ggzy.jgswj.gxzf.gov.cn/gxggzy/gywm/004021/004021001/20211123/185f3a63-1ec6-4c75-a0c9-4aeedfdacda9.html" \t "_blank" </w:instrText>
            </w:r>
            <w:r>
              <w:rPr>
                <w:rStyle w:val="3"/>
                <w:rFonts w:ascii="宋体" w:hAnsi="宋体" w:cs="宋体"/>
                <w:b w:val="0"/>
                <w:bCs w:val="0"/>
                <w:i w:val="0"/>
                <w:iCs w:val="0"/>
                <w:smallCaps w:val="0"/>
                <w:kern w:val="0"/>
                <w:sz w:val="27"/>
                <w:szCs w:val="27"/>
              </w:rPr>
              <w:fldChar w:fldCharType="separate"/>
            </w:r>
            <w:r>
              <w:rPr>
                <w:rStyle w:val="3"/>
                <w:rFonts w:ascii="宋体" w:hAnsi="宋体" w:cs="宋体"/>
                <w:b w:val="0"/>
                <w:bCs w:val="0"/>
                <w:i w:val="0"/>
                <w:iCs w:val="0"/>
                <w:smallCaps w:val="0"/>
                <w:color w:val="0000EE"/>
                <w:kern w:val="0"/>
                <w:sz w:val="27"/>
                <w:szCs w:val="27"/>
                <w:u w:val="single"/>
              </w:rPr>
              <w:t>“桂交易移动CA”APP下载</w:t>
            </w:r>
            <w:r>
              <w:rPr>
                <w:rStyle w:val="3"/>
                <w:rFonts w:ascii="宋体" w:hAnsi="宋体" w:cs="宋体"/>
                <w:b w:val="0"/>
                <w:bCs w:val="0"/>
                <w:i w:val="0"/>
                <w:iCs w:val="0"/>
                <w:smallCaps w:val="0"/>
                <w:color w:val="0000EE"/>
                <w:kern w:val="0"/>
                <w:sz w:val="27"/>
                <w:szCs w:val="27"/>
                <w:u w:val="single"/>
              </w:rPr>
              <w:fldChar w:fldCharType="end"/>
            </w:r>
            <w:r>
              <w:rPr>
                <w:rStyle w:val="3"/>
                <w:rFonts w:ascii="宋体" w:hAnsi="宋体" w:cs="宋体"/>
                <w:b w:val="0"/>
                <w:bCs w:val="0"/>
                <w:i w:val="0"/>
                <w:iCs w:val="0"/>
                <w:smallCaps w:val="0"/>
                <w:color w:val="0000EE"/>
                <w:kern w:val="0"/>
                <w:sz w:val="27"/>
                <w:szCs w:val="27"/>
                <w:u w:val="single"/>
              </w:rPr>
              <w:br w:type="textWrapping"/>
            </w:r>
            <w:r>
              <w:rPr>
                <w:rStyle w:val="3"/>
                <w:rFonts w:ascii="宋体" w:hAnsi="宋体" w:cs="宋体"/>
                <w:b w:val="0"/>
                <w:bCs w:val="0"/>
                <w:i w:val="0"/>
                <w:iCs w:val="0"/>
                <w:smallCaps w:val="0"/>
                <w:kern w:val="0"/>
                <w:sz w:val="27"/>
                <w:szCs w:val="27"/>
              </w:rPr>
              <w:t xml:space="preserve">    5.4以“桂交易移动CA”制作的投标文件，只能用生成投标文件时加密投标文件的“桂交易移动CA”证书解密。以CA锁制作的投标文件，只能用生成投标文件时加密投标文件CA证书解密。 </w:t>
            </w:r>
          </w:p>
        </w:tc>
      </w:tr>
      <w:tr w14:paraId="1E90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3E37B385">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6.评标方式</w:t>
            </w:r>
          </w:p>
        </w:tc>
      </w:tr>
      <w:tr w14:paraId="55B71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11867E27">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本次招标贵港市覃塘区石卡高级中学综合教学楼、实验楼、2#学生宿舍楼项目采用综合评估法</w:t>
            </w:r>
          </w:p>
        </w:tc>
      </w:tr>
      <w:tr w14:paraId="724F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6A643F5E">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7.预付款和进度款支付方式</w:t>
            </w:r>
          </w:p>
        </w:tc>
      </w:tr>
      <w:tr w14:paraId="615A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16015350">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预付款支付比例或金额：合同总价的30%【备注：政府投资项目应严格执行工程预付款制度，工程预付款应不低于合同总价（扣除暂列金额）的10%（最高不超过30%，并与工程进度款分期按约定比例抵扣）】</w:t>
            </w:r>
            <w:r>
              <w:rPr>
                <w:rStyle w:val="3"/>
                <w:rFonts w:ascii="宋体" w:hAnsi="宋体" w:cs="宋体"/>
                <w:b w:val="0"/>
                <w:bCs w:val="0"/>
                <w:i w:val="0"/>
                <w:iCs w:val="0"/>
                <w:smallCaps w:val="0"/>
                <w:kern w:val="0"/>
                <w:sz w:val="27"/>
                <w:szCs w:val="27"/>
              </w:rPr>
              <w:br w:type="textWrapping"/>
            </w:r>
            <w:r>
              <w:rPr>
                <w:rStyle w:val="3"/>
                <w:rFonts w:ascii="宋体" w:hAnsi="宋体" w:cs="宋体"/>
                <w:b w:val="0"/>
                <w:bCs w:val="0"/>
                <w:i w:val="0"/>
                <w:iCs w:val="0"/>
                <w:smallCaps w:val="0"/>
                <w:kern w:val="0"/>
                <w:sz w:val="27"/>
                <w:szCs w:val="27"/>
              </w:rPr>
              <w:t xml:space="preserve">    进度款支付方式：合同内按工程计量周期内完成工程量的80，合同外按工程计量周期完成工程量的详见合同条款。【政府机关、事业单位、国有企业建设工程进度款支付应不低于已完成工程价款的80%，含尚未抵扣的工程预付款。】 </w:t>
            </w:r>
          </w:p>
        </w:tc>
      </w:tr>
      <w:tr w14:paraId="12C8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4FF9D503">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8.发布媒介</w:t>
            </w:r>
          </w:p>
        </w:tc>
      </w:tr>
      <w:tr w14:paraId="7E4BA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7D55B48C">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xml:space="preserve">    本次招标公告同时在在广西壮族自治区招标投标公共服务平台（http://zbtb.gxi.gov.cn:9000//）、全国公共资源交易平台（广西·贵港）（http：//ggzy.jgswj.gxzf.gov.cn/ggggzy/）、贵港市政府采购网（http://zfcg.czj.gxgg.gov.cn/）、中国政府采购网（http://www.ccgp.gov.cn）、广西壮族自治区政府采购网（http://zfcg.gxzf.gov.cn/）上发布。 </w:t>
            </w:r>
          </w:p>
        </w:tc>
      </w:tr>
      <w:tr w14:paraId="54C8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75A93ACE">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9.交易服务单位</w:t>
            </w:r>
          </w:p>
        </w:tc>
      </w:tr>
      <w:tr w14:paraId="71BD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436CEDD9">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xml:space="preserve">    贵港市公共资源交易中心。 </w:t>
            </w:r>
          </w:p>
        </w:tc>
      </w:tr>
      <w:tr w14:paraId="7A68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60DA8E05">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10.监督部门及电话</w:t>
            </w:r>
          </w:p>
        </w:tc>
      </w:tr>
      <w:tr w14:paraId="7DA2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59C30F2B">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xml:space="preserve">    贵港市覃塘区建设工程招标投标管理站 联系电话：0775-486141。 </w:t>
            </w:r>
          </w:p>
        </w:tc>
      </w:tr>
      <w:tr w14:paraId="67E3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43D08582">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11.注意事项</w:t>
            </w:r>
          </w:p>
        </w:tc>
      </w:tr>
      <w:tr w14:paraId="6541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6F6E3EEE">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xml:space="preserve">    潜在投标人必须录入“桂建云”系统，“桂建云”系统登录地址：http://gxjzsc.caihcloud.com/。由于“桂建云”与全国建筑市场监管公共服务平台(以下简称全国平台)相关信息同步存在时间差（企业每次登录“桂建云”时自动同步全国平台数据），投标人应自行预留足够的时间，至少提前24小时将所需投标材料下行至“桂建云”，若因投标人原因未能同步的，后果自行负责。 </w:t>
            </w:r>
          </w:p>
        </w:tc>
      </w:tr>
      <w:tr w14:paraId="7194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264C9C73">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    到广西壮族自治区公共资源交易中心现场的人员，需按中心官方网站最新发布的疫情防控要求进场。</w:t>
            </w:r>
          </w:p>
        </w:tc>
      </w:tr>
      <w:tr w14:paraId="6F69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0D0D907F">
            <w:pPr>
              <w:widowControl/>
              <w:spacing w:line="675" w:lineRule="atLeast"/>
              <w:jc w:val="left"/>
              <w:rPr>
                <w:rStyle w:val="3"/>
                <w:rFonts w:ascii="宋体" w:hAnsi="宋体" w:cs="宋体"/>
                <w:b w:val="0"/>
                <w:bCs w:val="0"/>
                <w:i w:val="0"/>
                <w:iCs w:val="0"/>
                <w:smallCaps w:val="0"/>
                <w:kern w:val="0"/>
                <w:sz w:val="27"/>
                <w:szCs w:val="27"/>
              </w:rPr>
            </w:pPr>
            <w:r>
              <w:rPr>
                <w:rStyle w:val="3"/>
                <w:rFonts w:ascii="宋体" w:hAnsi="宋体" w:cs="宋体"/>
                <w:b/>
                <w:bCs/>
                <w:i w:val="0"/>
                <w:iCs w:val="0"/>
                <w:smallCaps w:val="0"/>
                <w:kern w:val="0"/>
                <w:sz w:val="27"/>
                <w:szCs w:val="27"/>
              </w:rPr>
              <w:t>12.联系方式</w:t>
            </w:r>
          </w:p>
        </w:tc>
      </w:tr>
      <w:tr w14:paraId="7A99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80" w:type="dxa"/>
            <w:noWrap w:val="0"/>
            <w:tcMar>
              <w:top w:w="15" w:type="dxa"/>
              <w:left w:w="15" w:type="dxa"/>
              <w:bottom w:w="15" w:type="dxa"/>
              <w:right w:w="15" w:type="dxa"/>
            </w:tcMar>
            <w:vAlign w:val="center"/>
          </w:tcPr>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99"/>
              <w:gridCol w:w="2608"/>
              <w:gridCol w:w="1000"/>
              <w:gridCol w:w="3699"/>
            </w:tblGrid>
            <w:tr w14:paraId="0F057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noWrap w:val="0"/>
                  <w:tcMar>
                    <w:top w:w="15" w:type="dxa"/>
                    <w:left w:w="15" w:type="dxa"/>
                    <w:bottom w:w="15" w:type="dxa"/>
                    <w:right w:w="15" w:type="dxa"/>
                  </w:tcMar>
                  <w:vAlign w:val="center"/>
                </w:tcPr>
                <w:p w14:paraId="1505567A">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招标人:</w:t>
                  </w:r>
                </w:p>
              </w:tc>
              <w:tc>
                <w:tcPr>
                  <w:tcW w:w="4155" w:type="dxa"/>
                  <w:noWrap w:val="0"/>
                  <w:tcMar>
                    <w:top w:w="15" w:type="dxa"/>
                    <w:left w:w="15" w:type="dxa"/>
                    <w:bottom w:w="15" w:type="dxa"/>
                    <w:right w:w="15" w:type="dxa"/>
                  </w:tcMar>
                  <w:vAlign w:val="center"/>
                </w:tcPr>
                <w:p w14:paraId="57DC42DF">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贵港市覃塘区石卡高级中学（需盖企业章及法人签字）</w:t>
                  </w:r>
                </w:p>
              </w:tc>
              <w:tc>
                <w:tcPr>
                  <w:tcW w:w="2280" w:type="dxa"/>
                  <w:noWrap w:val="0"/>
                  <w:tcMar>
                    <w:top w:w="15" w:type="dxa"/>
                    <w:left w:w="15" w:type="dxa"/>
                    <w:bottom w:w="15" w:type="dxa"/>
                    <w:right w:w="15" w:type="dxa"/>
                  </w:tcMar>
                  <w:vAlign w:val="center"/>
                </w:tcPr>
                <w:p w14:paraId="1828141C">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招标代理机构:</w:t>
                  </w:r>
                </w:p>
              </w:tc>
              <w:tc>
                <w:tcPr>
                  <w:tcW w:w="4155" w:type="dxa"/>
                  <w:noWrap w:val="0"/>
                  <w:tcMar>
                    <w:top w:w="15" w:type="dxa"/>
                    <w:left w:w="15" w:type="dxa"/>
                    <w:bottom w:w="15" w:type="dxa"/>
                    <w:right w:w="15" w:type="dxa"/>
                  </w:tcMar>
                  <w:vAlign w:val="center"/>
                </w:tcPr>
                <w:p w14:paraId="64B52925">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中资国际工程咨询集团有限责任公司（需盖企业章及法人签字）</w:t>
                  </w:r>
                </w:p>
              </w:tc>
            </w:tr>
            <w:tr w14:paraId="1A25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73607933">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14:paraId="7073E8BC">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广西贵港市覃塘区石卡镇石卡高级中学</w:t>
                  </w:r>
                </w:p>
              </w:tc>
              <w:tc>
                <w:tcPr>
                  <w:tcW w:w="0" w:type="auto"/>
                  <w:noWrap w:val="0"/>
                  <w:tcMar>
                    <w:top w:w="15" w:type="dxa"/>
                    <w:left w:w="15" w:type="dxa"/>
                    <w:bottom w:w="15" w:type="dxa"/>
                    <w:right w:w="15" w:type="dxa"/>
                  </w:tcMar>
                  <w:vAlign w:val="center"/>
                </w:tcPr>
                <w:p w14:paraId="33CF1524">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14:paraId="298D48CC">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贵港市友谊大道港宁花园B区兴贵路142号</w:t>
                  </w:r>
                </w:p>
              </w:tc>
            </w:tr>
            <w:tr w14:paraId="1E1FE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5027F0F4">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14:paraId="08DA7113">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537100</w:t>
                  </w:r>
                </w:p>
              </w:tc>
              <w:tc>
                <w:tcPr>
                  <w:tcW w:w="0" w:type="auto"/>
                  <w:noWrap w:val="0"/>
                  <w:tcMar>
                    <w:top w:w="15" w:type="dxa"/>
                    <w:left w:w="15" w:type="dxa"/>
                    <w:bottom w:w="15" w:type="dxa"/>
                    <w:right w:w="15" w:type="dxa"/>
                  </w:tcMar>
                  <w:vAlign w:val="center"/>
                </w:tcPr>
                <w:p w14:paraId="09CAAC99">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14:paraId="52FDB83D">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537000</w:t>
                  </w:r>
                </w:p>
              </w:tc>
            </w:tr>
            <w:tr w14:paraId="2807F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53C3962F">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14:paraId="60F61805">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刘老师</w:t>
                  </w:r>
                </w:p>
              </w:tc>
              <w:tc>
                <w:tcPr>
                  <w:tcW w:w="0" w:type="auto"/>
                  <w:noWrap w:val="0"/>
                  <w:tcMar>
                    <w:top w:w="15" w:type="dxa"/>
                    <w:left w:w="15" w:type="dxa"/>
                    <w:bottom w:w="15" w:type="dxa"/>
                    <w:right w:w="15" w:type="dxa"/>
                  </w:tcMar>
                  <w:vAlign w:val="center"/>
                </w:tcPr>
                <w:p w14:paraId="3164AC6D">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14:paraId="683373FD">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张烨</w:t>
                  </w:r>
                </w:p>
              </w:tc>
            </w:tr>
            <w:tr w14:paraId="427F4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4432F755">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14:paraId="04745742">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13471917227</w:t>
                  </w:r>
                </w:p>
              </w:tc>
              <w:tc>
                <w:tcPr>
                  <w:tcW w:w="0" w:type="auto"/>
                  <w:noWrap w:val="0"/>
                  <w:tcMar>
                    <w:top w:w="15" w:type="dxa"/>
                    <w:left w:w="15" w:type="dxa"/>
                    <w:bottom w:w="15" w:type="dxa"/>
                    <w:right w:w="15" w:type="dxa"/>
                  </w:tcMar>
                  <w:vAlign w:val="center"/>
                </w:tcPr>
                <w:p w14:paraId="74EA150C">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14:paraId="4F6B589A">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0775-4369176</w:t>
                  </w:r>
                </w:p>
              </w:tc>
            </w:tr>
            <w:tr w14:paraId="46F5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5B5A9548">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14:paraId="3416025A">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w:t>
                  </w:r>
                </w:p>
              </w:tc>
              <w:tc>
                <w:tcPr>
                  <w:tcW w:w="0" w:type="auto"/>
                  <w:noWrap w:val="0"/>
                  <w:tcMar>
                    <w:top w:w="15" w:type="dxa"/>
                    <w:left w:w="15" w:type="dxa"/>
                    <w:bottom w:w="15" w:type="dxa"/>
                    <w:right w:w="15" w:type="dxa"/>
                  </w:tcMar>
                  <w:vAlign w:val="center"/>
                </w:tcPr>
                <w:p w14:paraId="1D503D73">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14:paraId="403F7FF4">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0775-4369176</w:t>
                  </w:r>
                </w:p>
              </w:tc>
            </w:tr>
            <w:tr w14:paraId="10E4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1FAE775E">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电子邮箱:</w:t>
                  </w:r>
                </w:p>
              </w:tc>
              <w:tc>
                <w:tcPr>
                  <w:tcW w:w="0" w:type="auto"/>
                  <w:noWrap w:val="0"/>
                  <w:tcMar>
                    <w:top w:w="15" w:type="dxa"/>
                    <w:left w:w="15" w:type="dxa"/>
                    <w:bottom w:w="15" w:type="dxa"/>
                    <w:right w:w="15" w:type="dxa"/>
                  </w:tcMar>
                  <w:vAlign w:val="center"/>
                </w:tcPr>
                <w:p w14:paraId="5140081B">
                  <w:pPr>
                    <w:widowControl/>
                    <w:jc w:val="left"/>
                    <w:rPr>
                      <w:rStyle w:val="3"/>
                      <w:rFonts w:ascii="宋体" w:hAnsi="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14:paraId="5315565E">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电子邮箱:</w:t>
                  </w:r>
                </w:p>
              </w:tc>
              <w:tc>
                <w:tcPr>
                  <w:tcW w:w="0" w:type="auto"/>
                  <w:noWrap w:val="0"/>
                  <w:tcMar>
                    <w:top w:w="15" w:type="dxa"/>
                    <w:left w:w="15" w:type="dxa"/>
                    <w:bottom w:w="15" w:type="dxa"/>
                    <w:right w:w="15" w:type="dxa"/>
                  </w:tcMar>
                  <w:vAlign w:val="center"/>
                </w:tcPr>
                <w:p w14:paraId="7F5313C7">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zhongzi176@163.com</w:t>
                  </w:r>
                </w:p>
              </w:tc>
            </w:tr>
            <w:tr w14:paraId="633B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7E882482">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14:paraId="7AD3F135">
                  <w:pPr>
                    <w:widowControl/>
                    <w:jc w:val="left"/>
                    <w:rPr>
                      <w:rStyle w:val="3"/>
                      <w:rFonts w:ascii="宋体" w:hAnsi="宋体" w:cs="宋体"/>
                      <w:b w:val="0"/>
                      <w:bCs w:val="0"/>
                      <w:i w:val="0"/>
                      <w:iCs w:val="0"/>
                      <w:smallCaps w:val="0"/>
                      <w:kern w:val="0"/>
                      <w:sz w:val="29"/>
                      <w:szCs w:val="29"/>
                    </w:rPr>
                  </w:pPr>
                </w:p>
              </w:tc>
              <w:tc>
                <w:tcPr>
                  <w:tcW w:w="0" w:type="auto"/>
                  <w:noWrap w:val="0"/>
                  <w:tcMar>
                    <w:top w:w="15" w:type="dxa"/>
                    <w:left w:w="15" w:type="dxa"/>
                    <w:bottom w:w="15" w:type="dxa"/>
                    <w:right w:w="15" w:type="dxa"/>
                  </w:tcMar>
                  <w:vAlign w:val="center"/>
                </w:tcPr>
                <w:p w14:paraId="0D3734A2">
                  <w:pPr>
                    <w:widowControl/>
                    <w:jc w:val="righ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14:paraId="38AA1694">
                  <w:pPr>
                    <w:widowControl/>
                    <w:jc w:val="left"/>
                    <w:rPr>
                      <w:rStyle w:val="3"/>
                      <w:rFonts w:ascii="宋体" w:hAnsi="宋体" w:cs="宋体"/>
                      <w:b w:val="0"/>
                      <w:bCs w:val="0"/>
                      <w:i w:val="0"/>
                      <w:iCs w:val="0"/>
                      <w:smallCaps w:val="0"/>
                      <w:kern w:val="0"/>
                      <w:sz w:val="29"/>
                      <w:szCs w:val="29"/>
                    </w:rPr>
                  </w:pPr>
                  <w:r>
                    <w:rPr>
                      <w:rStyle w:val="3"/>
                      <w:rFonts w:ascii="宋体" w:hAnsi="宋体" w:cs="宋体"/>
                      <w:b w:val="0"/>
                      <w:bCs w:val="0"/>
                      <w:i w:val="0"/>
                      <w:iCs w:val="0"/>
                      <w:smallCaps w:val="0"/>
                      <w:kern w:val="0"/>
                      <w:sz w:val="29"/>
                      <w:szCs w:val="29"/>
                    </w:rPr>
                    <w:t>http://www.zzzb.net/</w:t>
                  </w:r>
                </w:p>
              </w:tc>
            </w:tr>
          </w:tbl>
          <w:p w14:paraId="26597700">
            <w:pPr>
              <w:widowControl w:val="0"/>
              <w:jc w:val="both"/>
              <w:rPr>
                <w:rStyle w:val="3"/>
                <w:rFonts w:ascii="宋体" w:hAnsi="宋体" w:cs="宋体"/>
                <w:b w:val="0"/>
                <w:bCs w:val="0"/>
                <w:i w:val="0"/>
                <w:iCs w:val="0"/>
                <w:smallCaps w:val="0"/>
                <w:kern w:val="0"/>
                <w:sz w:val="27"/>
                <w:szCs w:val="27"/>
              </w:rPr>
            </w:pPr>
          </w:p>
        </w:tc>
      </w:tr>
      <w:tr w14:paraId="49B6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noWrap w:val="0"/>
            <w:tcMar>
              <w:top w:w="15" w:type="dxa"/>
              <w:left w:w="15" w:type="dxa"/>
              <w:bottom w:w="15" w:type="dxa"/>
              <w:right w:w="15" w:type="dxa"/>
            </w:tcMar>
            <w:vAlign w:val="center"/>
          </w:tcPr>
          <w:p w14:paraId="72E2D766">
            <w:pPr>
              <w:widowControl/>
              <w:spacing w:line="675" w:lineRule="atLeast"/>
              <w:jc w:val="right"/>
              <w:rPr>
                <w:rStyle w:val="3"/>
                <w:rFonts w:ascii="宋体" w:hAnsi="宋体" w:cs="宋体"/>
                <w:b w:val="0"/>
                <w:bCs w:val="0"/>
                <w:i w:val="0"/>
                <w:iCs w:val="0"/>
                <w:smallCaps w:val="0"/>
                <w:kern w:val="0"/>
                <w:sz w:val="27"/>
                <w:szCs w:val="27"/>
              </w:rPr>
            </w:pPr>
            <w:r>
              <w:rPr>
                <w:rStyle w:val="3"/>
                <w:rFonts w:ascii="宋体" w:hAnsi="宋体" w:cs="宋体"/>
                <w:b w:val="0"/>
                <w:bCs w:val="0"/>
                <w:i w:val="0"/>
                <w:iCs w:val="0"/>
                <w:smallCaps w:val="0"/>
                <w:kern w:val="0"/>
                <w:sz w:val="27"/>
                <w:szCs w:val="27"/>
              </w:rPr>
              <w:t>2024 年 10 月 15 日</w:t>
            </w:r>
          </w:p>
        </w:tc>
      </w:tr>
    </w:tbl>
    <w:p w14:paraId="0E20DC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YmM5NmYyYjlkYzI4YjM0YTU3MGEzNzgwZjJhNGIifQ=="/>
  </w:docVars>
  <w:rsids>
    <w:rsidRoot w:val="56136F56"/>
    <w:rsid w:val="5613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TML Definition"/>
    <w:basedOn w:val="3"/>
    <w:uiPriority w:val="0"/>
  </w:style>
  <w:style w:type="character" w:styleId="6">
    <w:name w:val="HTML Typewriter"/>
    <w:basedOn w:val="3"/>
    <w:uiPriority w:val="0"/>
    <w:rPr>
      <w:rFonts w:ascii="monospace" w:hAnsi="monospace" w:eastAsia="monospace" w:cs="monospace"/>
      <w:sz w:val="20"/>
    </w:rPr>
  </w:style>
  <w:style w:type="character" w:styleId="7">
    <w:name w:val="HTML Acronym"/>
    <w:basedOn w:val="3"/>
    <w:uiPriority w:val="0"/>
    <w:rPr>
      <w:bdr w:val="none" w:color="auto" w:sz="0" w:space="0"/>
    </w:rPr>
  </w:style>
  <w:style w:type="character" w:styleId="8">
    <w:name w:val="HTML Variable"/>
    <w:basedOn w:val="3"/>
    <w:uiPriority w:val="0"/>
  </w:style>
  <w:style w:type="character" w:styleId="9">
    <w:name w:val="Hyperlink"/>
    <w:basedOn w:val="3"/>
    <w:uiPriority w:val="0"/>
    <w:rPr>
      <w:color w:val="0000FF"/>
      <w:u w:val="none"/>
    </w:rPr>
  </w:style>
  <w:style w:type="character" w:styleId="10">
    <w:name w:val="HTML Code"/>
    <w:basedOn w:val="3"/>
    <w:uiPriority w:val="0"/>
    <w:rPr>
      <w:rFonts w:hint="default" w:ascii="monospace" w:hAnsi="monospace" w:eastAsia="monospace" w:cs="monospace"/>
      <w:sz w:val="20"/>
      <w:bdr w:val="none" w:color="auto" w:sz="0" w:space="0"/>
    </w:rPr>
  </w:style>
  <w:style w:type="character" w:styleId="11">
    <w:name w:val="HTML Cite"/>
    <w:basedOn w:val="3"/>
    <w:uiPriority w:val="0"/>
  </w:style>
  <w:style w:type="character" w:styleId="12">
    <w:name w:val="HTML Keyboard"/>
    <w:basedOn w:val="3"/>
    <w:uiPriority w:val="0"/>
    <w:rPr>
      <w:rFonts w:hint="default" w:ascii="monospace" w:hAnsi="monospace" w:eastAsia="monospace" w:cs="monospace"/>
      <w:sz w:val="20"/>
    </w:rPr>
  </w:style>
  <w:style w:type="character" w:styleId="13">
    <w:name w:val="HTML Sample"/>
    <w:basedOn w:val="3"/>
    <w:uiPriority w:val="0"/>
    <w:rPr>
      <w:rFonts w:hint="default" w:ascii="monospace" w:hAnsi="monospace" w:eastAsia="monospace" w:cs="monospace"/>
    </w:rPr>
  </w:style>
  <w:style w:type="character" w:customStyle="1" w:styleId="14">
    <w:name w:val="first-child"/>
    <w:basedOn w:val="3"/>
    <w:uiPriority w:val="0"/>
    <w:rPr>
      <w:bdr w:val="none" w:color="auto" w:sz="0" w:space="0"/>
    </w:rPr>
  </w:style>
  <w:style w:type="character" w:customStyle="1" w:styleId="15">
    <w:name w:val="layui-layer-tabnow"/>
    <w:basedOn w:val="3"/>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2024-10-15T09:41:00Z</dcterms:created>
  <dc:creator>Administrator</dc:creator>
  <cp:lastModifiedBy>Administrator</cp:lastModifiedBy>
  <dcterms:modified xsi:type="dcterms:W3CDTF">2024-10-15T09:42:58Z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2EA476571ADE47FB897DAC6B81EE87D6_11</vt:lpwstr>
  </property>
</Properties>
</file>