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FF22C2">
      <w:pPr>
        <w:pStyle w:val="8"/>
        <w:ind w:left="0" w:firstLine="0"/>
        <w:jc w:val="center"/>
        <w:outlineLvl w:val="0"/>
        <w:rPr>
          <w:rFonts w:hint="eastAsia"/>
          <w:b/>
          <w:color w:val="auto"/>
          <w:sz w:val="32"/>
          <w:highlight w:val="none"/>
        </w:rPr>
      </w:pPr>
      <w:r>
        <w:rPr>
          <w:rFonts w:hint="eastAsia"/>
          <w:b/>
          <w:color w:val="auto"/>
          <w:sz w:val="32"/>
          <w:highlight w:val="none"/>
        </w:rPr>
        <w:t>第一章  招标公告</w:t>
      </w:r>
    </w:p>
    <w:p w14:paraId="44C3DE8F">
      <w:pPr>
        <w:pBdr>
          <w:top w:val="single" w:color="auto" w:sz="4" w:space="0"/>
          <w:left w:val="single" w:color="auto" w:sz="4" w:space="0"/>
          <w:bottom w:val="single" w:color="auto" w:sz="4" w:space="0"/>
          <w:right w:val="single" w:color="auto" w:sz="4" w:space="0"/>
        </w:pBdr>
        <w:spacing w:line="360" w:lineRule="auto"/>
        <w:ind w:firstLine="420" w:firstLineChars="200"/>
        <w:rPr>
          <w:rFonts w:hint="eastAsia"/>
          <w:b/>
          <w:color w:val="auto"/>
          <w:sz w:val="21"/>
          <w:szCs w:val="21"/>
          <w:highlight w:val="none"/>
        </w:rPr>
      </w:pPr>
      <w:r>
        <w:rPr>
          <w:rFonts w:hint="eastAsia"/>
          <w:color w:val="auto"/>
          <w:sz w:val="21"/>
          <w:szCs w:val="21"/>
          <w:highlight w:val="none"/>
          <w:u w:val="single"/>
          <w:lang w:eastAsia="zh-CN"/>
        </w:rPr>
        <w:t>江苏省消防救援总队2024年度全省器材装备（第一批）采购项目【流标重招】</w:t>
      </w:r>
      <w:r>
        <w:rPr>
          <w:rFonts w:hint="eastAsia"/>
          <w:color w:val="auto"/>
          <w:sz w:val="21"/>
          <w:szCs w:val="21"/>
          <w:highlight w:val="none"/>
        </w:rPr>
        <w:t>的潜在投标人应在</w:t>
      </w:r>
      <w:r>
        <w:rPr>
          <w:rFonts w:hint="eastAsia"/>
          <w:color w:val="auto"/>
          <w:sz w:val="21"/>
          <w:szCs w:val="21"/>
          <w:highlight w:val="none"/>
          <w:u w:val="single"/>
        </w:rPr>
        <w:t>中招联合招标采购网</w:t>
      </w:r>
      <w:r>
        <w:rPr>
          <w:rFonts w:hint="eastAsia"/>
          <w:color w:val="auto"/>
          <w:sz w:val="21"/>
          <w:szCs w:val="21"/>
          <w:highlight w:val="none"/>
          <w:u w:val="single"/>
        </w:rPr>
        <w:fldChar w:fldCharType="begin"/>
      </w:r>
      <w:r>
        <w:rPr>
          <w:rFonts w:hint="eastAsia"/>
          <w:color w:val="auto"/>
          <w:sz w:val="21"/>
          <w:szCs w:val="21"/>
          <w:highlight w:val="none"/>
          <w:u w:val="single"/>
        </w:rPr>
        <w:instrText xml:space="preserve"> HYPERLINK "http://www.365trade.com.cn/获取招标文件" \h </w:instrText>
      </w:r>
      <w:r>
        <w:rPr>
          <w:rFonts w:hint="eastAsia"/>
          <w:color w:val="auto"/>
          <w:sz w:val="21"/>
          <w:szCs w:val="21"/>
          <w:highlight w:val="none"/>
          <w:u w:val="single"/>
        </w:rPr>
        <w:fldChar w:fldCharType="separate"/>
      </w:r>
      <w:r>
        <w:rPr>
          <w:rFonts w:hint="eastAsia"/>
          <w:color w:val="auto"/>
          <w:sz w:val="21"/>
          <w:szCs w:val="21"/>
          <w:highlight w:val="none"/>
          <w:u w:val="single"/>
        </w:rPr>
        <w:t>http://www.365trade.com.cn/</w:t>
      </w:r>
      <w:r>
        <w:rPr>
          <w:rFonts w:hint="eastAsia"/>
          <w:color w:val="auto"/>
          <w:sz w:val="21"/>
          <w:szCs w:val="21"/>
          <w:highlight w:val="none"/>
        </w:rPr>
        <w:t>获取招标文件</w:t>
      </w:r>
      <w:r>
        <w:rPr>
          <w:rFonts w:hint="eastAsia"/>
          <w:color w:val="auto"/>
          <w:sz w:val="21"/>
          <w:szCs w:val="21"/>
          <w:highlight w:val="none"/>
          <w:u w:val="single"/>
        </w:rPr>
        <w:fldChar w:fldCharType="end"/>
      </w:r>
      <w:r>
        <w:rPr>
          <w:rFonts w:hint="eastAsia"/>
          <w:color w:val="auto"/>
          <w:sz w:val="21"/>
          <w:szCs w:val="21"/>
          <w:highlight w:val="none"/>
        </w:rPr>
        <w:t>，并于</w:t>
      </w:r>
      <w:r>
        <w:rPr>
          <w:rFonts w:hint="eastAsia"/>
          <w:color w:val="auto"/>
          <w:sz w:val="21"/>
          <w:szCs w:val="21"/>
          <w:highlight w:val="none"/>
          <w:u w:val="single"/>
          <w:lang w:eastAsia="zh-CN"/>
        </w:rPr>
        <w:t>2025年01月</w:t>
      </w:r>
      <w:r>
        <w:rPr>
          <w:rFonts w:hint="eastAsia"/>
          <w:color w:val="auto"/>
          <w:sz w:val="21"/>
          <w:szCs w:val="21"/>
          <w:highlight w:val="none"/>
          <w:u w:val="single"/>
          <w:lang w:val="en-US" w:eastAsia="zh-CN"/>
        </w:rPr>
        <w:t>09</w:t>
      </w:r>
      <w:r>
        <w:rPr>
          <w:rFonts w:hint="eastAsia"/>
          <w:color w:val="auto"/>
          <w:sz w:val="21"/>
          <w:szCs w:val="21"/>
          <w:highlight w:val="none"/>
          <w:u w:val="single"/>
          <w:lang w:eastAsia="zh-CN"/>
        </w:rPr>
        <w:t>日</w:t>
      </w:r>
      <w:r>
        <w:rPr>
          <w:rFonts w:hint="eastAsia"/>
          <w:color w:val="auto"/>
          <w:sz w:val="21"/>
          <w:szCs w:val="21"/>
          <w:highlight w:val="none"/>
          <w:u w:val="single"/>
          <w:lang w:val="en-US" w:eastAsia="zh-CN"/>
        </w:rPr>
        <w:t>9</w:t>
      </w:r>
      <w:r>
        <w:rPr>
          <w:rFonts w:hint="eastAsia"/>
          <w:color w:val="auto"/>
          <w:sz w:val="21"/>
          <w:szCs w:val="21"/>
          <w:highlight w:val="none"/>
          <w:u w:val="single"/>
        </w:rPr>
        <w:t>点</w:t>
      </w:r>
      <w:r>
        <w:rPr>
          <w:rFonts w:hint="eastAsia"/>
          <w:color w:val="auto"/>
          <w:sz w:val="21"/>
          <w:szCs w:val="21"/>
          <w:highlight w:val="none"/>
          <w:u w:val="single"/>
          <w:lang w:val="en-US" w:eastAsia="zh-CN"/>
        </w:rPr>
        <w:t>00</w:t>
      </w:r>
      <w:r>
        <w:rPr>
          <w:rFonts w:hint="eastAsia"/>
          <w:color w:val="auto"/>
          <w:sz w:val="21"/>
          <w:szCs w:val="21"/>
          <w:highlight w:val="none"/>
          <w:u w:val="single"/>
        </w:rPr>
        <w:t>分</w:t>
      </w:r>
      <w:r>
        <w:rPr>
          <w:rFonts w:hint="eastAsia"/>
          <w:color w:val="auto"/>
          <w:sz w:val="21"/>
          <w:szCs w:val="21"/>
          <w:highlight w:val="none"/>
        </w:rPr>
        <w:t>（北京时间）前递交投标文件。</w:t>
      </w:r>
    </w:p>
    <w:p w14:paraId="7D42F462">
      <w:pPr>
        <w:pStyle w:val="3"/>
        <w:spacing w:line="360" w:lineRule="auto"/>
        <w:outlineLvl w:val="1"/>
        <w:rPr>
          <w:rFonts w:hint="eastAsia"/>
          <w:color w:val="auto"/>
          <w:highlight w:val="none"/>
        </w:rPr>
      </w:pPr>
      <w:r>
        <w:rPr>
          <w:rFonts w:hint="eastAsia"/>
          <w:b/>
          <w:color w:val="auto"/>
          <w:highlight w:val="none"/>
        </w:rPr>
        <w:t>一、项目基本情况</w:t>
      </w:r>
    </w:p>
    <w:p w14:paraId="2E640921">
      <w:pPr>
        <w:pStyle w:val="9"/>
        <w:spacing w:line="360" w:lineRule="auto"/>
        <w:ind w:left="0" w:firstLine="420" w:firstLineChars="200"/>
        <w:outlineLvl w:val="9"/>
        <w:rPr>
          <w:rFonts w:hint="eastAsia"/>
          <w:b w:val="0"/>
          <w:color w:val="auto"/>
          <w:highlight w:val="none"/>
          <w:lang w:eastAsia="zh-CN"/>
        </w:rPr>
      </w:pPr>
      <w:r>
        <w:rPr>
          <w:rFonts w:hint="eastAsia"/>
          <w:b w:val="0"/>
          <w:color w:val="auto"/>
          <w:highlight w:val="none"/>
        </w:rPr>
        <w:t>1.1项目名称：</w:t>
      </w:r>
      <w:r>
        <w:rPr>
          <w:rFonts w:hint="eastAsia"/>
          <w:b w:val="0"/>
          <w:color w:val="auto"/>
          <w:highlight w:val="none"/>
          <w:u w:val="none"/>
          <w:lang w:eastAsia="zh-CN"/>
        </w:rPr>
        <w:t>江苏省消防救援总队2024年度全省器材装备（第一批）采购项目【流标重招】</w:t>
      </w:r>
    </w:p>
    <w:p w14:paraId="37112496">
      <w:pPr>
        <w:ind w:firstLine="420" w:firstLineChars="200"/>
        <w:jc w:val="both"/>
        <w:rPr>
          <w:rFonts w:hint="eastAsia" w:ascii="宋体" w:hAnsi="宋体" w:eastAsia="宋体" w:cs="宋体"/>
          <w:b w:val="0"/>
          <w:bCs w:val="0"/>
          <w:color w:val="auto"/>
          <w:sz w:val="21"/>
          <w:szCs w:val="21"/>
          <w:highlight w:val="none"/>
          <w:u w:val="none"/>
          <w:lang w:val="en-US" w:eastAsia="zh-CN" w:bidi="ar-SA"/>
        </w:rPr>
      </w:pPr>
      <w:r>
        <w:rPr>
          <w:rFonts w:hint="eastAsia" w:ascii="宋体" w:hAnsi="宋体" w:eastAsia="宋体" w:cs="宋体"/>
          <w:b w:val="0"/>
          <w:bCs w:val="0"/>
          <w:color w:val="auto"/>
          <w:sz w:val="21"/>
          <w:szCs w:val="21"/>
          <w:highlight w:val="none"/>
          <w:u w:val="none"/>
          <w:lang w:val="en-US" w:eastAsia="zh-CN" w:bidi="ar-SA"/>
        </w:rPr>
        <w:t>1.2项目编号：24GC51018</w:t>
      </w:r>
    </w:p>
    <w:p w14:paraId="439F3EA6">
      <w:pPr>
        <w:pStyle w:val="9"/>
        <w:spacing w:line="360" w:lineRule="auto"/>
        <w:ind w:left="0" w:firstLine="420" w:firstLineChars="200"/>
        <w:outlineLvl w:val="9"/>
        <w:rPr>
          <w:rFonts w:hint="eastAsia"/>
          <w:b w:val="0"/>
          <w:color w:val="auto"/>
          <w:highlight w:val="none"/>
        </w:rPr>
      </w:pPr>
      <w:r>
        <w:rPr>
          <w:rFonts w:hint="eastAsia"/>
          <w:b w:val="0"/>
          <w:color w:val="auto"/>
          <w:highlight w:val="none"/>
        </w:rPr>
        <w:t>1.3预算金额：880.47</w:t>
      </w:r>
      <w:r>
        <w:rPr>
          <w:rFonts w:hint="eastAsia" w:ascii="宋体" w:hAnsi="宋体" w:eastAsia="宋体" w:cs="宋体"/>
          <w:b w:val="0"/>
          <w:bCs w:val="0"/>
          <w:color w:val="auto"/>
          <w:sz w:val="21"/>
          <w:szCs w:val="21"/>
          <w:highlight w:val="none"/>
          <w:u w:val="none"/>
          <w:lang w:val="en-US" w:eastAsia="zh-CN" w:bidi="ar-SA"/>
        </w:rPr>
        <w:t>万元</w:t>
      </w:r>
    </w:p>
    <w:p w14:paraId="02963669">
      <w:pPr>
        <w:pStyle w:val="9"/>
        <w:spacing w:line="360" w:lineRule="auto"/>
        <w:ind w:left="0" w:firstLine="420" w:firstLineChars="200"/>
        <w:outlineLvl w:val="9"/>
        <w:rPr>
          <w:rFonts w:hint="default" w:eastAsia="宋体"/>
          <w:b w:val="0"/>
          <w:color w:val="auto"/>
          <w:highlight w:val="none"/>
          <w:lang w:val="en-US" w:eastAsia="zh-CN"/>
        </w:rPr>
      </w:pPr>
      <w:r>
        <w:rPr>
          <w:rFonts w:hint="eastAsia"/>
          <w:b w:val="0"/>
          <w:color w:val="auto"/>
          <w:highlight w:val="none"/>
          <w:lang w:val="en-US" w:eastAsia="zh-CN"/>
        </w:rPr>
        <w:t>1.4采购方式：公开招标</w:t>
      </w:r>
    </w:p>
    <w:p w14:paraId="60885211">
      <w:pPr>
        <w:pStyle w:val="9"/>
        <w:spacing w:line="360" w:lineRule="auto"/>
        <w:ind w:left="0" w:firstLine="420" w:firstLineChars="200"/>
        <w:outlineLvl w:val="9"/>
        <w:rPr>
          <w:rFonts w:hint="eastAsia"/>
          <w:b w:val="0"/>
          <w:color w:val="auto"/>
          <w:highlight w:val="none"/>
        </w:rPr>
      </w:pPr>
      <w:r>
        <w:rPr>
          <w:rFonts w:hint="eastAsia"/>
          <w:b w:val="0"/>
          <w:color w:val="auto"/>
          <w:highlight w:val="none"/>
        </w:rPr>
        <w:t>1.</w:t>
      </w:r>
      <w:r>
        <w:rPr>
          <w:rFonts w:hint="eastAsia"/>
          <w:b w:val="0"/>
          <w:color w:val="auto"/>
          <w:highlight w:val="none"/>
          <w:lang w:val="en-US" w:eastAsia="zh-CN"/>
        </w:rPr>
        <w:t>5</w:t>
      </w:r>
      <w:r>
        <w:rPr>
          <w:rFonts w:hint="eastAsia"/>
          <w:b w:val="0"/>
          <w:color w:val="auto"/>
          <w:highlight w:val="none"/>
        </w:rPr>
        <w:t>合同履行期限：</w:t>
      </w:r>
      <w:r>
        <w:rPr>
          <w:rFonts w:hint="eastAsia"/>
          <w:b w:val="0"/>
          <w:color w:val="auto"/>
          <w:highlight w:val="none"/>
          <w:lang w:eastAsia="zh-CN"/>
        </w:rPr>
        <w:t>签订合同后</w:t>
      </w:r>
      <w:r>
        <w:rPr>
          <w:rFonts w:hint="eastAsia"/>
          <w:b w:val="0"/>
          <w:color w:val="auto"/>
          <w:highlight w:val="none"/>
          <w:lang w:val="en-US" w:eastAsia="zh-CN"/>
        </w:rPr>
        <w:t>60</w:t>
      </w:r>
      <w:r>
        <w:rPr>
          <w:rFonts w:hint="eastAsia"/>
          <w:b w:val="0"/>
          <w:color w:val="auto"/>
          <w:highlight w:val="none"/>
          <w:lang w:eastAsia="zh-CN"/>
        </w:rPr>
        <w:t>日内将货物送达指定地点</w:t>
      </w:r>
      <w:r>
        <w:rPr>
          <w:rFonts w:hint="eastAsia"/>
          <w:b w:val="0"/>
          <w:color w:val="auto"/>
          <w:highlight w:val="none"/>
        </w:rPr>
        <w:t>。</w:t>
      </w:r>
    </w:p>
    <w:p w14:paraId="7D4835B8">
      <w:pPr>
        <w:pStyle w:val="9"/>
        <w:spacing w:line="360" w:lineRule="auto"/>
        <w:ind w:left="0" w:firstLine="420" w:firstLineChars="200"/>
        <w:outlineLvl w:val="9"/>
        <w:rPr>
          <w:rFonts w:hint="eastAsia"/>
          <w:b w:val="0"/>
          <w:color w:val="auto"/>
          <w:highlight w:val="none"/>
        </w:rPr>
      </w:pPr>
      <w:r>
        <w:rPr>
          <w:rFonts w:hint="eastAsia"/>
          <w:b w:val="0"/>
          <w:color w:val="auto"/>
          <w:highlight w:val="none"/>
        </w:rPr>
        <w:t>1.</w:t>
      </w:r>
      <w:r>
        <w:rPr>
          <w:rFonts w:hint="eastAsia"/>
          <w:b w:val="0"/>
          <w:color w:val="auto"/>
          <w:highlight w:val="none"/>
          <w:lang w:val="en-US" w:eastAsia="zh-CN"/>
        </w:rPr>
        <w:t>6</w:t>
      </w:r>
      <w:r>
        <w:rPr>
          <w:rFonts w:hint="eastAsia"/>
          <w:b w:val="0"/>
          <w:color w:val="auto"/>
          <w:highlight w:val="none"/>
        </w:rPr>
        <w:t>本项目标的所属行业：工业。</w:t>
      </w:r>
    </w:p>
    <w:p w14:paraId="5B1336FC">
      <w:pPr>
        <w:pStyle w:val="9"/>
        <w:spacing w:line="360" w:lineRule="auto"/>
        <w:ind w:left="0" w:firstLine="420" w:firstLineChars="200"/>
        <w:outlineLvl w:val="9"/>
        <w:rPr>
          <w:rFonts w:hint="eastAsia"/>
          <w:b w:val="0"/>
          <w:color w:val="auto"/>
          <w:highlight w:val="none"/>
        </w:rPr>
      </w:pPr>
      <w:r>
        <w:rPr>
          <w:rFonts w:hint="eastAsia"/>
          <w:b w:val="0"/>
          <w:color w:val="auto"/>
          <w:highlight w:val="none"/>
        </w:rPr>
        <w:t>1.</w:t>
      </w:r>
      <w:r>
        <w:rPr>
          <w:rFonts w:hint="eastAsia"/>
          <w:b w:val="0"/>
          <w:color w:val="auto"/>
          <w:highlight w:val="none"/>
          <w:lang w:val="en-US" w:eastAsia="zh-CN"/>
        </w:rPr>
        <w:t>7</w:t>
      </w:r>
      <w:r>
        <w:rPr>
          <w:rFonts w:hint="eastAsia"/>
          <w:b w:val="0"/>
          <w:color w:val="auto"/>
          <w:highlight w:val="none"/>
        </w:rPr>
        <w:t>本项目</w:t>
      </w:r>
      <w:r>
        <w:rPr>
          <w:rFonts w:hint="eastAsia"/>
          <w:b w:val="0"/>
          <w:color w:val="auto"/>
          <w:highlight w:val="none"/>
          <w:u w:val="single"/>
        </w:rPr>
        <w:t>不接受</w:t>
      </w:r>
      <w:r>
        <w:rPr>
          <w:rFonts w:hint="eastAsia"/>
          <w:b w:val="0"/>
          <w:color w:val="auto"/>
          <w:highlight w:val="none"/>
        </w:rPr>
        <w:t>联合体投标。</w:t>
      </w:r>
    </w:p>
    <w:p w14:paraId="52569B86">
      <w:pPr>
        <w:pStyle w:val="9"/>
        <w:spacing w:line="360" w:lineRule="auto"/>
        <w:ind w:left="0" w:firstLine="420" w:firstLineChars="200"/>
        <w:outlineLvl w:val="9"/>
        <w:rPr>
          <w:rFonts w:hint="eastAsia"/>
          <w:b w:val="0"/>
          <w:color w:val="auto"/>
          <w:highlight w:val="none"/>
        </w:rPr>
      </w:pPr>
      <w:r>
        <w:rPr>
          <w:rFonts w:hint="eastAsia"/>
          <w:b w:val="0"/>
          <w:color w:val="auto"/>
          <w:highlight w:val="none"/>
        </w:rPr>
        <w:t>1.</w:t>
      </w:r>
      <w:r>
        <w:rPr>
          <w:rFonts w:hint="eastAsia"/>
          <w:b w:val="0"/>
          <w:color w:val="auto"/>
          <w:highlight w:val="none"/>
          <w:lang w:val="en-US" w:eastAsia="zh-CN"/>
        </w:rPr>
        <w:t>8</w:t>
      </w:r>
      <w:r>
        <w:rPr>
          <w:rFonts w:hint="eastAsia"/>
          <w:b w:val="0"/>
          <w:color w:val="auto"/>
          <w:highlight w:val="none"/>
        </w:rPr>
        <w:t>本项目</w:t>
      </w:r>
      <w:r>
        <w:rPr>
          <w:rFonts w:hint="eastAsia"/>
          <w:b w:val="0"/>
          <w:color w:val="auto"/>
          <w:highlight w:val="none"/>
          <w:u w:val="single"/>
        </w:rPr>
        <w:t>不接受</w:t>
      </w:r>
      <w:r>
        <w:rPr>
          <w:rFonts w:hint="eastAsia"/>
          <w:b w:val="0"/>
          <w:color w:val="auto"/>
          <w:highlight w:val="none"/>
        </w:rPr>
        <w:t>进口产品投标。</w:t>
      </w:r>
    </w:p>
    <w:p w14:paraId="41A4745B">
      <w:pPr>
        <w:pStyle w:val="9"/>
        <w:spacing w:line="360" w:lineRule="auto"/>
        <w:ind w:left="0" w:firstLine="420" w:firstLineChars="200"/>
        <w:outlineLvl w:val="9"/>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1.9 招标项目简要说明：</w:t>
      </w:r>
    </w:p>
    <w:tbl>
      <w:tblPr>
        <w:tblStyle w:val="6"/>
        <w:tblW w:w="4994"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53"/>
        <w:gridCol w:w="1754"/>
        <w:gridCol w:w="554"/>
        <w:gridCol w:w="613"/>
        <w:gridCol w:w="919"/>
        <w:gridCol w:w="979"/>
        <w:gridCol w:w="1073"/>
        <w:gridCol w:w="1014"/>
        <w:gridCol w:w="1052"/>
      </w:tblGrid>
      <w:tr w14:paraId="773B1F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jc w:val="center"/>
        </w:trPr>
        <w:tc>
          <w:tcPr>
            <w:tcW w:w="325" w:type="pct"/>
            <w:tcBorders>
              <w:top w:val="single" w:color="auto" w:sz="4" w:space="0"/>
              <w:left w:val="single" w:color="auto" w:sz="4" w:space="0"/>
              <w:bottom w:val="single" w:color="auto" w:sz="4" w:space="0"/>
              <w:right w:val="single" w:color="auto" w:sz="4" w:space="0"/>
            </w:tcBorders>
            <w:noWrap w:val="0"/>
            <w:vAlign w:val="center"/>
          </w:tcPr>
          <w:p w14:paraId="76AEBA98">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包号</w:t>
            </w:r>
          </w:p>
        </w:tc>
        <w:tc>
          <w:tcPr>
            <w:tcW w:w="1030" w:type="pct"/>
            <w:tcBorders>
              <w:top w:val="single" w:color="auto" w:sz="4" w:space="0"/>
              <w:left w:val="single" w:color="auto" w:sz="4" w:space="0"/>
              <w:bottom w:val="single" w:color="auto" w:sz="4" w:space="0"/>
              <w:right w:val="single" w:color="auto" w:sz="4" w:space="0"/>
            </w:tcBorders>
            <w:noWrap w:val="0"/>
            <w:vAlign w:val="center"/>
          </w:tcPr>
          <w:p w14:paraId="25223BEE">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名称</w:t>
            </w:r>
          </w:p>
        </w:tc>
        <w:tc>
          <w:tcPr>
            <w:tcW w:w="325" w:type="pct"/>
            <w:tcBorders>
              <w:top w:val="single" w:color="auto" w:sz="4" w:space="0"/>
              <w:left w:val="single" w:color="auto" w:sz="4" w:space="0"/>
              <w:bottom w:val="single" w:color="auto" w:sz="4" w:space="0"/>
              <w:right w:val="single" w:color="auto" w:sz="4" w:space="0"/>
            </w:tcBorders>
            <w:noWrap w:val="0"/>
            <w:vAlign w:val="center"/>
          </w:tcPr>
          <w:p w14:paraId="3D3A9F2B">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数量</w:t>
            </w:r>
          </w:p>
        </w:tc>
        <w:tc>
          <w:tcPr>
            <w:tcW w:w="360" w:type="pct"/>
            <w:tcBorders>
              <w:top w:val="single" w:color="auto" w:sz="4" w:space="0"/>
              <w:left w:val="single" w:color="auto" w:sz="4" w:space="0"/>
              <w:bottom w:val="single" w:color="auto" w:sz="4" w:space="0"/>
              <w:right w:val="single" w:color="auto" w:sz="4" w:space="0"/>
            </w:tcBorders>
            <w:noWrap w:val="0"/>
            <w:vAlign w:val="center"/>
          </w:tcPr>
          <w:p w14:paraId="3D1CED68">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单位</w:t>
            </w:r>
          </w:p>
        </w:tc>
        <w:tc>
          <w:tcPr>
            <w:tcW w:w="539" w:type="pct"/>
            <w:tcBorders>
              <w:top w:val="single" w:color="auto" w:sz="4" w:space="0"/>
              <w:left w:val="single" w:color="auto" w:sz="4" w:space="0"/>
              <w:bottom w:val="single" w:color="auto" w:sz="4" w:space="0"/>
              <w:right w:val="single" w:color="auto" w:sz="4" w:space="0"/>
            </w:tcBorders>
            <w:noWrap w:val="0"/>
            <w:vAlign w:val="center"/>
          </w:tcPr>
          <w:p w14:paraId="6DB03C12">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预算单价（万元）</w:t>
            </w:r>
          </w:p>
        </w:tc>
        <w:tc>
          <w:tcPr>
            <w:tcW w:w="574" w:type="pct"/>
            <w:tcBorders>
              <w:top w:val="single" w:color="auto" w:sz="4" w:space="0"/>
              <w:left w:val="single" w:color="auto" w:sz="4" w:space="0"/>
              <w:bottom w:val="single" w:color="auto" w:sz="4" w:space="0"/>
              <w:right w:val="single" w:color="auto" w:sz="4" w:space="0"/>
            </w:tcBorders>
            <w:noWrap w:val="0"/>
            <w:vAlign w:val="center"/>
          </w:tcPr>
          <w:p w14:paraId="4A4B8CBC">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预算总价（万元）</w:t>
            </w:r>
          </w:p>
        </w:tc>
        <w:tc>
          <w:tcPr>
            <w:tcW w:w="630" w:type="pct"/>
            <w:tcBorders>
              <w:top w:val="single" w:color="auto" w:sz="4" w:space="0"/>
              <w:left w:val="single" w:color="auto" w:sz="4" w:space="0"/>
              <w:bottom w:val="single" w:color="auto" w:sz="4" w:space="0"/>
              <w:right w:val="single" w:color="auto" w:sz="4" w:space="0"/>
            </w:tcBorders>
            <w:noWrap w:val="0"/>
            <w:vAlign w:val="center"/>
          </w:tcPr>
          <w:p w14:paraId="49C67E84">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包总金额（万元）</w:t>
            </w:r>
          </w:p>
        </w:tc>
        <w:tc>
          <w:tcPr>
            <w:tcW w:w="595" w:type="pct"/>
            <w:tcBorders>
              <w:top w:val="single" w:color="auto" w:sz="4" w:space="0"/>
              <w:left w:val="single" w:color="auto" w:sz="4" w:space="0"/>
              <w:bottom w:val="single" w:color="auto" w:sz="4" w:space="0"/>
              <w:right w:val="single" w:color="auto" w:sz="4" w:space="0"/>
            </w:tcBorders>
            <w:noWrap w:val="0"/>
            <w:vAlign w:val="center"/>
          </w:tcPr>
          <w:p w14:paraId="7B7FEECB">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是否专门面向中小微企业</w:t>
            </w:r>
          </w:p>
        </w:tc>
        <w:tc>
          <w:tcPr>
            <w:tcW w:w="618" w:type="pct"/>
            <w:tcBorders>
              <w:top w:val="single" w:color="auto" w:sz="4" w:space="0"/>
              <w:left w:val="single" w:color="auto" w:sz="4" w:space="0"/>
              <w:bottom w:val="single" w:color="auto" w:sz="4" w:space="0"/>
              <w:right w:val="single" w:color="auto" w:sz="4" w:space="0"/>
            </w:tcBorders>
            <w:noWrap w:val="0"/>
            <w:vAlign w:val="center"/>
          </w:tcPr>
          <w:p w14:paraId="1AADA66C">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备注</w:t>
            </w:r>
          </w:p>
        </w:tc>
      </w:tr>
      <w:tr w14:paraId="4CA6D1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325" w:type="pct"/>
            <w:tcBorders>
              <w:top w:val="single" w:color="000000" w:sz="4" w:space="0"/>
              <w:left w:val="single" w:color="000000" w:sz="4" w:space="0"/>
              <w:bottom w:val="single" w:color="000000" w:sz="4" w:space="0"/>
              <w:right w:val="single" w:color="000000" w:sz="4" w:space="0"/>
            </w:tcBorders>
            <w:noWrap w:val="0"/>
            <w:vAlign w:val="center"/>
          </w:tcPr>
          <w:p w14:paraId="648D27C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r>
              <w:rPr>
                <w:rFonts w:hint="eastAsia" w:eastAsia="宋体" w:cs="宋体"/>
                <w:i w:val="0"/>
                <w:iCs w:val="0"/>
                <w:color w:val="auto"/>
                <w:kern w:val="0"/>
                <w:sz w:val="21"/>
                <w:szCs w:val="21"/>
                <w:highlight w:val="none"/>
                <w:u w:val="none"/>
                <w:lang w:val="en-US" w:eastAsia="zh-CN" w:bidi="ar"/>
              </w:rPr>
              <w:t>2</w:t>
            </w:r>
          </w:p>
        </w:tc>
        <w:tc>
          <w:tcPr>
            <w:tcW w:w="1030" w:type="pct"/>
            <w:tcBorders>
              <w:top w:val="single" w:color="000000" w:sz="4" w:space="0"/>
              <w:left w:val="single" w:color="000000" w:sz="4" w:space="0"/>
              <w:bottom w:val="single" w:color="000000" w:sz="4" w:space="0"/>
              <w:right w:val="single" w:color="000000" w:sz="4" w:space="0"/>
            </w:tcBorders>
            <w:noWrap w:val="0"/>
            <w:vAlign w:val="center"/>
          </w:tcPr>
          <w:p w14:paraId="4D9DF82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手持电台（水域）</w:t>
            </w:r>
          </w:p>
        </w:tc>
        <w:tc>
          <w:tcPr>
            <w:tcW w:w="325" w:type="pct"/>
            <w:tcBorders>
              <w:top w:val="single" w:color="000000" w:sz="4" w:space="0"/>
              <w:left w:val="single" w:color="000000" w:sz="4" w:space="0"/>
              <w:bottom w:val="single" w:color="000000" w:sz="4" w:space="0"/>
              <w:right w:val="single" w:color="000000" w:sz="4" w:space="0"/>
            </w:tcBorders>
            <w:noWrap w:val="0"/>
            <w:vAlign w:val="center"/>
          </w:tcPr>
          <w:p w14:paraId="6C6A003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123 </w:t>
            </w:r>
          </w:p>
        </w:tc>
        <w:tc>
          <w:tcPr>
            <w:tcW w:w="360" w:type="pct"/>
            <w:tcBorders>
              <w:top w:val="single" w:color="000000" w:sz="4" w:space="0"/>
              <w:left w:val="single" w:color="000000" w:sz="4" w:space="0"/>
              <w:bottom w:val="single" w:color="000000" w:sz="4" w:space="0"/>
              <w:right w:val="single" w:color="000000" w:sz="4" w:space="0"/>
            </w:tcBorders>
            <w:noWrap w:val="0"/>
            <w:vAlign w:val="center"/>
          </w:tcPr>
          <w:p w14:paraId="1D7448EC">
            <w:pPr>
              <w:jc w:val="center"/>
              <w:rPr>
                <w:rFonts w:hint="eastAsia" w:ascii="宋体" w:hAnsi="宋体" w:eastAsia="宋体" w:cs="宋体"/>
                <w:i w:val="0"/>
                <w:iCs w:val="0"/>
                <w:color w:val="auto"/>
                <w:sz w:val="21"/>
                <w:szCs w:val="21"/>
                <w:highlight w:val="none"/>
                <w:u w:val="none"/>
              </w:rPr>
            </w:pPr>
            <w:r>
              <w:rPr>
                <w:rStyle w:val="10"/>
                <w:color w:val="auto"/>
                <w:sz w:val="21"/>
                <w:szCs w:val="21"/>
                <w:highlight w:val="none"/>
                <w:lang w:val="en-US" w:eastAsia="zh-CN" w:bidi="ar"/>
              </w:rPr>
              <w:t>个</w:t>
            </w: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50EA34E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0.22</w:t>
            </w:r>
          </w:p>
        </w:tc>
        <w:tc>
          <w:tcPr>
            <w:tcW w:w="574" w:type="pct"/>
            <w:tcBorders>
              <w:top w:val="single" w:color="000000" w:sz="4" w:space="0"/>
              <w:left w:val="single" w:color="000000" w:sz="4" w:space="0"/>
              <w:bottom w:val="single" w:color="000000" w:sz="4" w:space="0"/>
              <w:right w:val="nil"/>
            </w:tcBorders>
            <w:noWrap/>
            <w:vAlign w:val="center"/>
          </w:tcPr>
          <w:p w14:paraId="3FC7023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27.06</w:t>
            </w:r>
          </w:p>
        </w:tc>
        <w:tc>
          <w:tcPr>
            <w:tcW w:w="630" w:type="pct"/>
            <w:tcBorders>
              <w:top w:val="single" w:color="000000" w:sz="4" w:space="0"/>
              <w:left w:val="single" w:color="000000" w:sz="4" w:space="0"/>
              <w:bottom w:val="single" w:color="000000" w:sz="4" w:space="0"/>
              <w:right w:val="nil"/>
            </w:tcBorders>
            <w:noWrap/>
            <w:vAlign w:val="center"/>
          </w:tcPr>
          <w:p w14:paraId="64B95C1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27.06</w:t>
            </w:r>
          </w:p>
        </w:tc>
        <w:tc>
          <w:tcPr>
            <w:tcW w:w="595" w:type="pct"/>
            <w:tcBorders>
              <w:top w:val="single" w:color="000000" w:sz="4" w:space="0"/>
              <w:left w:val="single" w:color="000000" w:sz="4" w:space="0"/>
              <w:bottom w:val="single" w:color="000000" w:sz="4" w:space="0"/>
              <w:right w:val="single" w:color="000000" w:sz="4" w:space="0"/>
            </w:tcBorders>
            <w:noWrap/>
            <w:vAlign w:val="center"/>
          </w:tcPr>
          <w:p w14:paraId="7D09214D">
            <w:pPr>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rPr>
              <w:t>否</w:t>
            </w:r>
          </w:p>
        </w:tc>
        <w:tc>
          <w:tcPr>
            <w:tcW w:w="618" w:type="pct"/>
            <w:tcBorders>
              <w:top w:val="single" w:color="000000" w:sz="4" w:space="0"/>
              <w:left w:val="single" w:color="000000" w:sz="4" w:space="0"/>
              <w:bottom w:val="single" w:color="000000" w:sz="4" w:space="0"/>
              <w:right w:val="single" w:color="000000" w:sz="4" w:space="0"/>
            </w:tcBorders>
            <w:noWrap/>
            <w:vAlign w:val="center"/>
          </w:tcPr>
          <w:p w14:paraId="48767744">
            <w:pPr>
              <w:rPr>
                <w:rFonts w:hint="eastAsia" w:ascii="宋体" w:hAnsi="宋体" w:eastAsia="宋体" w:cs="宋体"/>
                <w:b w:val="0"/>
                <w:bCs w:val="0"/>
                <w:i w:val="0"/>
                <w:iCs w:val="0"/>
                <w:color w:val="auto"/>
                <w:sz w:val="18"/>
                <w:szCs w:val="18"/>
                <w:highlight w:val="none"/>
                <w:u w:val="none"/>
              </w:rPr>
            </w:pPr>
          </w:p>
        </w:tc>
      </w:tr>
      <w:tr w14:paraId="654BD1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325" w:type="pct"/>
            <w:tcBorders>
              <w:top w:val="single" w:color="000000" w:sz="4" w:space="0"/>
              <w:left w:val="single" w:color="000000" w:sz="4" w:space="0"/>
              <w:bottom w:val="single" w:color="000000" w:sz="4" w:space="0"/>
              <w:right w:val="single" w:color="000000" w:sz="4" w:space="0"/>
            </w:tcBorders>
            <w:noWrap w:val="0"/>
            <w:vAlign w:val="center"/>
          </w:tcPr>
          <w:p w14:paraId="0B8AF34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r>
              <w:rPr>
                <w:rFonts w:hint="eastAsia" w:eastAsia="宋体" w:cs="宋体"/>
                <w:i w:val="0"/>
                <w:iCs w:val="0"/>
                <w:color w:val="auto"/>
                <w:kern w:val="0"/>
                <w:sz w:val="21"/>
                <w:szCs w:val="21"/>
                <w:highlight w:val="none"/>
                <w:u w:val="none"/>
                <w:lang w:val="en-US" w:eastAsia="zh-CN" w:bidi="ar"/>
              </w:rPr>
              <w:t>5</w:t>
            </w:r>
          </w:p>
        </w:tc>
        <w:tc>
          <w:tcPr>
            <w:tcW w:w="1030" w:type="pct"/>
            <w:tcBorders>
              <w:top w:val="single" w:color="000000" w:sz="4" w:space="0"/>
              <w:left w:val="single" w:color="000000" w:sz="4" w:space="0"/>
              <w:bottom w:val="single" w:color="000000" w:sz="4" w:space="0"/>
              <w:right w:val="single" w:color="000000" w:sz="4" w:space="0"/>
            </w:tcBorders>
            <w:noWrap w:val="0"/>
            <w:vAlign w:val="center"/>
          </w:tcPr>
          <w:p w14:paraId="27FE2A0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消防员灭火防护服（战斗款、两层）</w:t>
            </w:r>
          </w:p>
        </w:tc>
        <w:tc>
          <w:tcPr>
            <w:tcW w:w="325" w:type="pct"/>
            <w:tcBorders>
              <w:top w:val="single" w:color="000000" w:sz="4" w:space="0"/>
              <w:left w:val="single" w:color="000000" w:sz="4" w:space="0"/>
              <w:bottom w:val="single" w:color="000000" w:sz="4" w:space="0"/>
              <w:right w:val="single" w:color="000000" w:sz="4" w:space="0"/>
            </w:tcBorders>
            <w:noWrap w:val="0"/>
            <w:vAlign w:val="center"/>
          </w:tcPr>
          <w:p w14:paraId="4559AB9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145 </w:t>
            </w:r>
          </w:p>
        </w:tc>
        <w:tc>
          <w:tcPr>
            <w:tcW w:w="360" w:type="pct"/>
            <w:tcBorders>
              <w:top w:val="single" w:color="000000" w:sz="4" w:space="0"/>
              <w:left w:val="single" w:color="000000" w:sz="4" w:space="0"/>
              <w:bottom w:val="single" w:color="000000" w:sz="4" w:space="0"/>
              <w:right w:val="single" w:color="000000" w:sz="4" w:space="0"/>
            </w:tcBorders>
            <w:noWrap w:val="0"/>
            <w:vAlign w:val="center"/>
          </w:tcPr>
          <w:p w14:paraId="51B4C8F5">
            <w:pPr>
              <w:jc w:val="center"/>
              <w:rPr>
                <w:rFonts w:hint="eastAsia" w:ascii="宋体" w:hAnsi="宋体" w:eastAsia="宋体" w:cs="宋体"/>
                <w:i w:val="0"/>
                <w:iCs w:val="0"/>
                <w:color w:val="auto"/>
                <w:sz w:val="21"/>
                <w:szCs w:val="21"/>
                <w:highlight w:val="none"/>
                <w:u w:val="none"/>
              </w:rPr>
            </w:pPr>
            <w:r>
              <w:rPr>
                <w:rStyle w:val="11"/>
                <w:color w:val="auto"/>
                <w:sz w:val="21"/>
                <w:szCs w:val="21"/>
                <w:highlight w:val="none"/>
                <w:lang w:val="en-US" w:eastAsia="zh-CN" w:bidi="ar"/>
              </w:rPr>
              <w:t>套</w:t>
            </w: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33F0A34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0.35</w:t>
            </w:r>
          </w:p>
        </w:tc>
        <w:tc>
          <w:tcPr>
            <w:tcW w:w="574" w:type="pct"/>
            <w:tcBorders>
              <w:top w:val="single" w:color="000000" w:sz="4" w:space="0"/>
              <w:left w:val="single" w:color="000000" w:sz="4" w:space="0"/>
              <w:bottom w:val="single" w:color="000000" w:sz="4" w:space="0"/>
              <w:right w:val="nil"/>
            </w:tcBorders>
            <w:noWrap/>
            <w:vAlign w:val="center"/>
          </w:tcPr>
          <w:p w14:paraId="2486D90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50.75</w:t>
            </w:r>
          </w:p>
        </w:tc>
        <w:tc>
          <w:tcPr>
            <w:tcW w:w="630" w:type="pct"/>
            <w:tcBorders>
              <w:top w:val="single" w:color="000000" w:sz="4" w:space="0"/>
              <w:left w:val="single" w:color="000000" w:sz="4" w:space="0"/>
              <w:bottom w:val="single" w:color="000000" w:sz="4" w:space="0"/>
              <w:right w:val="nil"/>
            </w:tcBorders>
            <w:noWrap/>
            <w:vAlign w:val="center"/>
          </w:tcPr>
          <w:p w14:paraId="66407C1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50.75</w:t>
            </w:r>
          </w:p>
        </w:tc>
        <w:tc>
          <w:tcPr>
            <w:tcW w:w="595" w:type="pct"/>
            <w:tcBorders>
              <w:top w:val="single" w:color="000000" w:sz="4" w:space="0"/>
              <w:left w:val="single" w:color="000000" w:sz="4" w:space="0"/>
              <w:bottom w:val="single" w:color="000000" w:sz="4" w:space="0"/>
              <w:right w:val="single" w:color="000000" w:sz="4" w:space="0"/>
            </w:tcBorders>
            <w:noWrap/>
            <w:vAlign w:val="center"/>
          </w:tcPr>
          <w:p w14:paraId="059AA3BC">
            <w:pPr>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rPr>
              <w:t>是</w:t>
            </w:r>
          </w:p>
        </w:tc>
        <w:tc>
          <w:tcPr>
            <w:tcW w:w="618" w:type="pct"/>
            <w:tcBorders>
              <w:top w:val="single" w:color="000000" w:sz="4" w:space="0"/>
              <w:left w:val="single" w:color="000000" w:sz="4" w:space="0"/>
              <w:bottom w:val="single" w:color="000000" w:sz="4" w:space="0"/>
              <w:right w:val="single" w:color="000000" w:sz="4" w:space="0"/>
            </w:tcBorders>
            <w:noWrap/>
            <w:vAlign w:val="center"/>
          </w:tcPr>
          <w:p w14:paraId="70E75C64">
            <w:pPr>
              <w:rPr>
                <w:rFonts w:hint="eastAsia" w:ascii="宋体" w:hAnsi="宋体" w:eastAsia="宋体" w:cs="宋体"/>
                <w:b w:val="0"/>
                <w:bCs w:val="0"/>
                <w:i w:val="0"/>
                <w:iCs w:val="0"/>
                <w:color w:val="auto"/>
                <w:sz w:val="18"/>
                <w:szCs w:val="18"/>
                <w:highlight w:val="none"/>
                <w:u w:val="none"/>
              </w:rPr>
            </w:pPr>
          </w:p>
        </w:tc>
      </w:tr>
      <w:tr w14:paraId="51EBEE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325" w:type="pct"/>
            <w:tcBorders>
              <w:top w:val="single" w:color="000000" w:sz="4" w:space="0"/>
              <w:left w:val="single" w:color="000000" w:sz="4" w:space="0"/>
              <w:bottom w:val="single" w:color="000000" w:sz="4" w:space="0"/>
              <w:right w:val="single" w:color="000000" w:sz="4" w:space="0"/>
            </w:tcBorders>
            <w:noWrap/>
            <w:vAlign w:val="center"/>
          </w:tcPr>
          <w:p w14:paraId="798DDB94">
            <w:pPr>
              <w:keepNext w:val="0"/>
              <w:keepLines w:val="0"/>
              <w:widowControl/>
              <w:suppressLineNumbers w:val="0"/>
              <w:jc w:val="center"/>
              <w:textAlignment w:val="center"/>
              <w:rPr>
                <w:rFonts w:hint="default"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sz w:val="21"/>
                <w:szCs w:val="21"/>
                <w:highlight w:val="none"/>
                <w:u w:val="none"/>
                <w:lang w:val="en-US" w:eastAsia="zh-CN"/>
              </w:rPr>
              <w:t>20</w:t>
            </w:r>
          </w:p>
        </w:tc>
        <w:tc>
          <w:tcPr>
            <w:tcW w:w="1030" w:type="pct"/>
            <w:tcBorders>
              <w:top w:val="single" w:color="000000" w:sz="4" w:space="0"/>
              <w:left w:val="single" w:color="000000" w:sz="4" w:space="0"/>
              <w:bottom w:val="single" w:color="000000" w:sz="4" w:space="0"/>
              <w:right w:val="single" w:color="000000" w:sz="4" w:space="0"/>
            </w:tcBorders>
            <w:noWrap w:val="0"/>
            <w:vAlign w:val="center"/>
          </w:tcPr>
          <w:p w14:paraId="4276590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消防员灭火防护服（战斗款）4黄金甲</w:t>
            </w:r>
          </w:p>
        </w:tc>
        <w:tc>
          <w:tcPr>
            <w:tcW w:w="325" w:type="pct"/>
            <w:tcBorders>
              <w:top w:val="single" w:color="000000" w:sz="4" w:space="0"/>
              <w:left w:val="single" w:color="000000" w:sz="4" w:space="0"/>
              <w:bottom w:val="single" w:color="000000" w:sz="4" w:space="0"/>
              <w:right w:val="single" w:color="000000" w:sz="4" w:space="0"/>
            </w:tcBorders>
            <w:noWrap w:val="0"/>
            <w:vAlign w:val="center"/>
          </w:tcPr>
          <w:p w14:paraId="728C0D5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25 </w:t>
            </w:r>
          </w:p>
        </w:tc>
        <w:tc>
          <w:tcPr>
            <w:tcW w:w="360" w:type="pct"/>
            <w:tcBorders>
              <w:top w:val="single" w:color="000000" w:sz="4" w:space="0"/>
              <w:left w:val="single" w:color="000000" w:sz="4" w:space="0"/>
              <w:bottom w:val="single" w:color="000000" w:sz="4" w:space="0"/>
              <w:right w:val="single" w:color="000000" w:sz="4" w:space="0"/>
            </w:tcBorders>
            <w:noWrap w:val="0"/>
            <w:vAlign w:val="center"/>
          </w:tcPr>
          <w:p w14:paraId="4D8F91AF">
            <w:pPr>
              <w:jc w:val="center"/>
              <w:rPr>
                <w:rFonts w:hint="eastAsia" w:ascii="宋体" w:hAnsi="宋体" w:eastAsia="宋体" w:cs="宋体"/>
                <w:i w:val="0"/>
                <w:iCs w:val="0"/>
                <w:color w:val="auto"/>
                <w:sz w:val="21"/>
                <w:szCs w:val="21"/>
                <w:highlight w:val="none"/>
                <w:u w:val="none"/>
              </w:rPr>
            </w:pPr>
            <w:r>
              <w:rPr>
                <w:rStyle w:val="11"/>
                <w:color w:val="auto"/>
                <w:sz w:val="21"/>
                <w:szCs w:val="21"/>
                <w:highlight w:val="none"/>
                <w:lang w:val="en-US" w:eastAsia="zh-CN" w:bidi="ar"/>
              </w:rPr>
              <w:t>套</w:t>
            </w: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0B07CF1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0.9</w:t>
            </w:r>
          </w:p>
        </w:tc>
        <w:tc>
          <w:tcPr>
            <w:tcW w:w="574" w:type="pct"/>
            <w:tcBorders>
              <w:top w:val="single" w:color="000000" w:sz="4" w:space="0"/>
              <w:left w:val="single" w:color="000000" w:sz="4" w:space="0"/>
              <w:bottom w:val="single" w:color="000000" w:sz="4" w:space="0"/>
              <w:right w:val="nil"/>
            </w:tcBorders>
            <w:noWrap/>
            <w:vAlign w:val="center"/>
          </w:tcPr>
          <w:p w14:paraId="0611A44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22.5</w:t>
            </w:r>
          </w:p>
        </w:tc>
        <w:tc>
          <w:tcPr>
            <w:tcW w:w="630" w:type="pct"/>
            <w:tcBorders>
              <w:top w:val="single" w:color="000000" w:sz="4" w:space="0"/>
              <w:left w:val="single" w:color="000000" w:sz="4" w:space="0"/>
              <w:bottom w:val="single" w:color="000000" w:sz="4" w:space="0"/>
              <w:right w:val="nil"/>
            </w:tcBorders>
            <w:noWrap/>
            <w:vAlign w:val="center"/>
          </w:tcPr>
          <w:p w14:paraId="62B0648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22.5</w:t>
            </w:r>
          </w:p>
        </w:tc>
        <w:tc>
          <w:tcPr>
            <w:tcW w:w="595" w:type="pct"/>
            <w:tcBorders>
              <w:top w:val="single" w:color="000000" w:sz="4" w:space="0"/>
              <w:left w:val="single" w:color="000000" w:sz="4" w:space="0"/>
              <w:bottom w:val="single" w:color="000000" w:sz="4" w:space="0"/>
              <w:right w:val="single" w:color="000000" w:sz="4" w:space="0"/>
            </w:tcBorders>
            <w:noWrap/>
            <w:vAlign w:val="center"/>
          </w:tcPr>
          <w:p w14:paraId="099C2BE4">
            <w:pPr>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rPr>
              <w:t>是</w:t>
            </w:r>
          </w:p>
        </w:tc>
        <w:tc>
          <w:tcPr>
            <w:tcW w:w="618" w:type="pct"/>
            <w:tcBorders>
              <w:top w:val="single" w:color="000000" w:sz="4" w:space="0"/>
              <w:left w:val="single" w:color="000000" w:sz="4" w:space="0"/>
              <w:bottom w:val="single" w:color="000000" w:sz="4" w:space="0"/>
              <w:right w:val="single" w:color="000000" w:sz="4" w:space="0"/>
            </w:tcBorders>
            <w:noWrap/>
            <w:vAlign w:val="center"/>
          </w:tcPr>
          <w:p w14:paraId="3615C517">
            <w:pPr>
              <w:rPr>
                <w:rFonts w:hint="eastAsia" w:ascii="宋体" w:hAnsi="宋体" w:eastAsia="宋体" w:cs="宋体"/>
                <w:b w:val="0"/>
                <w:bCs w:val="0"/>
                <w:i w:val="0"/>
                <w:iCs w:val="0"/>
                <w:color w:val="auto"/>
                <w:sz w:val="18"/>
                <w:szCs w:val="18"/>
                <w:highlight w:val="none"/>
                <w:u w:val="none"/>
              </w:rPr>
            </w:pPr>
          </w:p>
        </w:tc>
      </w:tr>
      <w:tr w14:paraId="78B5DB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325" w:type="pct"/>
            <w:vMerge w:val="restart"/>
            <w:tcBorders>
              <w:top w:val="single" w:color="000000" w:sz="4" w:space="0"/>
              <w:left w:val="single" w:color="000000" w:sz="4" w:space="0"/>
              <w:bottom w:val="single" w:color="000000" w:sz="4" w:space="0"/>
              <w:right w:val="single" w:color="000000" w:sz="4" w:space="0"/>
            </w:tcBorders>
            <w:noWrap/>
            <w:vAlign w:val="center"/>
          </w:tcPr>
          <w:p w14:paraId="02B2185F">
            <w:pPr>
              <w:keepNext w:val="0"/>
              <w:keepLines w:val="0"/>
              <w:widowControl/>
              <w:suppressLineNumbers w:val="0"/>
              <w:jc w:val="center"/>
              <w:textAlignment w:val="center"/>
              <w:rPr>
                <w:rFonts w:hint="default" w:ascii="宋体" w:hAnsi="宋体" w:eastAsia="宋体" w:cs="宋体"/>
                <w:i w:val="0"/>
                <w:iCs w:val="0"/>
                <w:color w:val="auto"/>
                <w:sz w:val="21"/>
                <w:szCs w:val="21"/>
                <w:highlight w:val="none"/>
                <w:u w:val="none"/>
                <w:lang w:val="en-US" w:eastAsia="zh-CN"/>
              </w:rPr>
            </w:pPr>
            <w:r>
              <w:rPr>
                <w:rFonts w:hint="eastAsia" w:eastAsia="宋体" w:cs="宋体"/>
                <w:i w:val="0"/>
                <w:iCs w:val="0"/>
                <w:color w:val="auto"/>
                <w:sz w:val="21"/>
                <w:szCs w:val="21"/>
                <w:highlight w:val="none"/>
                <w:u w:val="none"/>
                <w:lang w:val="en-US" w:eastAsia="zh-CN"/>
              </w:rPr>
              <w:t>39</w:t>
            </w:r>
          </w:p>
        </w:tc>
        <w:tc>
          <w:tcPr>
            <w:tcW w:w="1030" w:type="pct"/>
            <w:tcBorders>
              <w:top w:val="single" w:color="000000" w:sz="4" w:space="0"/>
              <w:left w:val="single" w:color="000000" w:sz="4" w:space="0"/>
              <w:bottom w:val="single" w:color="000000" w:sz="4" w:space="0"/>
              <w:right w:val="single" w:color="000000" w:sz="4" w:space="0"/>
            </w:tcBorders>
            <w:noWrap w:val="0"/>
            <w:vAlign w:val="center"/>
          </w:tcPr>
          <w:p w14:paraId="754D1A4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干式水域救援服1（核心产品）</w:t>
            </w:r>
          </w:p>
        </w:tc>
        <w:tc>
          <w:tcPr>
            <w:tcW w:w="325" w:type="pct"/>
            <w:tcBorders>
              <w:top w:val="single" w:color="000000" w:sz="4" w:space="0"/>
              <w:left w:val="single" w:color="000000" w:sz="4" w:space="0"/>
              <w:bottom w:val="single" w:color="000000" w:sz="4" w:space="0"/>
              <w:right w:val="single" w:color="000000" w:sz="4" w:space="0"/>
            </w:tcBorders>
            <w:noWrap w:val="0"/>
            <w:vAlign w:val="center"/>
          </w:tcPr>
          <w:p w14:paraId="56F1D50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226 </w:t>
            </w:r>
          </w:p>
        </w:tc>
        <w:tc>
          <w:tcPr>
            <w:tcW w:w="360" w:type="pct"/>
            <w:tcBorders>
              <w:top w:val="single" w:color="000000" w:sz="4" w:space="0"/>
              <w:left w:val="single" w:color="000000" w:sz="4" w:space="0"/>
              <w:bottom w:val="single" w:color="000000" w:sz="4" w:space="0"/>
              <w:right w:val="single" w:color="000000" w:sz="4" w:space="0"/>
            </w:tcBorders>
            <w:noWrap w:val="0"/>
            <w:vAlign w:val="center"/>
          </w:tcPr>
          <w:p w14:paraId="3292037B">
            <w:pPr>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rPr>
              <w:t>套</w:t>
            </w: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5A335A3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0.3</w:t>
            </w:r>
          </w:p>
        </w:tc>
        <w:tc>
          <w:tcPr>
            <w:tcW w:w="574" w:type="pct"/>
            <w:tcBorders>
              <w:top w:val="single" w:color="000000" w:sz="4" w:space="0"/>
              <w:left w:val="single" w:color="000000" w:sz="4" w:space="0"/>
              <w:bottom w:val="single" w:color="000000" w:sz="4" w:space="0"/>
              <w:right w:val="nil"/>
            </w:tcBorders>
            <w:noWrap/>
            <w:vAlign w:val="center"/>
          </w:tcPr>
          <w:p w14:paraId="4F78534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67.8</w:t>
            </w:r>
          </w:p>
        </w:tc>
        <w:tc>
          <w:tcPr>
            <w:tcW w:w="630" w:type="pct"/>
            <w:vMerge w:val="restart"/>
            <w:tcBorders>
              <w:top w:val="single" w:color="000000" w:sz="4" w:space="0"/>
              <w:left w:val="single" w:color="000000" w:sz="4" w:space="0"/>
              <w:bottom w:val="single" w:color="000000" w:sz="4" w:space="0"/>
              <w:right w:val="nil"/>
            </w:tcBorders>
            <w:noWrap/>
            <w:vAlign w:val="center"/>
          </w:tcPr>
          <w:p w14:paraId="7B077D0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130.4</w:t>
            </w:r>
          </w:p>
        </w:tc>
        <w:tc>
          <w:tcPr>
            <w:tcW w:w="595" w:type="pct"/>
            <w:vMerge w:val="restart"/>
            <w:tcBorders>
              <w:top w:val="single" w:color="000000" w:sz="4" w:space="0"/>
              <w:left w:val="single" w:color="000000" w:sz="4" w:space="0"/>
              <w:right w:val="single" w:color="000000" w:sz="4" w:space="0"/>
            </w:tcBorders>
            <w:noWrap/>
            <w:vAlign w:val="center"/>
          </w:tcPr>
          <w:p w14:paraId="3CDEDA72">
            <w:pPr>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rPr>
              <w:t>是</w:t>
            </w:r>
          </w:p>
        </w:tc>
        <w:tc>
          <w:tcPr>
            <w:tcW w:w="618" w:type="pct"/>
            <w:vMerge w:val="restart"/>
            <w:tcBorders>
              <w:top w:val="single" w:color="000000" w:sz="4" w:space="0"/>
              <w:left w:val="single" w:color="000000" w:sz="4" w:space="0"/>
              <w:right w:val="single" w:color="000000" w:sz="4" w:space="0"/>
            </w:tcBorders>
            <w:noWrap/>
            <w:vAlign w:val="center"/>
          </w:tcPr>
          <w:p w14:paraId="1E699F5F">
            <w:pPr>
              <w:rPr>
                <w:rFonts w:hint="eastAsia" w:ascii="宋体" w:hAnsi="宋体" w:eastAsia="宋体" w:cs="宋体"/>
                <w:b w:val="0"/>
                <w:bCs w:val="0"/>
                <w:i w:val="0"/>
                <w:iCs w:val="0"/>
                <w:color w:val="auto"/>
                <w:sz w:val="18"/>
                <w:szCs w:val="18"/>
                <w:highlight w:val="none"/>
                <w:u w:val="none"/>
              </w:rPr>
            </w:pPr>
          </w:p>
        </w:tc>
      </w:tr>
      <w:tr w14:paraId="10642D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325" w:type="pct"/>
            <w:vMerge w:val="continue"/>
            <w:tcBorders>
              <w:top w:val="single" w:color="000000" w:sz="4" w:space="0"/>
              <w:left w:val="single" w:color="000000" w:sz="4" w:space="0"/>
              <w:bottom w:val="single" w:color="000000" w:sz="4" w:space="0"/>
              <w:right w:val="single" w:color="000000" w:sz="4" w:space="0"/>
            </w:tcBorders>
            <w:noWrap/>
            <w:vAlign w:val="center"/>
          </w:tcPr>
          <w:p w14:paraId="2C37EC83">
            <w:pPr>
              <w:jc w:val="center"/>
              <w:rPr>
                <w:rFonts w:hint="eastAsia" w:ascii="宋体" w:hAnsi="宋体" w:eastAsia="宋体" w:cs="宋体"/>
                <w:i w:val="0"/>
                <w:iCs w:val="0"/>
                <w:color w:val="auto"/>
                <w:sz w:val="21"/>
                <w:szCs w:val="21"/>
                <w:highlight w:val="none"/>
                <w:u w:val="none"/>
              </w:rPr>
            </w:pPr>
          </w:p>
        </w:tc>
        <w:tc>
          <w:tcPr>
            <w:tcW w:w="1030" w:type="pct"/>
            <w:tcBorders>
              <w:top w:val="single" w:color="000000" w:sz="4" w:space="0"/>
              <w:left w:val="single" w:color="000000" w:sz="4" w:space="0"/>
              <w:bottom w:val="single" w:color="000000" w:sz="4" w:space="0"/>
              <w:right w:val="single" w:color="000000" w:sz="4" w:space="0"/>
            </w:tcBorders>
            <w:noWrap w:val="0"/>
            <w:vAlign w:val="center"/>
          </w:tcPr>
          <w:p w14:paraId="2881F3B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干式水域救援服2</w:t>
            </w:r>
          </w:p>
        </w:tc>
        <w:tc>
          <w:tcPr>
            <w:tcW w:w="325" w:type="pct"/>
            <w:tcBorders>
              <w:top w:val="single" w:color="000000" w:sz="4" w:space="0"/>
              <w:left w:val="single" w:color="000000" w:sz="4" w:space="0"/>
              <w:bottom w:val="single" w:color="000000" w:sz="4" w:space="0"/>
              <w:right w:val="single" w:color="000000" w:sz="4" w:space="0"/>
            </w:tcBorders>
            <w:noWrap w:val="0"/>
            <w:vAlign w:val="center"/>
          </w:tcPr>
          <w:p w14:paraId="2855ECD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36 </w:t>
            </w:r>
          </w:p>
        </w:tc>
        <w:tc>
          <w:tcPr>
            <w:tcW w:w="360" w:type="pct"/>
            <w:tcBorders>
              <w:top w:val="single" w:color="000000" w:sz="4" w:space="0"/>
              <w:left w:val="single" w:color="000000" w:sz="4" w:space="0"/>
              <w:bottom w:val="single" w:color="000000" w:sz="4" w:space="0"/>
              <w:right w:val="single" w:color="000000" w:sz="4" w:space="0"/>
            </w:tcBorders>
            <w:noWrap w:val="0"/>
            <w:vAlign w:val="center"/>
          </w:tcPr>
          <w:p w14:paraId="3FD927A2">
            <w:pPr>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rPr>
              <w:t>套</w:t>
            </w: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33C0225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74" w:type="pct"/>
            <w:tcBorders>
              <w:top w:val="single" w:color="000000" w:sz="4" w:space="0"/>
              <w:left w:val="single" w:color="000000" w:sz="4" w:space="0"/>
              <w:bottom w:val="single" w:color="000000" w:sz="4" w:space="0"/>
              <w:right w:val="nil"/>
            </w:tcBorders>
            <w:noWrap/>
            <w:vAlign w:val="center"/>
          </w:tcPr>
          <w:p w14:paraId="4CD290D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36</w:t>
            </w:r>
          </w:p>
        </w:tc>
        <w:tc>
          <w:tcPr>
            <w:tcW w:w="630" w:type="pct"/>
            <w:vMerge w:val="continue"/>
            <w:tcBorders>
              <w:top w:val="single" w:color="000000" w:sz="4" w:space="0"/>
              <w:left w:val="single" w:color="000000" w:sz="4" w:space="0"/>
              <w:bottom w:val="single" w:color="000000" w:sz="4" w:space="0"/>
              <w:right w:val="nil"/>
            </w:tcBorders>
            <w:noWrap/>
            <w:vAlign w:val="center"/>
          </w:tcPr>
          <w:p w14:paraId="06472941">
            <w:pPr>
              <w:jc w:val="center"/>
              <w:rPr>
                <w:rFonts w:hint="eastAsia" w:ascii="宋体" w:hAnsi="宋体" w:eastAsia="宋体" w:cs="宋体"/>
                <w:i w:val="0"/>
                <w:iCs w:val="0"/>
                <w:color w:val="auto"/>
                <w:sz w:val="21"/>
                <w:szCs w:val="21"/>
                <w:highlight w:val="none"/>
                <w:u w:val="none"/>
              </w:rPr>
            </w:pPr>
          </w:p>
        </w:tc>
        <w:tc>
          <w:tcPr>
            <w:tcW w:w="595" w:type="pct"/>
            <w:vMerge w:val="continue"/>
            <w:tcBorders>
              <w:left w:val="single" w:color="000000" w:sz="4" w:space="0"/>
              <w:right w:val="single" w:color="000000" w:sz="4" w:space="0"/>
            </w:tcBorders>
            <w:noWrap/>
            <w:vAlign w:val="center"/>
          </w:tcPr>
          <w:p w14:paraId="0C0C8192">
            <w:pPr>
              <w:jc w:val="center"/>
              <w:rPr>
                <w:rFonts w:hint="eastAsia" w:ascii="宋体" w:hAnsi="宋体" w:eastAsia="宋体" w:cs="宋体"/>
                <w:i w:val="0"/>
                <w:iCs w:val="0"/>
                <w:color w:val="auto"/>
                <w:sz w:val="21"/>
                <w:szCs w:val="21"/>
                <w:highlight w:val="none"/>
                <w:u w:val="none"/>
              </w:rPr>
            </w:pPr>
          </w:p>
        </w:tc>
        <w:tc>
          <w:tcPr>
            <w:tcW w:w="618" w:type="pct"/>
            <w:vMerge w:val="continue"/>
            <w:tcBorders>
              <w:left w:val="single" w:color="000000" w:sz="4" w:space="0"/>
              <w:right w:val="single" w:color="000000" w:sz="4" w:space="0"/>
            </w:tcBorders>
            <w:noWrap/>
            <w:vAlign w:val="center"/>
          </w:tcPr>
          <w:p w14:paraId="6BD6CB14">
            <w:pPr>
              <w:rPr>
                <w:rFonts w:hint="eastAsia" w:ascii="宋体" w:hAnsi="宋体" w:eastAsia="宋体" w:cs="宋体"/>
                <w:b w:val="0"/>
                <w:bCs w:val="0"/>
                <w:i w:val="0"/>
                <w:iCs w:val="0"/>
                <w:color w:val="auto"/>
                <w:sz w:val="18"/>
                <w:szCs w:val="18"/>
                <w:highlight w:val="none"/>
                <w:u w:val="none"/>
              </w:rPr>
            </w:pPr>
          </w:p>
        </w:tc>
      </w:tr>
      <w:tr w14:paraId="1A410E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325" w:type="pct"/>
            <w:vMerge w:val="continue"/>
            <w:tcBorders>
              <w:top w:val="single" w:color="000000" w:sz="4" w:space="0"/>
              <w:left w:val="single" w:color="000000" w:sz="4" w:space="0"/>
              <w:bottom w:val="single" w:color="000000" w:sz="4" w:space="0"/>
              <w:right w:val="single" w:color="000000" w:sz="4" w:space="0"/>
            </w:tcBorders>
            <w:noWrap/>
            <w:vAlign w:val="center"/>
          </w:tcPr>
          <w:p w14:paraId="517B640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eastAsia="zh-CN" w:bidi="ar-SA"/>
              </w:rPr>
            </w:pPr>
          </w:p>
        </w:tc>
        <w:tc>
          <w:tcPr>
            <w:tcW w:w="1030" w:type="pct"/>
            <w:tcBorders>
              <w:top w:val="single" w:color="000000" w:sz="4" w:space="0"/>
              <w:left w:val="single" w:color="000000" w:sz="4" w:space="0"/>
              <w:bottom w:val="single" w:color="000000" w:sz="4" w:space="0"/>
              <w:right w:val="single" w:color="000000" w:sz="4" w:space="0"/>
            </w:tcBorders>
            <w:noWrap w:val="0"/>
            <w:vAlign w:val="center"/>
          </w:tcPr>
          <w:p w14:paraId="4339775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水面潜水训练套装</w:t>
            </w:r>
          </w:p>
        </w:tc>
        <w:tc>
          <w:tcPr>
            <w:tcW w:w="325" w:type="pct"/>
            <w:tcBorders>
              <w:top w:val="single" w:color="000000" w:sz="4" w:space="0"/>
              <w:left w:val="single" w:color="000000" w:sz="4" w:space="0"/>
              <w:bottom w:val="single" w:color="000000" w:sz="4" w:space="0"/>
              <w:right w:val="single" w:color="000000" w:sz="4" w:space="0"/>
            </w:tcBorders>
            <w:noWrap w:val="0"/>
            <w:vAlign w:val="center"/>
          </w:tcPr>
          <w:p w14:paraId="22D3598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7 </w:t>
            </w:r>
          </w:p>
        </w:tc>
        <w:tc>
          <w:tcPr>
            <w:tcW w:w="360" w:type="pct"/>
            <w:tcBorders>
              <w:top w:val="single" w:color="000000" w:sz="4" w:space="0"/>
              <w:left w:val="single" w:color="000000" w:sz="4" w:space="0"/>
              <w:bottom w:val="single" w:color="000000" w:sz="4" w:space="0"/>
              <w:right w:val="single" w:color="000000" w:sz="4" w:space="0"/>
            </w:tcBorders>
            <w:noWrap w:val="0"/>
            <w:vAlign w:val="center"/>
          </w:tcPr>
          <w:p w14:paraId="45F22EB2">
            <w:pPr>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rPr>
              <w:t>套</w:t>
            </w: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679450D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3.8</w:t>
            </w:r>
          </w:p>
        </w:tc>
        <w:tc>
          <w:tcPr>
            <w:tcW w:w="574" w:type="pct"/>
            <w:tcBorders>
              <w:top w:val="single" w:color="000000" w:sz="4" w:space="0"/>
              <w:left w:val="single" w:color="000000" w:sz="4" w:space="0"/>
              <w:bottom w:val="single" w:color="000000" w:sz="4" w:space="0"/>
              <w:right w:val="nil"/>
            </w:tcBorders>
            <w:noWrap/>
            <w:vAlign w:val="center"/>
          </w:tcPr>
          <w:p w14:paraId="3CC7128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26.6</w:t>
            </w:r>
          </w:p>
        </w:tc>
        <w:tc>
          <w:tcPr>
            <w:tcW w:w="630" w:type="pct"/>
            <w:vMerge w:val="continue"/>
            <w:tcBorders>
              <w:top w:val="single" w:color="000000" w:sz="4" w:space="0"/>
              <w:left w:val="single" w:color="000000" w:sz="4" w:space="0"/>
              <w:bottom w:val="single" w:color="000000" w:sz="4" w:space="0"/>
              <w:right w:val="nil"/>
            </w:tcBorders>
            <w:noWrap/>
            <w:vAlign w:val="center"/>
          </w:tcPr>
          <w:p w14:paraId="5EB65261">
            <w:pPr>
              <w:jc w:val="center"/>
              <w:rPr>
                <w:rFonts w:hint="eastAsia" w:ascii="宋体" w:hAnsi="宋体" w:eastAsia="宋体" w:cs="宋体"/>
                <w:i w:val="0"/>
                <w:iCs w:val="0"/>
                <w:color w:val="auto"/>
                <w:sz w:val="21"/>
                <w:szCs w:val="21"/>
                <w:highlight w:val="none"/>
                <w:u w:val="none"/>
              </w:rPr>
            </w:pPr>
          </w:p>
        </w:tc>
        <w:tc>
          <w:tcPr>
            <w:tcW w:w="595" w:type="pct"/>
            <w:vMerge w:val="continue"/>
            <w:tcBorders>
              <w:left w:val="single" w:color="000000" w:sz="4" w:space="0"/>
              <w:bottom w:val="single" w:color="000000" w:sz="4" w:space="0"/>
              <w:right w:val="single" w:color="000000" w:sz="4" w:space="0"/>
            </w:tcBorders>
            <w:noWrap/>
            <w:vAlign w:val="center"/>
          </w:tcPr>
          <w:p w14:paraId="457B0A0B">
            <w:pPr>
              <w:jc w:val="center"/>
              <w:rPr>
                <w:rFonts w:hint="eastAsia" w:ascii="宋体" w:hAnsi="宋体" w:eastAsia="宋体" w:cs="宋体"/>
                <w:i w:val="0"/>
                <w:iCs w:val="0"/>
                <w:color w:val="auto"/>
                <w:sz w:val="21"/>
                <w:szCs w:val="21"/>
                <w:highlight w:val="none"/>
                <w:u w:val="none"/>
              </w:rPr>
            </w:pPr>
          </w:p>
        </w:tc>
        <w:tc>
          <w:tcPr>
            <w:tcW w:w="618" w:type="pct"/>
            <w:vMerge w:val="continue"/>
            <w:tcBorders>
              <w:left w:val="single" w:color="000000" w:sz="4" w:space="0"/>
              <w:bottom w:val="single" w:color="000000" w:sz="4" w:space="0"/>
              <w:right w:val="single" w:color="000000" w:sz="4" w:space="0"/>
            </w:tcBorders>
            <w:noWrap/>
            <w:vAlign w:val="center"/>
          </w:tcPr>
          <w:p w14:paraId="61281979">
            <w:pPr>
              <w:keepNext w:val="0"/>
              <w:keepLines w:val="0"/>
              <w:widowControl/>
              <w:suppressLineNumbers w:val="0"/>
              <w:jc w:val="left"/>
              <w:textAlignment w:val="center"/>
              <w:rPr>
                <w:rFonts w:hint="eastAsia" w:ascii="宋体" w:hAnsi="宋体" w:eastAsia="宋体" w:cs="宋体"/>
                <w:b w:val="0"/>
                <w:bCs w:val="0"/>
                <w:i w:val="0"/>
                <w:iCs w:val="0"/>
                <w:color w:val="auto"/>
                <w:sz w:val="18"/>
                <w:szCs w:val="18"/>
                <w:highlight w:val="none"/>
                <w:u w:val="none"/>
              </w:rPr>
            </w:pPr>
          </w:p>
        </w:tc>
      </w:tr>
      <w:tr w14:paraId="2C8865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325" w:type="pct"/>
            <w:vMerge w:val="restart"/>
            <w:tcBorders>
              <w:top w:val="single" w:color="000000" w:sz="4" w:space="0"/>
              <w:left w:val="single" w:color="000000" w:sz="4" w:space="0"/>
              <w:bottom w:val="single" w:color="000000" w:sz="4" w:space="0"/>
              <w:right w:val="single" w:color="000000" w:sz="4" w:space="0"/>
            </w:tcBorders>
            <w:noWrap/>
            <w:vAlign w:val="center"/>
          </w:tcPr>
          <w:p w14:paraId="09F15846">
            <w:pPr>
              <w:keepNext w:val="0"/>
              <w:keepLines w:val="0"/>
              <w:widowControl/>
              <w:suppressLineNumbers w:val="0"/>
              <w:jc w:val="center"/>
              <w:textAlignment w:val="center"/>
              <w:rPr>
                <w:rFonts w:hint="default" w:ascii="宋体" w:hAnsi="宋体" w:eastAsia="宋体" w:cs="宋体"/>
                <w:i w:val="0"/>
                <w:iCs w:val="0"/>
                <w:color w:val="auto"/>
                <w:sz w:val="21"/>
                <w:szCs w:val="21"/>
                <w:highlight w:val="none"/>
                <w:u w:val="none"/>
                <w:lang w:val="en-US" w:eastAsia="zh-CN"/>
              </w:rPr>
            </w:pPr>
            <w:r>
              <w:rPr>
                <w:rFonts w:hint="eastAsia" w:eastAsia="宋体" w:cs="宋体"/>
                <w:i w:val="0"/>
                <w:iCs w:val="0"/>
                <w:color w:val="auto"/>
                <w:sz w:val="21"/>
                <w:szCs w:val="21"/>
                <w:highlight w:val="none"/>
                <w:u w:val="none"/>
                <w:lang w:val="en-US" w:eastAsia="zh-CN"/>
              </w:rPr>
              <w:t>40</w:t>
            </w:r>
          </w:p>
        </w:tc>
        <w:tc>
          <w:tcPr>
            <w:tcW w:w="1030" w:type="pct"/>
            <w:tcBorders>
              <w:top w:val="single" w:color="000000" w:sz="4" w:space="0"/>
              <w:left w:val="single" w:color="000000" w:sz="4" w:space="0"/>
              <w:bottom w:val="single" w:color="000000" w:sz="4" w:space="0"/>
              <w:right w:val="single" w:color="000000" w:sz="4" w:space="0"/>
            </w:tcBorders>
            <w:noWrap w:val="0"/>
            <w:vAlign w:val="center"/>
          </w:tcPr>
          <w:p w14:paraId="50DCAFA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水域救援头盔（核心产品）</w:t>
            </w:r>
          </w:p>
        </w:tc>
        <w:tc>
          <w:tcPr>
            <w:tcW w:w="325" w:type="pct"/>
            <w:tcBorders>
              <w:top w:val="single" w:color="000000" w:sz="4" w:space="0"/>
              <w:left w:val="single" w:color="000000" w:sz="4" w:space="0"/>
              <w:bottom w:val="single" w:color="000000" w:sz="4" w:space="0"/>
              <w:right w:val="single" w:color="000000" w:sz="4" w:space="0"/>
            </w:tcBorders>
            <w:noWrap w:val="0"/>
            <w:vAlign w:val="center"/>
          </w:tcPr>
          <w:p w14:paraId="10A712C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666 </w:t>
            </w:r>
          </w:p>
        </w:tc>
        <w:tc>
          <w:tcPr>
            <w:tcW w:w="360" w:type="pct"/>
            <w:tcBorders>
              <w:top w:val="single" w:color="000000" w:sz="4" w:space="0"/>
              <w:left w:val="single" w:color="000000" w:sz="4" w:space="0"/>
              <w:bottom w:val="single" w:color="000000" w:sz="4" w:space="0"/>
              <w:right w:val="single" w:color="000000" w:sz="4" w:space="0"/>
            </w:tcBorders>
            <w:noWrap w:val="0"/>
            <w:vAlign w:val="center"/>
          </w:tcPr>
          <w:p w14:paraId="148FCFF2">
            <w:pPr>
              <w:jc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顶</w:t>
            </w: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432B9CB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0.04</w:t>
            </w:r>
          </w:p>
        </w:tc>
        <w:tc>
          <w:tcPr>
            <w:tcW w:w="574" w:type="pct"/>
            <w:tcBorders>
              <w:top w:val="single" w:color="000000" w:sz="4" w:space="0"/>
              <w:left w:val="single" w:color="000000" w:sz="4" w:space="0"/>
              <w:bottom w:val="single" w:color="000000" w:sz="4" w:space="0"/>
              <w:right w:val="nil"/>
            </w:tcBorders>
            <w:noWrap/>
            <w:vAlign w:val="center"/>
          </w:tcPr>
          <w:p w14:paraId="355C9B4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26.64</w:t>
            </w:r>
          </w:p>
        </w:tc>
        <w:tc>
          <w:tcPr>
            <w:tcW w:w="630" w:type="pct"/>
            <w:vMerge w:val="restart"/>
            <w:tcBorders>
              <w:top w:val="single" w:color="000000" w:sz="4" w:space="0"/>
              <w:left w:val="single" w:color="000000" w:sz="4" w:space="0"/>
              <w:bottom w:val="single" w:color="000000" w:sz="4" w:space="0"/>
              <w:right w:val="nil"/>
            </w:tcBorders>
            <w:noWrap/>
            <w:vAlign w:val="center"/>
          </w:tcPr>
          <w:p w14:paraId="5D05A80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103.38</w:t>
            </w:r>
          </w:p>
        </w:tc>
        <w:tc>
          <w:tcPr>
            <w:tcW w:w="595" w:type="pct"/>
            <w:vMerge w:val="restart"/>
            <w:tcBorders>
              <w:top w:val="single" w:color="000000" w:sz="4" w:space="0"/>
              <w:left w:val="single" w:color="000000" w:sz="4" w:space="0"/>
              <w:right w:val="single" w:color="000000" w:sz="4" w:space="0"/>
            </w:tcBorders>
            <w:noWrap/>
            <w:vAlign w:val="center"/>
          </w:tcPr>
          <w:p w14:paraId="105A8391">
            <w:pPr>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rPr>
              <w:t>是</w:t>
            </w:r>
          </w:p>
        </w:tc>
        <w:tc>
          <w:tcPr>
            <w:tcW w:w="618" w:type="pct"/>
            <w:vMerge w:val="restart"/>
            <w:tcBorders>
              <w:top w:val="single" w:color="000000" w:sz="4" w:space="0"/>
              <w:left w:val="single" w:color="000000" w:sz="4" w:space="0"/>
              <w:right w:val="single" w:color="000000" w:sz="4" w:space="0"/>
            </w:tcBorders>
            <w:noWrap/>
            <w:vAlign w:val="center"/>
          </w:tcPr>
          <w:p w14:paraId="4BE10195">
            <w:pPr>
              <w:rPr>
                <w:rFonts w:hint="eastAsia" w:ascii="宋体" w:hAnsi="宋体" w:eastAsia="宋体" w:cs="宋体"/>
                <w:b w:val="0"/>
                <w:bCs w:val="0"/>
                <w:i w:val="0"/>
                <w:iCs w:val="0"/>
                <w:color w:val="auto"/>
                <w:sz w:val="18"/>
                <w:szCs w:val="18"/>
                <w:highlight w:val="none"/>
                <w:u w:val="none"/>
              </w:rPr>
            </w:pPr>
          </w:p>
        </w:tc>
      </w:tr>
      <w:tr w14:paraId="45846C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325" w:type="pct"/>
            <w:vMerge w:val="continue"/>
            <w:tcBorders>
              <w:top w:val="single" w:color="000000" w:sz="4" w:space="0"/>
              <w:left w:val="single" w:color="000000" w:sz="4" w:space="0"/>
              <w:bottom w:val="single" w:color="000000" w:sz="4" w:space="0"/>
              <w:right w:val="single" w:color="000000" w:sz="4" w:space="0"/>
            </w:tcBorders>
            <w:noWrap/>
            <w:vAlign w:val="center"/>
          </w:tcPr>
          <w:p w14:paraId="27238191">
            <w:pPr>
              <w:jc w:val="center"/>
              <w:rPr>
                <w:rFonts w:hint="eastAsia" w:ascii="宋体" w:hAnsi="宋体" w:eastAsia="宋体" w:cs="宋体"/>
                <w:i w:val="0"/>
                <w:iCs w:val="0"/>
                <w:color w:val="auto"/>
                <w:sz w:val="21"/>
                <w:szCs w:val="21"/>
                <w:highlight w:val="none"/>
                <w:u w:val="none"/>
              </w:rPr>
            </w:pPr>
          </w:p>
        </w:tc>
        <w:tc>
          <w:tcPr>
            <w:tcW w:w="1030" w:type="pct"/>
            <w:tcBorders>
              <w:top w:val="single" w:color="000000" w:sz="4" w:space="0"/>
              <w:left w:val="single" w:color="000000" w:sz="4" w:space="0"/>
              <w:bottom w:val="single" w:color="000000" w:sz="4" w:space="0"/>
              <w:right w:val="single" w:color="000000" w:sz="4" w:space="0"/>
            </w:tcBorders>
            <w:noWrap w:val="0"/>
            <w:vAlign w:val="center"/>
          </w:tcPr>
          <w:p w14:paraId="5B20615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防水头灯</w:t>
            </w:r>
          </w:p>
        </w:tc>
        <w:tc>
          <w:tcPr>
            <w:tcW w:w="325" w:type="pct"/>
            <w:tcBorders>
              <w:top w:val="single" w:color="000000" w:sz="4" w:space="0"/>
              <w:left w:val="single" w:color="000000" w:sz="4" w:space="0"/>
              <w:bottom w:val="single" w:color="000000" w:sz="4" w:space="0"/>
              <w:right w:val="single" w:color="000000" w:sz="4" w:space="0"/>
            </w:tcBorders>
            <w:noWrap w:val="0"/>
            <w:vAlign w:val="center"/>
          </w:tcPr>
          <w:p w14:paraId="6B20601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289 </w:t>
            </w:r>
          </w:p>
        </w:tc>
        <w:tc>
          <w:tcPr>
            <w:tcW w:w="360" w:type="pct"/>
            <w:tcBorders>
              <w:top w:val="single" w:color="000000" w:sz="4" w:space="0"/>
              <w:left w:val="single" w:color="000000" w:sz="4" w:space="0"/>
              <w:bottom w:val="single" w:color="000000" w:sz="4" w:space="0"/>
              <w:right w:val="single" w:color="000000" w:sz="4" w:space="0"/>
            </w:tcBorders>
            <w:noWrap w:val="0"/>
            <w:vAlign w:val="center"/>
          </w:tcPr>
          <w:p w14:paraId="246DB931">
            <w:pPr>
              <w:jc w:val="center"/>
              <w:rPr>
                <w:rFonts w:hint="default"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个</w:t>
            </w: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49D1B82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0.04</w:t>
            </w:r>
          </w:p>
        </w:tc>
        <w:tc>
          <w:tcPr>
            <w:tcW w:w="574" w:type="pct"/>
            <w:tcBorders>
              <w:top w:val="single" w:color="000000" w:sz="4" w:space="0"/>
              <w:left w:val="single" w:color="000000" w:sz="4" w:space="0"/>
              <w:bottom w:val="single" w:color="000000" w:sz="4" w:space="0"/>
              <w:right w:val="nil"/>
            </w:tcBorders>
            <w:noWrap/>
            <w:vAlign w:val="center"/>
          </w:tcPr>
          <w:p w14:paraId="12D79BB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11.56</w:t>
            </w:r>
          </w:p>
        </w:tc>
        <w:tc>
          <w:tcPr>
            <w:tcW w:w="630" w:type="pct"/>
            <w:vMerge w:val="continue"/>
            <w:tcBorders>
              <w:top w:val="single" w:color="000000" w:sz="4" w:space="0"/>
              <w:left w:val="single" w:color="000000" w:sz="4" w:space="0"/>
              <w:bottom w:val="single" w:color="000000" w:sz="4" w:space="0"/>
              <w:right w:val="nil"/>
            </w:tcBorders>
            <w:noWrap/>
            <w:vAlign w:val="center"/>
          </w:tcPr>
          <w:p w14:paraId="38F53525">
            <w:pPr>
              <w:jc w:val="center"/>
              <w:rPr>
                <w:rFonts w:hint="eastAsia" w:ascii="宋体" w:hAnsi="宋体" w:eastAsia="宋体" w:cs="宋体"/>
                <w:i w:val="0"/>
                <w:iCs w:val="0"/>
                <w:color w:val="auto"/>
                <w:sz w:val="21"/>
                <w:szCs w:val="21"/>
                <w:highlight w:val="none"/>
                <w:u w:val="none"/>
              </w:rPr>
            </w:pPr>
          </w:p>
        </w:tc>
        <w:tc>
          <w:tcPr>
            <w:tcW w:w="595" w:type="pct"/>
            <w:vMerge w:val="continue"/>
            <w:tcBorders>
              <w:left w:val="single" w:color="000000" w:sz="4" w:space="0"/>
              <w:right w:val="single" w:color="000000" w:sz="4" w:space="0"/>
            </w:tcBorders>
            <w:noWrap/>
            <w:vAlign w:val="center"/>
          </w:tcPr>
          <w:p w14:paraId="5A33CEDE">
            <w:pPr>
              <w:jc w:val="center"/>
              <w:rPr>
                <w:rFonts w:hint="eastAsia" w:ascii="宋体" w:hAnsi="宋体" w:eastAsia="宋体" w:cs="宋体"/>
                <w:i w:val="0"/>
                <w:iCs w:val="0"/>
                <w:color w:val="auto"/>
                <w:sz w:val="21"/>
                <w:szCs w:val="21"/>
                <w:highlight w:val="none"/>
                <w:u w:val="none"/>
              </w:rPr>
            </w:pPr>
          </w:p>
        </w:tc>
        <w:tc>
          <w:tcPr>
            <w:tcW w:w="618" w:type="pct"/>
            <w:vMerge w:val="continue"/>
            <w:tcBorders>
              <w:left w:val="single" w:color="000000" w:sz="4" w:space="0"/>
              <w:right w:val="single" w:color="000000" w:sz="4" w:space="0"/>
            </w:tcBorders>
            <w:noWrap/>
            <w:vAlign w:val="center"/>
          </w:tcPr>
          <w:p w14:paraId="6F39B27C">
            <w:pPr>
              <w:rPr>
                <w:rFonts w:hint="eastAsia" w:ascii="宋体" w:hAnsi="宋体" w:eastAsia="宋体" w:cs="宋体"/>
                <w:b w:val="0"/>
                <w:bCs w:val="0"/>
                <w:i w:val="0"/>
                <w:iCs w:val="0"/>
                <w:color w:val="auto"/>
                <w:sz w:val="18"/>
                <w:szCs w:val="18"/>
                <w:highlight w:val="none"/>
                <w:u w:val="none"/>
              </w:rPr>
            </w:pPr>
          </w:p>
        </w:tc>
      </w:tr>
      <w:tr w14:paraId="1DD5E3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325" w:type="pct"/>
            <w:vMerge w:val="continue"/>
            <w:tcBorders>
              <w:top w:val="single" w:color="000000" w:sz="4" w:space="0"/>
              <w:left w:val="single" w:color="000000" w:sz="4" w:space="0"/>
              <w:bottom w:val="single" w:color="000000" w:sz="4" w:space="0"/>
              <w:right w:val="single" w:color="000000" w:sz="4" w:space="0"/>
            </w:tcBorders>
            <w:noWrap/>
            <w:vAlign w:val="center"/>
          </w:tcPr>
          <w:p w14:paraId="44D1FBA2">
            <w:pPr>
              <w:jc w:val="center"/>
              <w:rPr>
                <w:rFonts w:hint="eastAsia" w:ascii="宋体" w:hAnsi="宋体" w:eastAsia="宋体" w:cs="宋体"/>
                <w:i w:val="0"/>
                <w:iCs w:val="0"/>
                <w:color w:val="auto"/>
                <w:sz w:val="21"/>
                <w:szCs w:val="21"/>
                <w:highlight w:val="none"/>
                <w:u w:val="none"/>
              </w:rPr>
            </w:pPr>
          </w:p>
        </w:tc>
        <w:tc>
          <w:tcPr>
            <w:tcW w:w="1030" w:type="pct"/>
            <w:tcBorders>
              <w:top w:val="single" w:color="000000" w:sz="4" w:space="0"/>
              <w:left w:val="single" w:color="000000" w:sz="4" w:space="0"/>
              <w:bottom w:val="single" w:color="000000" w:sz="4" w:space="0"/>
              <w:right w:val="single" w:color="000000" w:sz="4" w:space="0"/>
            </w:tcBorders>
            <w:noWrap w:val="0"/>
            <w:vAlign w:val="center"/>
          </w:tcPr>
          <w:p w14:paraId="52557E0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水域救援刀</w:t>
            </w:r>
          </w:p>
        </w:tc>
        <w:tc>
          <w:tcPr>
            <w:tcW w:w="325" w:type="pct"/>
            <w:tcBorders>
              <w:top w:val="single" w:color="000000" w:sz="4" w:space="0"/>
              <w:left w:val="single" w:color="000000" w:sz="4" w:space="0"/>
              <w:bottom w:val="single" w:color="000000" w:sz="4" w:space="0"/>
              <w:right w:val="single" w:color="000000" w:sz="4" w:space="0"/>
            </w:tcBorders>
            <w:noWrap w:val="0"/>
            <w:vAlign w:val="center"/>
          </w:tcPr>
          <w:p w14:paraId="1300538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448 </w:t>
            </w:r>
          </w:p>
        </w:tc>
        <w:tc>
          <w:tcPr>
            <w:tcW w:w="360" w:type="pct"/>
            <w:tcBorders>
              <w:top w:val="single" w:color="000000" w:sz="4" w:space="0"/>
              <w:left w:val="single" w:color="000000" w:sz="4" w:space="0"/>
              <w:bottom w:val="single" w:color="000000" w:sz="4" w:space="0"/>
              <w:right w:val="single" w:color="000000" w:sz="4" w:space="0"/>
            </w:tcBorders>
            <w:noWrap w:val="0"/>
            <w:vAlign w:val="center"/>
          </w:tcPr>
          <w:p w14:paraId="1169322C">
            <w:pPr>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rPr>
              <w:t>个</w:t>
            </w: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01EC310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0.06</w:t>
            </w:r>
          </w:p>
        </w:tc>
        <w:tc>
          <w:tcPr>
            <w:tcW w:w="574" w:type="pct"/>
            <w:tcBorders>
              <w:top w:val="single" w:color="000000" w:sz="4" w:space="0"/>
              <w:left w:val="single" w:color="000000" w:sz="4" w:space="0"/>
              <w:bottom w:val="single" w:color="000000" w:sz="4" w:space="0"/>
              <w:right w:val="nil"/>
            </w:tcBorders>
            <w:noWrap/>
            <w:vAlign w:val="center"/>
          </w:tcPr>
          <w:p w14:paraId="7C42299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26.88</w:t>
            </w:r>
          </w:p>
        </w:tc>
        <w:tc>
          <w:tcPr>
            <w:tcW w:w="630" w:type="pct"/>
            <w:vMerge w:val="continue"/>
            <w:tcBorders>
              <w:top w:val="single" w:color="000000" w:sz="4" w:space="0"/>
              <w:left w:val="single" w:color="000000" w:sz="4" w:space="0"/>
              <w:bottom w:val="single" w:color="000000" w:sz="4" w:space="0"/>
              <w:right w:val="nil"/>
            </w:tcBorders>
            <w:noWrap/>
            <w:vAlign w:val="center"/>
          </w:tcPr>
          <w:p w14:paraId="60F3741F">
            <w:pPr>
              <w:jc w:val="center"/>
              <w:rPr>
                <w:rFonts w:hint="eastAsia" w:ascii="宋体" w:hAnsi="宋体" w:eastAsia="宋体" w:cs="宋体"/>
                <w:i w:val="0"/>
                <w:iCs w:val="0"/>
                <w:color w:val="auto"/>
                <w:sz w:val="21"/>
                <w:szCs w:val="21"/>
                <w:highlight w:val="none"/>
                <w:u w:val="none"/>
              </w:rPr>
            </w:pPr>
          </w:p>
        </w:tc>
        <w:tc>
          <w:tcPr>
            <w:tcW w:w="595" w:type="pct"/>
            <w:vMerge w:val="continue"/>
            <w:tcBorders>
              <w:left w:val="single" w:color="000000" w:sz="4" w:space="0"/>
              <w:right w:val="single" w:color="000000" w:sz="4" w:space="0"/>
            </w:tcBorders>
            <w:noWrap/>
            <w:vAlign w:val="center"/>
          </w:tcPr>
          <w:p w14:paraId="56659CA3">
            <w:pPr>
              <w:jc w:val="center"/>
              <w:rPr>
                <w:rFonts w:hint="eastAsia" w:ascii="宋体" w:hAnsi="宋体" w:eastAsia="宋体" w:cs="宋体"/>
                <w:i w:val="0"/>
                <w:iCs w:val="0"/>
                <w:color w:val="auto"/>
                <w:sz w:val="21"/>
                <w:szCs w:val="21"/>
                <w:highlight w:val="none"/>
                <w:u w:val="none"/>
              </w:rPr>
            </w:pPr>
          </w:p>
        </w:tc>
        <w:tc>
          <w:tcPr>
            <w:tcW w:w="618" w:type="pct"/>
            <w:vMerge w:val="continue"/>
            <w:tcBorders>
              <w:left w:val="single" w:color="000000" w:sz="4" w:space="0"/>
              <w:right w:val="single" w:color="000000" w:sz="4" w:space="0"/>
            </w:tcBorders>
            <w:noWrap/>
            <w:vAlign w:val="center"/>
          </w:tcPr>
          <w:p w14:paraId="5E48864A">
            <w:pPr>
              <w:rPr>
                <w:rFonts w:hint="eastAsia" w:ascii="宋体" w:hAnsi="宋体" w:eastAsia="宋体" w:cs="宋体"/>
                <w:b w:val="0"/>
                <w:bCs w:val="0"/>
                <w:i w:val="0"/>
                <w:iCs w:val="0"/>
                <w:color w:val="auto"/>
                <w:sz w:val="18"/>
                <w:szCs w:val="18"/>
                <w:highlight w:val="none"/>
                <w:u w:val="none"/>
              </w:rPr>
            </w:pPr>
          </w:p>
        </w:tc>
      </w:tr>
      <w:tr w14:paraId="0F6D42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325" w:type="pct"/>
            <w:vMerge w:val="continue"/>
            <w:tcBorders>
              <w:top w:val="single" w:color="000000" w:sz="4" w:space="0"/>
              <w:left w:val="single" w:color="000000" w:sz="4" w:space="0"/>
              <w:bottom w:val="single" w:color="000000" w:sz="4" w:space="0"/>
              <w:right w:val="single" w:color="000000" w:sz="4" w:space="0"/>
            </w:tcBorders>
            <w:noWrap/>
            <w:vAlign w:val="center"/>
          </w:tcPr>
          <w:p w14:paraId="71A4F19D">
            <w:pPr>
              <w:jc w:val="center"/>
              <w:rPr>
                <w:rFonts w:hint="eastAsia" w:ascii="宋体" w:hAnsi="宋体" w:eastAsia="宋体" w:cs="宋体"/>
                <w:i w:val="0"/>
                <w:iCs w:val="0"/>
                <w:color w:val="auto"/>
                <w:sz w:val="21"/>
                <w:szCs w:val="21"/>
                <w:highlight w:val="none"/>
                <w:u w:val="none"/>
              </w:rPr>
            </w:pPr>
          </w:p>
        </w:tc>
        <w:tc>
          <w:tcPr>
            <w:tcW w:w="1030" w:type="pct"/>
            <w:tcBorders>
              <w:top w:val="single" w:color="000000" w:sz="4" w:space="0"/>
              <w:left w:val="single" w:color="000000" w:sz="4" w:space="0"/>
              <w:bottom w:val="single" w:color="000000" w:sz="4" w:space="0"/>
              <w:right w:val="single" w:color="000000" w:sz="4" w:space="0"/>
            </w:tcBorders>
            <w:noWrap w:val="0"/>
            <w:vAlign w:val="center"/>
          </w:tcPr>
          <w:p w14:paraId="0C5F2D7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水域救援抛绳包1</w:t>
            </w:r>
          </w:p>
        </w:tc>
        <w:tc>
          <w:tcPr>
            <w:tcW w:w="325" w:type="pct"/>
            <w:tcBorders>
              <w:top w:val="single" w:color="000000" w:sz="4" w:space="0"/>
              <w:left w:val="single" w:color="000000" w:sz="4" w:space="0"/>
              <w:bottom w:val="single" w:color="000000" w:sz="4" w:space="0"/>
              <w:right w:val="single" w:color="000000" w:sz="4" w:space="0"/>
            </w:tcBorders>
            <w:noWrap w:val="0"/>
            <w:vAlign w:val="center"/>
          </w:tcPr>
          <w:p w14:paraId="4D65B9F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440 </w:t>
            </w:r>
          </w:p>
        </w:tc>
        <w:tc>
          <w:tcPr>
            <w:tcW w:w="360" w:type="pct"/>
            <w:tcBorders>
              <w:top w:val="single" w:color="000000" w:sz="4" w:space="0"/>
              <w:left w:val="single" w:color="000000" w:sz="4" w:space="0"/>
              <w:bottom w:val="single" w:color="000000" w:sz="4" w:space="0"/>
              <w:right w:val="single" w:color="000000" w:sz="4" w:space="0"/>
            </w:tcBorders>
            <w:noWrap w:val="0"/>
            <w:vAlign w:val="center"/>
          </w:tcPr>
          <w:p w14:paraId="7AD3AA3A">
            <w:pPr>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rPr>
              <w:t>个</w:t>
            </w: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7DCD18A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0.055</w:t>
            </w:r>
          </w:p>
        </w:tc>
        <w:tc>
          <w:tcPr>
            <w:tcW w:w="574" w:type="pct"/>
            <w:tcBorders>
              <w:top w:val="single" w:color="000000" w:sz="4" w:space="0"/>
              <w:left w:val="single" w:color="000000" w:sz="4" w:space="0"/>
              <w:bottom w:val="single" w:color="000000" w:sz="4" w:space="0"/>
              <w:right w:val="nil"/>
            </w:tcBorders>
            <w:noWrap/>
            <w:vAlign w:val="center"/>
          </w:tcPr>
          <w:p w14:paraId="454BFCA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24.2</w:t>
            </w:r>
          </w:p>
        </w:tc>
        <w:tc>
          <w:tcPr>
            <w:tcW w:w="630" w:type="pct"/>
            <w:vMerge w:val="continue"/>
            <w:tcBorders>
              <w:top w:val="single" w:color="000000" w:sz="4" w:space="0"/>
              <w:left w:val="single" w:color="000000" w:sz="4" w:space="0"/>
              <w:bottom w:val="single" w:color="000000" w:sz="4" w:space="0"/>
              <w:right w:val="nil"/>
            </w:tcBorders>
            <w:noWrap/>
            <w:vAlign w:val="center"/>
          </w:tcPr>
          <w:p w14:paraId="65E7E836">
            <w:pPr>
              <w:jc w:val="center"/>
              <w:rPr>
                <w:rFonts w:hint="eastAsia" w:ascii="宋体" w:hAnsi="宋体" w:eastAsia="宋体" w:cs="宋体"/>
                <w:i w:val="0"/>
                <w:iCs w:val="0"/>
                <w:color w:val="auto"/>
                <w:sz w:val="21"/>
                <w:szCs w:val="21"/>
                <w:highlight w:val="none"/>
                <w:u w:val="none"/>
              </w:rPr>
            </w:pPr>
          </w:p>
        </w:tc>
        <w:tc>
          <w:tcPr>
            <w:tcW w:w="595" w:type="pct"/>
            <w:vMerge w:val="continue"/>
            <w:tcBorders>
              <w:left w:val="single" w:color="000000" w:sz="4" w:space="0"/>
              <w:right w:val="single" w:color="000000" w:sz="4" w:space="0"/>
            </w:tcBorders>
            <w:noWrap/>
            <w:vAlign w:val="center"/>
          </w:tcPr>
          <w:p w14:paraId="5A4CA6F2">
            <w:pPr>
              <w:jc w:val="center"/>
              <w:rPr>
                <w:rFonts w:hint="eastAsia" w:ascii="宋体" w:hAnsi="宋体" w:eastAsia="宋体" w:cs="宋体"/>
                <w:i w:val="0"/>
                <w:iCs w:val="0"/>
                <w:color w:val="auto"/>
                <w:sz w:val="21"/>
                <w:szCs w:val="21"/>
                <w:highlight w:val="none"/>
                <w:u w:val="none"/>
              </w:rPr>
            </w:pPr>
          </w:p>
        </w:tc>
        <w:tc>
          <w:tcPr>
            <w:tcW w:w="618" w:type="pct"/>
            <w:vMerge w:val="continue"/>
            <w:tcBorders>
              <w:left w:val="single" w:color="000000" w:sz="4" w:space="0"/>
              <w:right w:val="single" w:color="000000" w:sz="4" w:space="0"/>
            </w:tcBorders>
            <w:noWrap/>
            <w:vAlign w:val="center"/>
          </w:tcPr>
          <w:p w14:paraId="755AD597">
            <w:pPr>
              <w:rPr>
                <w:rFonts w:hint="eastAsia" w:ascii="宋体" w:hAnsi="宋体" w:eastAsia="宋体" w:cs="宋体"/>
                <w:b w:val="0"/>
                <w:bCs w:val="0"/>
                <w:i w:val="0"/>
                <w:iCs w:val="0"/>
                <w:color w:val="auto"/>
                <w:sz w:val="18"/>
                <w:szCs w:val="18"/>
                <w:highlight w:val="none"/>
                <w:u w:val="none"/>
              </w:rPr>
            </w:pPr>
          </w:p>
        </w:tc>
      </w:tr>
      <w:tr w14:paraId="79F999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325" w:type="pct"/>
            <w:vMerge w:val="continue"/>
            <w:tcBorders>
              <w:top w:val="single" w:color="000000" w:sz="4" w:space="0"/>
              <w:left w:val="single" w:color="000000" w:sz="4" w:space="0"/>
              <w:bottom w:val="single" w:color="000000" w:sz="4" w:space="0"/>
              <w:right w:val="single" w:color="000000" w:sz="4" w:space="0"/>
            </w:tcBorders>
            <w:noWrap/>
            <w:vAlign w:val="center"/>
          </w:tcPr>
          <w:p w14:paraId="2092C012">
            <w:pPr>
              <w:jc w:val="center"/>
              <w:rPr>
                <w:rFonts w:hint="eastAsia" w:ascii="宋体" w:hAnsi="宋体" w:eastAsia="宋体" w:cs="宋体"/>
                <w:i w:val="0"/>
                <w:iCs w:val="0"/>
                <w:color w:val="auto"/>
                <w:sz w:val="21"/>
                <w:szCs w:val="21"/>
                <w:highlight w:val="none"/>
                <w:u w:val="none"/>
              </w:rPr>
            </w:pPr>
          </w:p>
        </w:tc>
        <w:tc>
          <w:tcPr>
            <w:tcW w:w="1030" w:type="pct"/>
            <w:tcBorders>
              <w:top w:val="single" w:color="000000" w:sz="4" w:space="0"/>
              <w:left w:val="single" w:color="000000" w:sz="4" w:space="0"/>
              <w:bottom w:val="single" w:color="000000" w:sz="4" w:space="0"/>
              <w:right w:val="single" w:color="000000" w:sz="4" w:space="0"/>
            </w:tcBorders>
            <w:noWrap w:val="0"/>
            <w:vAlign w:val="center"/>
          </w:tcPr>
          <w:p w14:paraId="3E5FA34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水域救援抛绳包2</w:t>
            </w:r>
          </w:p>
        </w:tc>
        <w:tc>
          <w:tcPr>
            <w:tcW w:w="325" w:type="pct"/>
            <w:tcBorders>
              <w:top w:val="single" w:color="000000" w:sz="4" w:space="0"/>
              <w:left w:val="single" w:color="000000" w:sz="4" w:space="0"/>
              <w:bottom w:val="single" w:color="000000" w:sz="4" w:space="0"/>
              <w:right w:val="single" w:color="000000" w:sz="4" w:space="0"/>
            </w:tcBorders>
            <w:noWrap w:val="0"/>
            <w:vAlign w:val="center"/>
          </w:tcPr>
          <w:p w14:paraId="0580419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96 </w:t>
            </w:r>
          </w:p>
        </w:tc>
        <w:tc>
          <w:tcPr>
            <w:tcW w:w="360" w:type="pct"/>
            <w:tcBorders>
              <w:top w:val="single" w:color="000000" w:sz="4" w:space="0"/>
              <w:left w:val="single" w:color="000000" w:sz="4" w:space="0"/>
              <w:bottom w:val="single" w:color="000000" w:sz="4" w:space="0"/>
              <w:right w:val="single" w:color="000000" w:sz="4" w:space="0"/>
            </w:tcBorders>
            <w:noWrap w:val="0"/>
            <w:vAlign w:val="center"/>
          </w:tcPr>
          <w:p w14:paraId="078A50FA">
            <w:pPr>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rPr>
              <w:t>个</w:t>
            </w: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3D26CD7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0.1</w:t>
            </w:r>
          </w:p>
        </w:tc>
        <w:tc>
          <w:tcPr>
            <w:tcW w:w="574" w:type="pct"/>
            <w:tcBorders>
              <w:top w:val="single" w:color="000000" w:sz="4" w:space="0"/>
              <w:left w:val="single" w:color="000000" w:sz="4" w:space="0"/>
              <w:bottom w:val="single" w:color="000000" w:sz="4" w:space="0"/>
              <w:right w:val="nil"/>
            </w:tcBorders>
            <w:noWrap/>
            <w:vAlign w:val="center"/>
          </w:tcPr>
          <w:p w14:paraId="34CF1A6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9.6</w:t>
            </w:r>
          </w:p>
        </w:tc>
        <w:tc>
          <w:tcPr>
            <w:tcW w:w="630" w:type="pct"/>
            <w:vMerge w:val="continue"/>
            <w:tcBorders>
              <w:top w:val="single" w:color="000000" w:sz="4" w:space="0"/>
              <w:left w:val="single" w:color="000000" w:sz="4" w:space="0"/>
              <w:bottom w:val="single" w:color="000000" w:sz="4" w:space="0"/>
              <w:right w:val="nil"/>
            </w:tcBorders>
            <w:noWrap/>
            <w:vAlign w:val="center"/>
          </w:tcPr>
          <w:p w14:paraId="56646B58">
            <w:pPr>
              <w:jc w:val="center"/>
              <w:rPr>
                <w:rFonts w:hint="eastAsia" w:ascii="宋体" w:hAnsi="宋体" w:eastAsia="宋体" w:cs="宋体"/>
                <w:i w:val="0"/>
                <w:iCs w:val="0"/>
                <w:color w:val="auto"/>
                <w:sz w:val="21"/>
                <w:szCs w:val="21"/>
                <w:highlight w:val="none"/>
                <w:u w:val="none"/>
              </w:rPr>
            </w:pPr>
          </w:p>
        </w:tc>
        <w:tc>
          <w:tcPr>
            <w:tcW w:w="595" w:type="pct"/>
            <w:vMerge w:val="continue"/>
            <w:tcBorders>
              <w:left w:val="single" w:color="000000" w:sz="4" w:space="0"/>
              <w:right w:val="single" w:color="000000" w:sz="4" w:space="0"/>
            </w:tcBorders>
            <w:noWrap/>
            <w:vAlign w:val="center"/>
          </w:tcPr>
          <w:p w14:paraId="344D5EA5">
            <w:pPr>
              <w:jc w:val="center"/>
              <w:rPr>
                <w:rFonts w:hint="eastAsia" w:ascii="宋体" w:hAnsi="宋体" w:eastAsia="宋体" w:cs="宋体"/>
                <w:i w:val="0"/>
                <w:iCs w:val="0"/>
                <w:color w:val="auto"/>
                <w:sz w:val="21"/>
                <w:szCs w:val="21"/>
                <w:highlight w:val="none"/>
                <w:u w:val="none"/>
              </w:rPr>
            </w:pPr>
          </w:p>
        </w:tc>
        <w:tc>
          <w:tcPr>
            <w:tcW w:w="618" w:type="pct"/>
            <w:vMerge w:val="continue"/>
            <w:tcBorders>
              <w:left w:val="single" w:color="000000" w:sz="4" w:space="0"/>
              <w:right w:val="single" w:color="000000" w:sz="4" w:space="0"/>
            </w:tcBorders>
            <w:noWrap/>
            <w:vAlign w:val="center"/>
          </w:tcPr>
          <w:p w14:paraId="64556800">
            <w:pPr>
              <w:rPr>
                <w:rFonts w:hint="eastAsia" w:ascii="宋体" w:hAnsi="宋体" w:eastAsia="宋体" w:cs="宋体"/>
                <w:b w:val="0"/>
                <w:bCs w:val="0"/>
                <w:i w:val="0"/>
                <w:iCs w:val="0"/>
                <w:color w:val="auto"/>
                <w:sz w:val="18"/>
                <w:szCs w:val="18"/>
                <w:highlight w:val="none"/>
                <w:u w:val="none"/>
              </w:rPr>
            </w:pPr>
          </w:p>
        </w:tc>
      </w:tr>
      <w:tr w14:paraId="594BA0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325" w:type="pct"/>
            <w:vMerge w:val="continue"/>
            <w:tcBorders>
              <w:top w:val="single" w:color="000000" w:sz="4" w:space="0"/>
              <w:left w:val="single" w:color="000000" w:sz="4" w:space="0"/>
              <w:bottom w:val="single" w:color="000000" w:sz="4" w:space="0"/>
              <w:right w:val="single" w:color="000000" w:sz="4" w:space="0"/>
            </w:tcBorders>
            <w:noWrap/>
            <w:vAlign w:val="center"/>
          </w:tcPr>
          <w:p w14:paraId="1B362391">
            <w:pPr>
              <w:jc w:val="center"/>
              <w:rPr>
                <w:rFonts w:hint="eastAsia" w:ascii="宋体" w:hAnsi="宋体" w:eastAsia="宋体" w:cs="宋体"/>
                <w:i w:val="0"/>
                <w:iCs w:val="0"/>
                <w:color w:val="auto"/>
                <w:sz w:val="21"/>
                <w:szCs w:val="21"/>
                <w:highlight w:val="none"/>
                <w:u w:val="none"/>
              </w:rPr>
            </w:pPr>
          </w:p>
        </w:tc>
        <w:tc>
          <w:tcPr>
            <w:tcW w:w="1030" w:type="pct"/>
            <w:tcBorders>
              <w:top w:val="single" w:color="000000" w:sz="4" w:space="0"/>
              <w:left w:val="single" w:color="000000" w:sz="4" w:space="0"/>
              <w:bottom w:val="single" w:color="000000" w:sz="4" w:space="0"/>
              <w:right w:val="single" w:color="000000" w:sz="4" w:space="0"/>
            </w:tcBorders>
            <w:noWrap w:val="0"/>
            <w:vAlign w:val="center"/>
          </w:tcPr>
          <w:p w14:paraId="4397959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冰面救援气垫</w:t>
            </w:r>
          </w:p>
        </w:tc>
        <w:tc>
          <w:tcPr>
            <w:tcW w:w="325" w:type="pct"/>
            <w:tcBorders>
              <w:top w:val="single" w:color="000000" w:sz="4" w:space="0"/>
              <w:left w:val="single" w:color="000000" w:sz="4" w:space="0"/>
              <w:bottom w:val="single" w:color="000000" w:sz="4" w:space="0"/>
              <w:right w:val="single" w:color="000000" w:sz="4" w:space="0"/>
            </w:tcBorders>
            <w:noWrap w:val="0"/>
            <w:vAlign w:val="center"/>
          </w:tcPr>
          <w:p w14:paraId="7A8037E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 </w:t>
            </w:r>
          </w:p>
        </w:tc>
        <w:tc>
          <w:tcPr>
            <w:tcW w:w="360" w:type="pct"/>
            <w:tcBorders>
              <w:top w:val="single" w:color="000000" w:sz="4" w:space="0"/>
              <w:left w:val="single" w:color="000000" w:sz="4" w:space="0"/>
              <w:bottom w:val="single" w:color="000000" w:sz="4" w:space="0"/>
              <w:right w:val="single" w:color="000000" w:sz="4" w:space="0"/>
            </w:tcBorders>
            <w:noWrap w:val="0"/>
            <w:vAlign w:val="center"/>
          </w:tcPr>
          <w:p w14:paraId="04AC7356">
            <w:pPr>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rPr>
              <w:t>个</w:t>
            </w: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6DE6EB6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w:t>
            </w:r>
          </w:p>
        </w:tc>
        <w:tc>
          <w:tcPr>
            <w:tcW w:w="574" w:type="pct"/>
            <w:tcBorders>
              <w:top w:val="single" w:color="000000" w:sz="4" w:space="0"/>
              <w:left w:val="single" w:color="000000" w:sz="4" w:space="0"/>
              <w:bottom w:val="single" w:color="000000" w:sz="4" w:space="0"/>
              <w:right w:val="nil"/>
            </w:tcBorders>
            <w:noWrap/>
            <w:vAlign w:val="center"/>
          </w:tcPr>
          <w:p w14:paraId="5698A65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w:t>
            </w:r>
          </w:p>
        </w:tc>
        <w:tc>
          <w:tcPr>
            <w:tcW w:w="630" w:type="pct"/>
            <w:vMerge w:val="continue"/>
            <w:tcBorders>
              <w:top w:val="single" w:color="000000" w:sz="4" w:space="0"/>
              <w:left w:val="single" w:color="000000" w:sz="4" w:space="0"/>
              <w:bottom w:val="single" w:color="000000" w:sz="4" w:space="0"/>
              <w:right w:val="nil"/>
            </w:tcBorders>
            <w:noWrap/>
            <w:vAlign w:val="center"/>
          </w:tcPr>
          <w:p w14:paraId="3AB1AE24">
            <w:pPr>
              <w:jc w:val="center"/>
              <w:rPr>
                <w:rFonts w:hint="eastAsia" w:ascii="宋体" w:hAnsi="宋体" w:eastAsia="宋体" w:cs="宋体"/>
                <w:i w:val="0"/>
                <w:iCs w:val="0"/>
                <w:color w:val="auto"/>
                <w:sz w:val="21"/>
                <w:szCs w:val="21"/>
                <w:highlight w:val="none"/>
                <w:u w:val="none"/>
              </w:rPr>
            </w:pPr>
          </w:p>
        </w:tc>
        <w:tc>
          <w:tcPr>
            <w:tcW w:w="595" w:type="pct"/>
            <w:vMerge w:val="continue"/>
            <w:tcBorders>
              <w:left w:val="single" w:color="000000" w:sz="4" w:space="0"/>
              <w:right w:val="single" w:color="000000" w:sz="4" w:space="0"/>
            </w:tcBorders>
            <w:noWrap/>
            <w:vAlign w:val="center"/>
          </w:tcPr>
          <w:p w14:paraId="4A47A34B">
            <w:pPr>
              <w:jc w:val="center"/>
              <w:rPr>
                <w:rFonts w:hint="eastAsia" w:ascii="宋体" w:hAnsi="宋体" w:eastAsia="宋体" w:cs="宋体"/>
                <w:i w:val="0"/>
                <w:iCs w:val="0"/>
                <w:color w:val="auto"/>
                <w:sz w:val="21"/>
                <w:szCs w:val="21"/>
                <w:highlight w:val="none"/>
                <w:u w:val="none"/>
              </w:rPr>
            </w:pPr>
          </w:p>
        </w:tc>
        <w:tc>
          <w:tcPr>
            <w:tcW w:w="618" w:type="pct"/>
            <w:vMerge w:val="continue"/>
            <w:tcBorders>
              <w:left w:val="single" w:color="000000" w:sz="4" w:space="0"/>
              <w:right w:val="single" w:color="000000" w:sz="4" w:space="0"/>
            </w:tcBorders>
            <w:noWrap/>
            <w:vAlign w:val="center"/>
          </w:tcPr>
          <w:p w14:paraId="2F3C5111">
            <w:pPr>
              <w:rPr>
                <w:rFonts w:hint="eastAsia" w:ascii="宋体" w:hAnsi="宋体" w:eastAsia="宋体" w:cs="宋体"/>
                <w:b w:val="0"/>
                <w:bCs w:val="0"/>
                <w:i w:val="0"/>
                <w:iCs w:val="0"/>
                <w:color w:val="auto"/>
                <w:sz w:val="18"/>
                <w:szCs w:val="18"/>
                <w:highlight w:val="none"/>
                <w:u w:val="none"/>
              </w:rPr>
            </w:pPr>
          </w:p>
        </w:tc>
      </w:tr>
      <w:tr w14:paraId="41EC7B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325" w:type="pct"/>
            <w:vMerge w:val="continue"/>
            <w:tcBorders>
              <w:top w:val="single" w:color="000000" w:sz="4" w:space="0"/>
              <w:left w:val="single" w:color="000000" w:sz="4" w:space="0"/>
              <w:bottom w:val="single" w:color="000000" w:sz="4" w:space="0"/>
              <w:right w:val="single" w:color="000000" w:sz="4" w:space="0"/>
            </w:tcBorders>
            <w:noWrap/>
            <w:vAlign w:val="center"/>
          </w:tcPr>
          <w:p w14:paraId="52650EE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eastAsia="zh-CN" w:bidi="ar-SA"/>
              </w:rPr>
            </w:pPr>
          </w:p>
        </w:tc>
        <w:tc>
          <w:tcPr>
            <w:tcW w:w="1030" w:type="pct"/>
            <w:tcBorders>
              <w:top w:val="single" w:color="000000" w:sz="4" w:space="0"/>
              <w:left w:val="single" w:color="000000" w:sz="4" w:space="0"/>
              <w:bottom w:val="single" w:color="000000" w:sz="4" w:space="0"/>
              <w:right w:val="single" w:color="000000" w:sz="4" w:space="0"/>
            </w:tcBorders>
            <w:noWrap w:val="0"/>
            <w:vAlign w:val="center"/>
          </w:tcPr>
          <w:p w14:paraId="5349FA0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消防员方位灯（水域救援）</w:t>
            </w:r>
          </w:p>
        </w:tc>
        <w:tc>
          <w:tcPr>
            <w:tcW w:w="325" w:type="pct"/>
            <w:tcBorders>
              <w:top w:val="single" w:color="000000" w:sz="4" w:space="0"/>
              <w:left w:val="single" w:color="000000" w:sz="4" w:space="0"/>
              <w:bottom w:val="single" w:color="000000" w:sz="4" w:space="0"/>
              <w:right w:val="single" w:color="000000" w:sz="4" w:space="0"/>
            </w:tcBorders>
            <w:noWrap w:val="0"/>
            <w:vAlign w:val="center"/>
          </w:tcPr>
          <w:p w14:paraId="2DBB393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100 </w:t>
            </w:r>
          </w:p>
        </w:tc>
        <w:tc>
          <w:tcPr>
            <w:tcW w:w="360" w:type="pct"/>
            <w:tcBorders>
              <w:top w:val="single" w:color="000000" w:sz="4" w:space="0"/>
              <w:left w:val="single" w:color="000000" w:sz="4" w:space="0"/>
              <w:bottom w:val="single" w:color="000000" w:sz="4" w:space="0"/>
              <w:right w:val="single" w:color="000000" w:sz="4" w:space="0"/>
            </w:tcBorders>
            <w:noWrap w:val="0"/>
            <w:vAlign w:val="center"/>
          </w:tcPr>
          <w:p w14:paraId="41742524">
            <w:pPr>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rPr>
              <w:t>个</w:t>
            </w: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70B8D71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0.03</w:t>
            </w:r>
          </w:p>
        </w:tc>
        <w:tc>
          <w:tcPr>
            <w:tcW w:w="574" w:type="pct"/>
            <w:tcBorders>
              <w:top w:val="single" w:color="000000" w:sz="4" w:space="0"/>
              <w:left w:val="single" w:color="000000" w:sz="4" w:space="0"/>
              <w:bottom w:val="single" w:color="000000" w:sz="4" w:space="0"/>
              <w:right w:val="nil"/>
            </w:tcBorders>
            <w:noWrap/>
            <w:vAlign w:val="center"/>
          </w:tcPr>
          <w:p w14:paraId="6B7D353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630" w:type="pct"/>
            <w:vMerge w:val="continue"/>
            <w:tcBorders>
              <w:top w:val="single" w:color="000000" w:sz="4" w:space="0"/>
              <w:left w:val="single" w:color="000000" w:sz="4" w:space="0"/>
              <w:bottom w:val="single" w:color="000000" w:sz="4" w:space="0"/>
              <w:right w:val="nil"/>
            </w:tcBorders>
            <w:noWrap/>
            <w:vAlign w:val="center"/>
          </w:tcPr>
          <w:p w14:paraId="4B07A5FD">
            <w:pPr>
              <w:jc w:val="center"/>
              <w:rPr>
                <w:rFonts w:hint="eastAsia" w:ascii="宋体" w:hAnsi="宋体" w:eastAsia="宋体" w:cs="宋体"/>
                <w:i w:val="0"/>
                <w:iCs w:val="0"/>
                <w:color w:val="auto"/>
                <w:sz w:val="21"/>
                <w:szCs w:val="21"/>
                <w:highlight w:val="none"/>
                <w:u w:val="none"/>
              </w:rPr>
            </w:pPr>
          </w:p>
        </w:tc>
        <w:tc>
          <w:tcPr>
            <w:tcW w:w="595" w:type="pct"/>
            <w:vMerge w:val="continue"/>
            <w:tcBorders>
              <w:left w:val="single" w:color="000000" w:sz="4" w:space="0"/>
              <w:bottom w:val="single" w:color="000000" w:sz="4" w:space="0"/>
              <w:right w:val="single" w:color="000000" w:sz="4" w:space="0"/>
            </w:tcBorders>
            <w:noWrap/>
            <w:vAlign w:val="center"/>
          </w:tcPr>
          <w:p w14:paraId="32D6BAE8">
            <w:pPr>
              <w:jc w:val="center"/>
              <w:rPr>
                <w:rFonts w:hint="eastAsia" w:ascii="宋体" w:hAnsi="宋体" w:eastAsia="宋体" w:cs="宋体"/>
                <w:i w:val="0"/>
                <w:iCs w:val="0"/>
                <w:color w:val="auto"/>
                <w:sz w:val="21"/>
                <w:szCs w:val="21"/>
                <w:highlight w:val="none"/>
                <w:u w:val="none"/>
              </w:rPr>
            </w:pPr>
          </w:p>
        </w:tc>
        <w:tc>
          <w:tcPr>
            <w:tcW w:w="618" w:type="pct"/>
            <w:vMerge w:val="continue"/>
            <w:tcBorders>
              <w:left w:val="single" w:color="000000" w:sz="4" w:space="0"/>
              <w:bottom w:val="single" w:color="000000" w:sz="4" w:space="0"/>
              <w:right w:val="single" w:color="000000" w:sz="4" w:space="0"/>
            </w:tcBorders>
            <w:noWrap/>
            <w:vAlign w:val="center"/>
          </w:tcPr>
          <w:p w14:paraId="3BF4630E">
            <w:pPr>
              <w:rPr>
                <w:rFonts w:hint="eastAsia" w:ascii="宋体" w:hAnsi="宋体" w:eastAsia="宋体" w:cs="宋体"/>
                <w:b w:val="0"/>
                <w:bCs w:val="0"/>
                <w:i w:val="0"/>
                <w:iCs w:val="0"/>
                <w:color w:val="auto"/>
                <w:sz w:val="18"/>
                <w:szCs w:val="18"/>
                <w:highlight w:val="none"/>
                <w:u w:val="none"/>
              </w:rPr>
            </w:pPr>
          </w:p>
        </w:tc>
      </w:tr>
      <w:tr w14:paraId="357B2D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325" w:type="pct"/>
            <w:vMerge w:val="restart"/>
            <w:tcBorders>
              <w:top w:val="single" w:color="000000" w:sz="4" w:space="0"/>
              <w:left w:val="single" w:color="000000" w:sz="4" w:space="0"/>
              <w:bottom w:val="single" w:color="000000" w:sz="4" w:space="0"/>
              <w:right w:val="single" w:color="000000" w:sz="4" w:space="0"/>
            </w:tcBorders>
            <w:noWrap/>
            <w:vAlign w:val="center"/>
          </w:tcPr>
          <w:p w14:paraId="0A6D218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52</w:t>
            </w:r>
          </w:p>
        </w:tc>
        <w:tc>
          <w:tcPr>
            <w:tcW w:w="1030" w:type="pct"/>
            <w:tcBorders>
              <w:top w:val="single" w:color="000000" w:sz="4" w:space="0"/>
              <w:left w:val="single" w:color="000000" w:sz="4" w:space="0"/>
              <w:bottom w:val="single" w:color="000000" w:sz="4" w:space="0"/>
              <w:right w:val="single" w:color="000000" w:sz="4" w:space="0"/>
            </w:tcBorders>
            <w:noWrap w:val="0"/>
            <w:vAlign w:val="center"/>
          </w:tcPr>
          <w:p w14:paraId="57FE0DF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水下生命探测仪</w:t>
            </w:r>
          </w:p>
        </w:tc>
        <w:tc>
          <w:tcPr>
            <w:tcW w:w="325" w:type="pct"/>
            <w:tcBorders>
              <w:top w:val="single" w:color="000000" w:sz="4" w:space="0"/>
              <w:left w:val="single" w:color="000000" w:sz="4" w:space="0"/>
              <w:bottom w:val="single" w:color="000000" w:sz="4" w:space="0"/>
              <w:right w:val="single" w:color="000000" w:sz="4" w:space="0"/>
            </w:tcBorders>
            <w:noWrap w:val="0"/>
            <w:vAlign w:val="center"/>
          </w:tcPr>
          <w:p w14:paraId="504C2C9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 </w:t>
            </w:r>
          </w:p>
        </w:tc>
        <w:tc>
          <w:tcPr>
            <w:tcW w:w="360" w:type="pct"/>
            <w:tcBorders>
              <w:top w:val="single" w:color="000000" w:sz="4" w:space="0"/>
              <w:left w:val="single" w:color="000000" w:sz="4" w:space="0"/>
              <w:bottom w:val="single" w:color="000000" w:sz="4" w:space="0"/>
              <w:right w:val="single" w:color="000000" w:sz="4" w:space="0"/>
            </w:tcBorders>
            <w:noWrap w:val="0"/>
            <w:vAlign w:val="center"/>
          </w:tcPr>
          <w:p w14:paraId="4A2592A7">
            <w:pPr>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rPr>
              <w:t>台</w:t>
            </w: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3EDB76C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4.5</w:t>
            </w:r>
          </w:p>
        </w:tc>
        <w:tc>
          <w:tcPr>
            <w:tcW w:w="574" w:type="pct"/>
            <w:tcBorders>
              <w:top w:val="single" w:color="000000" w:sz="4" w:space="0"/>
              <w:left w:val="single" w:color="000000" w:sz="4" w:space="0"/>
              <w:bottom w:val="single" w:color="000000" w:sz="4" w:space="0"/>
              <w:right w:val="nil"/>
            </w:tcBorders>
            <w:noWrap/>
            <w:vAlign w:val="center"/>
          </w:tcPr>
          <w:p w14:paraId="4BC3619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4.5</w:t>
            </w:r>
          </w:p>
        </w:tc>
        <w:tc>
          <w:tcPr>
            <w:tcW w:w="630" w:type="pct"/>
            <w:vMerge w:val="restart"/>
            <w:tcBorders>
              <w:top w:val="single" w:color="000000" w:sz="4" w:space="0"/>
              <w:left w:val="single" w:color="000000" w:sz="4" w:space="0"/>
              <w:bottom w:val="single" w:color="000000" w:sz="4" w:space="0"/>
              <w:right w:val="nil"/>
            </w:tcBorders>
            <w:noWrap/>
            <w:vAlign w:val="center"/>
          </w:tcPr>
          <w:p w14:paraId="048E8F9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44.5</w:t>
            </w:r>
          </w:p>
        </w:tc>
        <w:tc>
          <w:tcPr>
            <w:tcW w:w="595" w:type="pct"/>
            <w:vMerge w:val="restart"/>
            <w:tcBorders>
              <w:top w:val="single" w:color="000000" w:sz="4" w:space="0"/>
              <w:left w:val="single" w:color="000000" w:sz="4" w:space="0"/>
              <w:right w:val="single" w:color="000000" w:sz="4" w:space="0"/>
            </w:tcBorders>
            <w:noWrap/>
            <w:vAlign w:val="center"/>
          </w:tcPr>
          <w:p w14:paraId="5C16B8E9">
            <w:pPr>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rPr>
              <w:t>否</w:t>
            </w:r>
          </w:p>
        </w:tc>
        <w:tc>
          <w:tcPr>
            <w:tcW w:w="618" w:type="pct"/>
            <w:vMerge w:val="restart"/>
            <w:tcBorders>
              <w:top w:val="single" w:color="000000" w:sz="4" w:space="0"/>
              <w:left w:val="single" w:color="000000" w:sz="4" w:space="0"/>
              <w:right w:val="single" w:color="000000" w:sz="4" w:space="0"/>
            </w:tcBorders>
            <w:noWrap/>
            <w:vAlign w:val="center"/>
          </w:tcPr>
          <w:p w14:paraId="096C29E4">
            <w:pPr>
              <w:rPr>
                <w:rFonts w:hint="eastAsia" w:ascii="宋体" w:hAnsi="宋体" w:eastAsia="宋体" w:cs="宋体"/>
                <w:b w:val="0"/>
                <w:bCs w:val="0"/>
                <w:i w:val="0"/>
                <w:iCs w:val="0"/>
                <w:color w:val="auto"/>
                <w:sz w:val="18"/>
                <w:szCs w:val="18"/>
                <w:highlight w:val="none"/>
                <w:u w:val="none"/>
              </w:rPr>
            </w:pPr>
          </w:p>
        </w:tc>
      </w:tr>
      <w:tr w14:paraId="126BB4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325" w:type="pct"/>
            <w:vMerge w:val="continue"/>
            <w:tcBorders>
              <w:top w:val="single" w:color="000000" w:sz="4" w:space="0"/>
              <w:left w:val="single" w:color="000000" w:sz="4" w:space="0"/>
              <w:bottom w:val="single" w:color="000000" w:sz="4" w:space="0"/>
              <w:right w:val="single" w:color="000000" w:sz="4" w:space="0"/>
            </w:tcBorders>
            <w:noWrap/>
            <w:vAlign w:val="center"/>
          </w:tcPr>
          <w:p w14:paraId="6E96CC3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eastAsia="zh-CN" w:bidi="ar-SA"/>
              </w:rPr>
            </w:pPr>
          </w:p>
        </w:tc>
        <w:tc>
          <w:tcPr>
            <w:tcW w:w="1030" w:type="pct"/>
            <w:tcBorders>
              <w:top w:val="single" w:color="000000" w:sz="4" w:space="0"/>
              <w:left w:val="single" w:color="000000" w:sz="4" w:space="0"/>
              <w:bottom w:val="single" w:color="000000" w:sz="4" w:space="0"/>
              <w:right w:val="single" w:color="000000" w:sz="4" w:space="0"/>
            </w:tcBorders>
            <w:noWrap w:val="0"/>
            <w:vAlign w:val="center"/>
          </w:tcPr>
          <w:p w14:paraId="0E12AED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水下搜救机器人2（核心产品）</w:t>
            </w:r>
          </w:p>
        </w:tc>
        <w:tc>
          <w:tcPr>
            <w:tcW w:w="325" w:type="pct"/>
            <w:tcBorders>
              <w:top w:val="single" w:color="000000" w:sz="4" w:space="0"/>
              <w:left w:val="single" w:color="000000" w:sz="4" w:space="0"/>
              <w:bottom w:val="single" w:color="000000" w:sz="4" w:space="0"/>
              <w:right w:val="single" w:color="000000" w:sz="4" w:space="0"/>
            </w:tcBorders>
            <w:noWrap w:val="0"/>
            <w:vAlign w:val="center"/>
          </w:tcPr>
          <w:p w14:paraId="3C58E99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 </w:t>
            </w:r>
          </w:p>
        </w:tc>
        <w:tc>
          <w:tcPr>
            <w:tcW w:w="360" w:type="pct"/>
            <w:tcBorders>
              <w:top w:val="single" w:color="000000" w:sz="4" w:space="0"/>
              <w:left w:val="single" w:color="000000" w:sz="4" w:space="0"/>
              <w:bottom w:val="single" w:color="000000" w:sz="4" w:space="0"/>
              <w:right w:val="single" w:color="000000" w:sz="4" w:space="0"/>
            </w:tcBorders>
            <w:noWrap w:val="0"/>
            <w:vAlign w:val="center"/>
          </w:tcPr>
          <w:p w14:paraId="6441E567">
            <w:pPr>
              <w:jc w:val="center"/>
              <w:rPr>
                <w:rFonts w:hint="default"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个</w:t>
            </w: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045E969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w:t>
            </w:r>
          </w:p>
        </w:tc>
        <w:tc>
          <w:tcPr>
            <w:tcW w:w="574" w:type="pct"/>
            <w:tcBorders>
              <w:top w:val="single" w:color="000000" w:sz="4" w:space="0"/>
              <w:left w:val="single" w:color="000000" w:sz="4" w:space="0"/>
              <w:bottom w:val="single" w:color="000000" w:sz="4" w:space="0"/>
              <w:right w:val="nil"/>
            </w:tcBorders>
            <w:noWrap/>
            <w:vAlign w:val="center"/>
          </w:tcPr>
          <w:p w14:paraId="39E8AAB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w:t>
            </w:r>
          </w:p>
        </w:tc>
        <w:tc>
          <w:tcPr>
            <w:tcW w:w="630" w:type="pct"/>
            <w:vMerge w:val="continue"/>
            <w:tcBorders>
              <w:top w:val="single" w:color="000000" w:sz="4" w:space="0"/>
              <w:left w:val="single" w:color="000000" w:sz="4" w:space="0"/>
              <w:bottom w:val="single" w:color="000000" w:sz="4" w:space="0"/>
              <w:right w:val="nil"/>
            </w:tcBorders>
            <w:noWrap/>
            <w:vAlign w:val="center"/>
          </w:tcPr>
          <w:p w14:paraId="35A25F67">
            <w:pPr>
              <w:jc w:val="center"/>
              <w:rPr>
                <w:rFonts w:hint="eastAsia" w:ascii="宋体" w:hAnsi="宋体" w:eastAsia="宋体" w:cs="宋体"/>
                <w:i w:val="0"/>
                <w:iCs w:val="0"/>
                <w:color w:val="auto"/>
                <w:sz w:val="21"/>
                <w:szCs w:val="21"/>
                <w:highlight w:val="none"/>
                <w:u w:val="none"/>
              </w:rPr>
            </w:pPr>
          </w:p>
        </w:tc>
        <w:tc>
          <w:tcPr>
            <w:tcW w:w="595" w:type="pct"/>
            <w:vMerge w:val="continue"/>
            <w:tcBorders>
              <w:left w:val="single" w:color="000000" w:sz="4" w:space="0"/>
              <w:bottom w:val="single" w:color="000000" w:sz="4" w:space="0"/>
              <w:right w:val="single" w:color="000000" w:sz="4" w:space="0"/>
            </w:tcBorders>
            <w:noWrap/>
            <w:vAlign w:val="center"/>
          </w:tcPr>
          <w:p w14:paraId="668B1AA0">
            <w:pPr>
              <w:jc w:val="center"/>
              <w:rPr>
                <w:rFonts w:hint="eastAsia" w:ascii="宋体" w:hAnsi="宋体" w:eastAsia="宋体" w:cs="宋体"/>
                <w:i w:val="0"/>
                <w:iCs w:val="0"/>
                <w:color w:val="auto"/>
                <w:sz w:val="21"/>
                <w:szCs w:val="21"/>
                <w:highlight w:val="none"/>
                <w:u w:val="none"/>
              </w:rPr>
            </w:pPr>
          </w:p>
        </w:tc>
        <w:tc>
          <w:tcPr>
            <w:tcW w:w="618" w:type="pct"/>
            <w:vMerge w:val="continue"/>
            <w:tcBorders>
              <w:left w:val="single" w:color="000000" w:sz="4" w:space="0"/>
              <w:bottom w:val="single" w:color="000000" w:sz="4" w:space="0"/>
              <w:right w:val="single" w:color="000000" w:sz="4" w:space="0"/>
            </w:tcBorders>
            <w:noWrap/>
            <w:vAlign w:val="center"/>
          </w:tcPr>
          <w:p w14:paraId="0DC6F430">
            <w:pPr>
              <w:rPr>
                <w:rFonts w:hint="eastAsia" w:ascii="宋体" w:hAnsi="宋体" w:eastAsia="宋体" w:cs="宋体"/>
                <w:b w:val="0"/>
                <w:bCs w:val="0"/>
                <w:i w:val="0"/>
                <w:iCs w:val="0"/>
                <w:color w:val="auto"/>
                <w:sz w:val="18"/>
                <w:szCs w:val="18"/>
                <w:highlight w:val="none"/>
                <w:u w:val="none"/>
              </w:rPr>
            </w:pPr>
          </w:p>
        </w:tc>
      </w:tr>
      <w:tr w14:paraId="1CC777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325" w:type="pct"/>
            <w:vMerge w:val="restart"/>
            <w:tcBorders>
              <w:top w:val="single" w:color="000000" w:sz="4" w:space="0"/>
              <w:left w:val="single" w:color="000000" w:sz="4" w:space="0"/>
              <w:bottom w:val="single" w:color="000000" w:sz="4" w:space="0"/>
              <w:right w:val="single" w:color="000000" w:sz="4" w:space="0"/>
            </w:tcBorders>
            <w:noWrap/>
            <w:vAlign w:val="center"/>
          </w:tcPr>
          <w:p w14:paraId="5C9C1AB2">
            <w:pPr>
              <w:keepNext w:val="0"/>
              <w:keepLines w:val="0"/>
              <w:widowControl/>
              <w:suppressLineNumbers w:val="0"/>
              <w:jc w:val="center"/>
              <w:textAlignment w:val="center"/>
              <w:rPr>
                <w:rFonts w:hint="default" w:ascii="宋体" w:hAnsi="宋体" w:eastAsia="宋体" w:cs="宋体"/>
                <w:i w:val="0"/>
                <w:iCs w:val="0"/>
                <w:color w:val="auto"/>
                <w:sz w:val="21"/>
                <w:szCs w:val="21"/>
                <w:highlight w:val="none"/>
                <w:u w:val="none"/>
                <w:lang w:val="en-US" w:eastAsia="zh-CN"/>
              </w:rPr>
            </w:pPr>
            <w:r>
              <w:rPr>
                <w:rFonts w:hint="eastAsia" w:eastAsia="宋体" w:cs="宋体"/>
                <w:i w:val="0"/>
                <w:iCs w:val="0"/>
                <w:color w:val="auto"/>
                <w:sz w:val="21"/>
                <w:szCs w:val="21"/>
                <w:highlight w:val="none"/>
                <w:u w:val="none"/>
                <w:lang w:val="en-US" w:eastAsia="zh-CN"/>
              </w:rPr>
              <w:t>53</w:t>
            </w:r>
          </w:p>
        </w:tc>
        <w:tc>
          <w:tcPr>
            <w:tcW w:w="1030" w:type="pct"/>
            <w:tcBorders>
              <w:top w:val="single" w:color="000000" w:sz="4" w:space="0"/>
              <w:left w:val="single" w:color="000000" w:sz="4" w:space="0"/>
              <w:bottom w:val="single" w:color="000000" w:sz="4" w:space="0"/>
              <w:right w:val="single" w:color="000000" w:sz="4" w:space="0"/>
            </w:tcBorders>
            <w:noWrap w:val="0"/>
            <w:vAlign w:val="center"/>
          </w:tcPr>
          <w:p w14:paraId="1DFB65F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水下搜救机器人1（核心产品）</w:t>
            </w:r>
          </w:p>
        </w:tc>
        <w:tc>
          <w:tcPr>
            <w:tcW w:w="325" w:type="pct"/>
            <w:tcBorders>
              <w:top w:val="single" w:color="000000" w:sz="4" w:space="0"/>
              <w:left w:val="single" w:color="000000" w:sz="4" w:space="0"/>
              <w:bottom w:val="single" w:color="000000" w:sz="4" w:space="0"/>
              <w:right w:val="single" w:color="000000" w:sz="4" w:space="0"/>
            </w:tcBorders>
            <w:noWrap w:val="0"/>
            <w:vAlign w:val="center"/>
          </w:tcPr>
          <w:p w14:paraId="464B833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 </w:t>
            </w:r>
          </w:p>
        </w:tc>
        <w:tc>
          <w:tcPr>
            <w:tcW w:w="360" w:type="pct"/>
            <w:tcBorders>
              <w:top w:val="single" w:color="000000" w:sz="4" w:space="0"/>
              <w:left w:val="single" w:color="000000" w:sz="4" w:space="0"/>
              <w:bottom w:val="single" w:color="000000" w:sz="4" w:space="0"/>
              <w:right w:val="single" w:color="000000" w:sz="4" w:space="0"/>
            </w:tcBorders>
            <w:noWrap w:val="0"/>
            <w:vAlign w:val="center"/>
          </w:tcPr>
          <w:p w14:paraId="5A0CE147">
            <w:pPr>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rPr>
              <w:t>个</w:t>
            </w: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7F31111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w:t>
            </w:r>
          </w:p>
        </w:tc>
        <w:tc>
          <w:tcPr>
            <w:tcW w:w="574" w:type="pct"/>
            <w:tcBorders>
              <w:top w:val="single" w:color="000000" w:sz="4" w:space="0"/>
              <w:left w:val="single" w:color="000000" w:sz="4" w:space="0"/>
              <w:bottom w:val="single" w:color="000000" w:sz="4" w:space="0"/>
              <w:right w:val="nil"/>
            </w:tcBorders>
            <w:noWrap/>
            <w:vAlign w:val="center"/>
          </w:tcPr>
          <w:p w14:paraId="63C19AA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w:t>
            </w:r>
          </w:p>
        </w:tc>
        <w:tc>
          <w:tcPr>
            <w:tcW w:w="630" w:type="pct"/>
            <w:vMerge w:val="restart"/>
            <w:tcBorders>
              <w:top w:val="single" w:color="000000" w:sz="4" w:space="0"/>
              <w:left w:val="single" w:color="000000" w:sz="4" w:space="0"/>
              <w:bottom w:val="single" w:color="000000" w:sz="4" w:space="0"/>
              <w:right w:val="nil"/>
            </w:tcBorders>
            <w:noWrap/>
            <w:vAlign w:val="center"/>
          </w:tcPr>
          <w:p w14:paraId="1299E1A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87</w:t>
            </w:r>
          </w:p>
        </w:tc>
        <w:tc>
          <w:tcPr>
            <w:tcW w:w="595" w:type="pct"/>
            <w:vMerge w:val="restart"/>
            <w:tcBorders>
              <w:top w:val="single" w:color="000000" w:sz="4" w:space="0"/>
              <w:left w:val="single" w:color="000000" w:sz="4" w:space="0"/>
              <w:right w:val="single" w:color="000000" w:sz="4" w:space="0"/>
            </w:tcBorders>
            <w:noWrap/>
            <w:vAlign w:val="center"/>
          </w:tcPr>
          <w:p w14:paraId="6D73A069">
            <w:pPr>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rPr>
              <w:t>否</w:t>
            </w:r>
          </w:p>
        </w:tc>
        <w:tc>
          <w:tcPr>
            <w:tcW w:w="618" w:type="pct"/>
            <w:vMerge w:val="restart"/>
            <w:tcBorders>
              <w:top w:val="single" w:color="000000" w:sz="4" w:space="0"/>
              <w:left w:val="single" w:color="000000" w:sz="4" w:space="0"/>
              <w:right w:val="single" w:color="000000" w:sz="4" w:space="0"/>
            </w:tcBorders>
            <w:noWrap/>
            <w:vAlign w:val="center"/>
          </w:tcPr>
          <w:p w14:paraId="417B6BF1">
            <w:pPr>
              <w:rPr>
                <w:rFonts w:hint="eastAsia" w:ascii="宋体" w:hAnsi="宋体" w:eastAsia="宋体" w:cs="宋体"/>
                <w:b w:val="0"/>
                <w:bCs w:val="0"/>
                <w:i w:val="0"/>
                <w:iCs w:val="0"/>
                <w:color w:val="auto"/>
                <w:sz w:val="18"/>
                <w:szCs w:val="18"/>
                <w:highlight w:val="none"/>
                <w:u w:val="none"/>
              </w:rPr>
            </w:pPr>
          </w:p>
        </w:tc>
      </w:tr>
      <w:tr w14:paraId="6514AC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325" w:type="pct"/>
            <w:vMerge w:val="continue"/>
            <w:tcBorders>
              <w:top w:val="single" w:color="000000" w:sz="4" w:space="0"/>
              <w:left w:val="single" w:color="000000" w:sz="4" w:space="0"/>
              <w:bottom w:val="single" w:color="000000" w:sz="4" w:space="0"/>
              <w:right w:val="single" w:color="000000" w:sz="4" w:space="0"/>
            </w:tcBorders>
            <w:noWrap/>
            <w:vAlign w:val="center"/>
          </w:tcPr>
          <w:p w14:paraId="42052EC4">
            <w:pPr>
              <w:jc w:val="center"/>
              <w:rPr>
                <w:rFonts w:hint="eastAsia" w:ascii="宋体" w:hAnsi="宋体" w:eastAsia="宋体" w:cs="宋体"/>
                <w:i w:val="0"/>
                <w:iCs w:val="0"/>
                <w:color w:val="auto"/>
                <w:sz w:val="21"/>
                <w:szCs w:val="21"/>
                <w:highlight w:val="none"/>
                <w:u w:val="none"/>
              </w:rPr>
            </w:pPr>
          </w:p>
        </w:tc>
        <w:tc>
          <w:tcPr>
            <w:tcW w:w="1030" w:type="pct"/>
            <w:tcBorders>
              <w:top w:val="single" w:color="000000" w:sz="4" w:space="0"/>
              <w:left w:val="single" w:color="000000" w:sz="4" w:space="0"/>
              <w:bottom w:val="single" w:color="000000" w:sz="4" w:space="0"/>
              <w:right w:val="single" w:color="000000" w:sz="4" w:space="0"/>
            </w:tcBorders>
            <w:noWrap w:val="0"/>
            <w:vAlign w:val="center"/>
          </w:tcPr>
          <w:p w14:paraId="149D5B6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水面遥控救援机器人1</w:t>
            </w:r>
          </w:p>
        </w:tc>
        <w:tc>
          <w:tcPr>
            <w:tcW w:w="325" w:type="pct"/>
            <w:tcBorders>
              <w:top w:val="single" w:color="000000" w:sz="4" w:space="0"/>
              <w:left w:val="single" w:color="000000" w:sz="4" w:space="0"/>
              <w:bottom w:val="single" w:color="000000" w:sz="4" w:space="0"/>
              <w:right w:val="single" w:color="000000" w:sz="4" w:space="0"/>
            </w:tcBorders>
            <w:noWrap w:val="0"/>
            <w:vAlign w:val="center"/>
          </w:tcPr>
          <w:p w14:paraId="4E6386A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9 </w:t>
            </w:r>
          </w:p>
        </w:tc>
        <w:tc>
          <w:tcPr>
            <w:tcW w:w="360" w:type="pct"/>
            <w:tcBorders>
              <w:top w:val="single" w:color="000000" w:sz="4" w:space="0"/>
              <w:left w:val="single" w:color="000000" w:sz="4" w:space="0"/>
              <w:bottom w:val="single" w:color="000000" w:sz="4" w:space="0"/>
              <w:right w:val="single" w:color="000000" w:sz="4" w:space="0"/>
            </w:tcBorders>
            <w:noWrap w:val="0"/>
            <w:vAlign w:val="center"/>
          </w:tcPr>
          <w:p w14:paraId="16F6F4BF">
            <w:pPr>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rPr>
              <w:t>个</w:t>
            </w: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223F5D1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w:t>
            </w:r>
          </w:p>
        </w:tc>
        <w:tc>
          <w:tcPr>
            <w:tcW w:w="574" w:type="pct"/>
            <w:tcBorders>
              <w:top w:val="single" w:color="000000" w:sz="4" w:space="0"/>
              <w:left w:val="single" w:color="000000" w:sz="4" w:space="0"/>
              <w:bottom w:val="single" w:color="000000" w:sz="4" w:space="0"/>
              <w:right w:val="nil"/>
            </w:tcBorders>
            <w:noWrap/>
            <w:vAlign w:val="center"/>
          </w:tcPr>
          <w:p w14:paraId="0D4F15C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31.5</w:t>
            </w:r>
          </w:p>
        </w:tc>
        <w:tc>
          <w:tcPr>
            <w:tcW w:w="630" w:type="pct"/>
            <w:vMerge w:val="continue"/>
            <w:tcBorders>
              <w:top w:val="single" w:color="000000" w:sz="4" w:space="0"/>
              <w:left w:val="single" w:color="000000" w:sz="4" w:space="0"/>
              <w:bottom w:val="single" w:color="000000" w:sz="4" w:space="0"/>
              <w:right w:val="nil"/>
            </w:tcBorders>
            <w:noWrap/>
            <w:vAlign w:val="center"/>
          </w:tcPr>
          <w:p w14:paraId="19EA9374">
            <w:pPr>
              <w:jc w:val="center"/>
              <w:rPr>
                <w:rFonts w:hint="eastAsia" w:ascii="宋体" w:hAnsi="宋体" w:eastAsia="宋体" w:cs="宋体"/>
                <w:i w:val="0"/>
                <w:iCs w:val="0"/>
                <w:color w:val="auto"/>
                <w:sz w:val="21"/>
                <w:szCs w:val="21"/>
                <w:highlight w:val="none"/>
                <w:u w:val="none"/>
              </w:rPr>
            </w:pPr>
          </w:p>
        </w:tc>
        <w:tc>
          <w:tcPr>
            <w:tcW w:w="595" w:type="pct"/>
            <w:vMerge w:val="continue"/>
            <w:tcBorders>
              <w:left w:val="single" w:color="000000" w:sz="4" w:space="0"/>
              <w:right w:val="single" w:color="000000" w:sz="4" w:space="0"/>
            </w:tcBorders>
            <w:noWrap/>
            <w:vAlign w:val="center"/>
          </w:tcPr>
          <w:p w14:paraId="4F362966">
            <w:pPr>
              <w:jc w:val="center"/>
              <w:rPr>
                <w:rFonts w:hint="eastAsia" w:ascii="宋体" w:hAnsi="宋体" w:eastAsia="宋体" w:cs="宋体"/>
                <w:i w:val="0"/>
                <w:iCs w:val="0"/>
                <w:color w:val="auto"/>
                <w:sz w:val="21"/>
                <w:szCs w:val="21"/>
                <w:highlight w:val="none"/>
                <w:u w:val="none"/>
              </w:rPr>
            </w:pPr>
          </w:p>
        </w:tc>
        <w:tc>
          <w:tcPr>
            <w:tcW w:w="618" w:type="pct"/>
            <w:vMerge w:val="continue"/>
            <w:tcBorders>
              <w:left w:val="single" w:color="000000" w:sz="4" w:space="0"/>
              <w:right w:val="single" w:color="000000" w:sz="4" w:space="0"/>
            </w:tcBorders>
            <w:noWrap/>
            <w:vAlign w:val="center"/>
          </w:tcPr>
          <w:p w14:paraId="6FA7EF14">
            <w:pPr>
              <w:rPr>
                <w:rFonts w:hint="eastAsia" w:ascii="宋体" w:hAnsi="宋体" w:eastAsia="宋体" w:cs="宋体"/>
                <w:b w:val="0"/>
                <w:bCs w:val="0"/>
                <w:i w:val="0"/>
                <w:iCs w:val="0"/>
                <w:color w:val="auto"/>
                <w:sz w:val="18"/>
                <w:szCs w:val="18"/>
                <w:highlight w:val="none"/>
                <w:u w:val="none"/>
              </w:rPr>
            </w:pPr>
          </w:p>
        </w:tc>
      </w:tr>
      <w:tr w14:paraId="59FDFB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325" w:type="pct"/>
            <w:vMerge w:val="continue"/>
            <w:tcBorders>
              <w:top w:val="single" w:color="000000" w:sz="4" w:space="0"/>
              <w:left w:val="single" w:color="000000" w:sz="4" w:space="0"/>
              <w:bottom w:val="single" w:color="000000" w:sz="4" w:space="0"/>
              <w:right w:val="single" w:color="000000" w:sz="4" w:space="0"/>
            </w:tcBorders>
            <w:noWrap/>
            <w:vAlign w:val="center"/>
          </w:tcPr>
          <w:p w14:paraId="29840AF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eastAsia="zh-CN" w:bidi="ar-SA"/>
              </w:rPr>
            </w:pPr>
          </w:p>
        </w:tc>
        <w:tc>
          <w:tcPr>
            <w:tcW w:w="1030" w:type="pct"/>
            <w:tcBorders>
              <w:top w:val="single" w:color="000000" w:sz="4" w:space="0"/>
              <w:left w:val="single" w:color="000000" w:sz="4" w:space="0"/>
              <w:bottom w:val="single" w:color="000000" w:sz="4" w:space="0"/>
              <w:right w:val="single" w:color="000000" w:sz="4" w:space="0"/>
            </w:tcBorders>
            <w:noWrap w:val="0"/>
            <w:vAlign w:val="center"/>
          </w:tcPr>
          <w:p w14:paraId="4F3FE72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水面遥控救援机器人2</w:t>
            </w:r>
          </w:p>
        </w:tc>
        <w:tc>
          <w:tcPr>
            <w:tcW w:w="325" w:type="pct"/>
            <w:tcBorders>
              <w:top w:val="single" w:color="000000" w:sz="4" w:space="0"/>
              <w:left w:val="single" w:color="000000" w:sz="4" w:space="0"/>
              <w:bottom w:val="single" w:color="000000" w:sz="4" w:space="0"/>
              <w:right w:val="single" w:color="000000" w:sz="4" w:space="0"/>
            </w:tcBorders>
            <w:noWrap w:val="0"/>
            <w:vAlign w:val="center"/>
          </w:tcPr>
          <w:p w14:paraId="7C20077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7 </w:t>
            </w:r>
          </w:p>
        </w:tc>
        <w:tc>
          <w:tcPr>
            <w:tcW w:w="360" w:type="pct"/>
            <w:tcBorders>
              <w:top w:val="single" w:color="000000" w:sz="4" w:space="0"/>
              <w:left w:val="single" w:color="000000" w:sz="4" w:space="0"/>
              <w:bottom w:val="single" w:color="000000" w:sz="4" w:space="0"/>
              <w:right w:val="single" w:color="000000" w:sz="4" w:space="0"/>
            </w:tcBorders>
            <w:noWrap w:val="0"/>
            <w:vAlign w:val="center"/>
          </w:tcPr>
          <w:p w14:paraId="7F5E3B7B">
            <w:pPr>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rPr>
              <w:t>个</w:t>
            </w: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2819B37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5.5</w:t>
            </w:r>
          </w:p>
        </w:tc>
        <w:tc>
          <w:tcPr>
            <w:tcW w:w="574" w:type="pct"/>
            <w:tcBorders>
              <w:top w:val="single" w:color="000000" w:sz="4" w:space="0"/>
              <w:left w:val="single" w:color="000000" w:sz="4" w:space="0"/>
              <w:bottom w:val="single" w:color="000000" w:sz="4" w:space="0"/>
              <w:right w:val="nil"/>
            </w:tcBorders>
            <w:noWrap/>
            <w:vAlign w:val="center"/>
          </w:tcPr>
          <w:p w14:paraId="72F2D52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38.5</w:t>
            </w:r>
          </w:p>
        </w:tc>
        <w:tc>
          <w:tcPr>
            <w:tcW w:w="630" w:type="pct"/>
            <w:vMerge w:val="continue"/>
            <w:tcBorders>
              <w:top w:val="single" w:color="000000" w:sz="4" w:space="0"/>
              <w:left w:val="single" w:color="000000" w:sz="4" w:space="0"/>
              <w:bottom w:val="single" w:color="000000" w:sz="4" w:space="0"/>
              <w:right w:val="nil"/>
            </w:tcBorders>
            <w:noWrap/>
            <w:vAlign w:val="center"/>
          </w:tcPr>
          <w:p w14:paraId="1ED656B7">
            <w:pPr>
              <w:jc w:val="center"/>
              <w:rPr>
                <w:rFonts w:hint="eastAsia" w:ascii="宋体" w:hAnsi="宋体" w:eastAsia="宋体" w:cs="宋体"/>
                <w:i w:val="0"/>
                <w:iCs w:val="0"/>
                <w:color w:val="auto"/>
                <w:sz w:val="21"/>
                <w:szCs w:val="21"/>
                <w:highlight w:val="none"/>
                <w:u w:val="none"/>
              </w:rPr>
            </w:pPr>
          </w:p>
        </w:tc>
        <w:tc>
          <w:tcPr>
            <w:tcW w:w="595" w:type="pct"/>
            <w:vMerge w:val="continue"/>
            <w:tcBorders>
              <w:left w:val="single" w:color="000000" w:sz="4" w:space="0"/>
              <w:bottom w:val="single" w:color="000000" w:sz="4" w:space="0"/>
              <w:right w:val="single" w:color="000000" w:sz="4" w:space="0"/>
            </w:tcBorders>
            <w:noWrap/>
            <w:vAlign w:val="center"/>
          </w:tcPr>
          <w:p w14:paraId="165CB8F6">
            <w:pPr>
              <w:jc w:val="center"/>
              <w:rPr>
                <w:rFonts w:hint="eastAsia" w:ascii="宋体" w:hAnsi="宋体" w:eastAsia="宋体" w:cs="宋体"/>
                <w:i w:val="0"/>
                <w:iCs w:val="0"/>
                <w:color w:val="auto"/>
                <w:sz w:val="21"/>
                <w:szCs w:val="21"/>
                <w:highlight w:val="none"/>
                <w:u w:val="none"/>
              </w:rPr>
            </w:pPr>
          </w:p>
        </w:tc>
        <w:tc>
          <w:tcPr>
            <w:tcW w:w="618" w:type="pct"/>
            <w:vMerge w:val="continue"/>
            <w:tcBorders>
              <w:left w:val="single" w:color="000000" w:sz="4" w:space="0"/>
              <w:bottom w:val="single" w:color="000000" w:sz="4" w:space="0"/>
              <w:right w:val="single" w:color="000000" w:sz="4" w:space="0"/>
            </w:tcBorders>
            <w:noWrap/>
            <w:vAlign w:val="center"/>
          </w:tcPr>
          <w:p w14:paraId="4E5C0EC6">
            <w:pPr>
              <w:rPr>
                <w:rFonts w:hint="eastAsia" w:ascii="宋体" w:hAnsi="宋体" w:eastAsia="宋体" w:cs="宋体"/>
                <w:b w:val="0"/>
                <w:bCs w:val="0"/>
                <w:i w:val="0"/>
                <w:iCs w:val="0"/>
                <w:color w:val="auto"/>
                <w:sz w:val="18"/>
                <w:szCs w:val="18"/>
                <w:highlight w:val="none"/>
                <w:u w:val="none"/>
              </w:rPr>
            </w:pPr>
          </w:p>
        </w:tc>
      </w:tr>
      <w:tr w14:paraId="6846BD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325" w:type="pct"/>
            <w:vMerge w:val="restart"/>
            <w:tcBorders>
              <w:top w:val="single" w:color="000000" w:sz="4" w:space="0"/>
              <w:left w:val="single" w:color="000000" w:sz="4" w:space="0"/>
              <w:bottom w:val="single" w:color="000000" w:sz="4" w:space="0"/>
              <w:right w:val="single" w:color="000000" w:sz="4" w:space="0"/>
            </w:tcBorders>
            <w:noWrap/>
            <w:vAlign w:val="center"/>
          </w:tcPr>
          <w:p w14:paraId="6875D07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55</w:t>
            </w:r>
          </w:p>
        </w:tc>
        <w:tc>
          <w:tcPr>
            <w:tcW w:w="1030" w:type="pct"/>
            <w:tcBorders>
              <w:top w:val="single" w:color="000000" w:sz="4" w:space="0"/>
              <w:left w:val="single" w:color="000000" w:sz="4" w:space="0"/>
              <w:bottom w:val="single" w:color="000000" w:sz="4" w:space="0"/>
              <w:right w:val="single" w:color="000000" w:sz="4" w:space="0"/>
            </w:tcBorders>
            <w:noWrap w:val="0"/>
            <w:vAlign w:val="center"/>
          </w:tcPr>
          <w:p w14:paraId="686D0A0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混凝土液压破拆工具组2（核心产品）</w:t>
            </w:r>
          </w:p>
        </w:tc>
        <w:tc>
          <w:tcPr>
            <w:tcW w:w="325" w:type="pct"/>
            <w:tcBorders>
              <w:top w:val="single" w:color="000000" w:sz="4" w:space="0"/>
              <w:left w:val="single" w:color="000000" w:sz="4" w:space="0"/>
              <w:bottom w:val="single" w:color="000000" w:sz="4" w:space="0"/>
              <w:right w:val="single" w:color="000000" w:sz="4" w:space="0"/>
            </w:tcBorders>
            <w:noWrap w:val="0"/>
            <w:vAlign w:val="center"/>
          </w:tcPr>
          <w:p w14:paraId="183F7EA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 </w:t>
            </w:r>
          </w:p>
        </w:tc>
        <w:tc>
          <w:tcPr>
            <w:tcW w:w="360" w:type="pct"/>
            <w:tcBorders>
              <w:top w:val="single" w:color="000000" w:sz="4" w:space="0"/>
              <w:left w:val="single" w:color="000000" w:sz="4" w:space="0"/>
              <w:bottom w:val="single" w:color="000000" w:sz="4" w:space="0"/>
              <w:right w:val="single" w:color="000000" w:sz="4" w:space="0"/>
            </w:tcBorders>
            <w:noWrap w:val="0"/>
            <w:vAlign w:val="center"/>
          </w:tcPr>
          <w:p w14:paraId="063F1E88">
            <w:pPr>
              <w:jc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个</w:t>
            </w: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1145499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w:t>
            </w:r>
          </w:p>
        </w:tc>
        <w:tc>
          <w:tcPr>
            <w:tcW w:w="574" w:type="pct"/>
            <w:tcBorders>
              <w:top w:val="single" w:color="000000" w:sz="4" w:space="0"/>
              <w:left w:val="single" w:color="000000" w:sz="4" w:space="0"/>
              <w:bottom w:val="single" w:color="000000" w:sz="4" w:space="0"/>
              <w:right w:val="nil"/>
            </w:tcBorders>
            <w:noWrap/>
            <w:vAlign w:val="center"/>
          </w:tcPr>
          <w:p w14:paraId="7FB9F22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w:t>
            </w:r>
          </w:p>
        </w:tc>
        <w:tc>
          <w:tcPr>
            <w:tcW w:w="630" w:type="pct"/>
            <w:vMerge w:val="restart"/>
            <w:tcBorders>
              <w:top w:val="single" w:color="000000" w:sz="4" w:space="0"/>
              <w:left w:val="single" w:color="000000" w:sz="4" w:space="0"/>
              <w:bottom w:val="single" w:color="000000" w:sz="4" w:space="0"/>
              <w:right w:val="nil"/>
            </w:tcBorders>
            <w:noWrap/>
            <w:vAlign w:val="center"/>
          </w:tcPr>
          <w:p w14:paraId="4D5B685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59.88</w:t>
            </w:r>
          </w:p>
        </w:tc>
        <w:tc>
          <w:tcPr>
            <w:tcW w:w="595" w:type="pct"/>
            <w:vMerge w:val="restart"/>
            <w:tcBorders>
              <w:top w:val="single" w:color="000000" w:sz="4" w:space="0"/>
              <w:left w:val="single" w:color="000000" w:sz="4" w:space="0"/>
              <w:right w:val="single" w:color="000000" w:sz="4" w:space="0"/>
            </w:tcBorders>
            <w:noWrap/>
            <w:vAlign w:val="center"/>
          </w:tcPr>
          <w:p w14:paraId="3F7A3B76">
            <w:pPr>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rPr>
              <w:t>否</w:t>
            </w:r>
          </w:p>
        </w:tc>
        <w:tc>
          <w:tcPr>
            <w:tcW w:w="618" w:type="pct"/>
            <w:vMerge w:val="restart"/>
            <w:tcBorders>
              <w:top w:val="single" w:color="000000" w:sz="4" w:space="0"/>
              <w:left w:val="single" w:color="000000" w:sz="4" w:space="0"/>
              <w:right w:val="single" w:color="000000" w:sz="4" w:space="0"/>
            </w:tcBorders>
            <w:noWrap/>
            <w:vAlign w:val="center"/>
          </w:tcPr>
          <w:p w14:paraId="15A5163C">
            <w:pPr>
              <w:rPr>
                <w:rFonts w:hint="eastAsia" w:ascii="宋体" w:hAnsi="宋体" w:eastAsia="宋体" w:cs="宋体"/>
                <w:b w:val="0"/>
                <w:bCs w:val="0"/>
                <w:i w:val="0"/>
                <w:iCs w:val="0"/>
                <w:color w:val="auto"/>
                <w:sz w:val="18"/>
                <w:szCs w:val="18"/>
                <w:highlight w:val="none"/>
                <w:u w:val="none"/>
              </w:rPr>
            </w:pPr>
          </w:p>
        </w:tc>
      </w:tr>
      <w:tr w14:paraId="357029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325" w:type="pct"/>
            <w:vMerge w:val="continue"/>
            <w:tcBorders>
              <w:top w:val="single" w:color="000000" w:sz="4" w:space="0"/>
              <w:left w:val="single" w:color="000000" w:sz="4" w:space="0"/>
              <w:bottom w:val="single" w:color="000000" w:sz="4" w:space="0"/>
              <w:right w:val="single" w:color="000000" w:sz="4" w:space="0"/>
            </w:tcBorders>
            <w:noWrap/>
            <w:vAlign w:val="center"/>
          </w:tcPr>
          <w:p w14:paraId="1D7E844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eastAsia="zh-CN" w:bidi="ar-SA"/>
              </w:rPr>
            </w:pPr>
          </w:p>
        </w:tc>
        <w:tc>
          <w:tcPr>
            <w:tcW w:w="1030" w:type="pct"/>
            <w:tcBorders>
              <w:top w:val="single" w:color="000000" w:sz="4" w:space="0"/>
              <w:left w:val="single" w:color="000000" w:sz="4" w:space="0"/>
              <w:bottom w:val="single" w:color="000000" w:sz="4" w:space="0"/>
              <w:right w:val="single" w:color="000000" w:sz="4" w:space="0"/>
            </w:tcBorders>
            <w:noWrap w:val="0"/>
            <w:vAlign w:val="center"/>
          </w:tcPr>
          <w:p w14:paraId="5026219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双轮异向切割锯</w:t>
            </w:r>
          </w:p>
        </w:tc>
        <w:tc>
          <w:tcPr>
            <w:tcW w:w="325" w:type="pct"/>
            <w:tcBorders>
              <w:top w:val="single" w:color="000000" w:sz="4" w:space="0"/>
              <w:left w:val="single" w:color="000000" w:sz="4" w:space="0"/>
              <w:bottom w:val="single" w:color="000000" w:sz="4" w:space="0"/>
              <w:right w:val="single" w:color="000000" w:sz="4" w:space="0"/>
            </w:tcBorders>
            <w:noWrap w:val="0"/>
            <w:vAlign w:val="center"/>
          </w:tcPr>
          <w:p w14:paraId="192979C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44 </w:t>
            </w:r>
          </w:p>
        </w:tc>
        <w:tc>
          <w:tcPr>
            <w:tcW w:w="360" w:type="pct"/>
            <w:tcBorders>
              <w:top w:val="single" w:color="000000" w:sz="4" w:space="0"/>
              <w:left w:val="single" w:color="000000" w:sz="4" w:space="0"/>
              <w:bottom w:val="single" w:color="000000" w:sz="4" w:space="0"/>
              <w:right w:val="single" w:color="000000" w:sz="4" w:space="0"/>
            </w:tcBorders>
            <w:noWrap w:val="0"/>
            <w:vAlign w:val="center"/>
          </w:tcPr>
          <w:p w14:paraId="47428449">
            <w:pPr>
              <w:jc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个</w:t>
            </w: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6D72A9A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1.02</w:t>
            </w:r>
          </w:p>
        </w:tc>
        <w:tc>
          <w:tcPr>
            <w:tcW w:w="574" w:type="pct"/>
            <w:tcBorders>
              <w:top w:val="single" w:color="000000" w:sz="4" w:space="0"/>
              <w:left w:val="single" w:color="000000" w:sz="4" w:space="0"/>
              <w:bottom w:val="single" w:color="000000" w:sz="4" w:space="0"/>
              <w:right w:val="nil"/>
            </w:tcBorders>
            <w:noWrap/>
            <w:vAlign w:val="center"/>
          </w:tcPr>
          <w:p w14:paraId="1D2E780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44.88</w:t>
            </w:r>
          </w:p>
        </w:tc>
        <w:tc>
          <w:tcPr>
            <w:tcW w:w="630" w:type="pct"/>
            <w:vMerge w:val="continue"/>
            <w:tcBorders>
              <w:top w:val="single" w:color="000000" w:sz="4" w:space="0"/>
              <w:left w:val="single" w:color="000000" w:sz="4" w:space="0"/>
              <w:bottom w:val="single" w:color="000000" w:sz="4" w:space="0"/>
              <w:right w:val="nil"/>
            </w:tcBorders>
            <w:noWrap/>
            <w:vAlign w:val="center"/>
          </w:tcPr>
          <w:p w14:paraId="4C4D7E72">
            <w:pPr>
              <w:jc w:val="center"/>
              <w:rPr>
                <w:rFonts w:hint="eastAsia" w:ascii="宋体" w:hAnsi="宋体" w:eastAsia="宋体" w:cs="宋体"/>
                <w:i w:val="0"/>
                <w:iCs w:val="0"/>
                <w:color w:val="auto"/>
                <w:sz w:val="21"/>
                <w:szCs w:val="21"/>
                <w:highlight w:val="none"/>
                <w:u w:val="none"/>
              </w:rPr>
            </w:pPr>
          </w:p>
        </w:tc>
        <w:tc>
          <w:tcPr>
            <w:tcW w:w="595" w:type="pct"/>
            <w:vMerge w:val="continue"/>
            <w:tcBorders>
              <w:left w:val="single" w:color="000000" w:sz="4" w:space="0"/>
              <w:bottom w:val="single" w:color="000000" w:sz="4" w:space="0"/>
              <w:right w:val="single" w:color="000000" w:sz="4" w:space="0"/>
            </w:tcBorders>
            <w:noWrap/>
            <w:vAlign w:val="center"/>
          </w:tcPr>
          <w:p w14:paraId="0CC16BB0">
            <w:pPr>
              <w:jc w:val="center"/>
              <w:rPr>
                <w:rFonts w:hint="eastAsia" w:ascii="宋体" w:hAnsi="宋体" w:eastAsia="宋体" w:cs="宋体"/>
                <w:i w:val="0"/>
                <w:iCs w:val="0"/>
                <w:color w:val="auto"/>
                <w:sz w:val="21"/>
                <w:szCs w:val="21"/>
                <w:highlight w:val="none"/>
                <w:u w:val="none"/>
              </w:rPr>
            </w:pPr>
          </w:p>
        </w:tc>
        <w:tc>
          <w:tcPr>
            <w:tcW w:w="618" w:type="pct"/>
            <w:vMerge w:val="continue"/>
            <w:tcBorders>
              <w:left w:val="single" w:color="000000" w:sz="4" w:space="0"/>
              <w:bottom w:val="single" w:color="000000" w:sz="4" w:space="0"/>
              <w:right w:val="single" w:color="000000" w:sz="4" w:space="0"/>
            </w:tcBorders>
            <w:noWrap/>
            <w:vAlign w:val="center"/>
          </w:tcPr>
          <w:p w14:paraId="3611A775">
            <w:pPr>
              <w:rPr>
                <w:rFonts w:hint="eastAsia" w:ascii="宋体" w:hAnsi="宋体" w:eastAsia="宋体" w:cs="宋体"/>
                <w:b w:val="0"/>
                <w:bCs w:val="0"/>
                <w:i w:val="0"/>
                <w:iCs w:val="0"/>
                <w:color w:val="auto"/>
                <w:sz w:val="18"/>
                <w:szCs w:val="18"/>
                <w:highlight w:val="none"/>
                <w:u w:val="none"/>
              </w:rPr>
            </w:pPr>
          </w:p>
        </w:tc>
      </w:tr>
      <w:tr w14:paraId="14B101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325" w:type="pct"/>
            <w:tcBorders>
              <w:top w:val="single" w:color="000000" w:sz="4" w:space="0"/>
              <w:left w:val="single" w:color="000000" w:sz="4" w:space="0"/>
              <w:bottom w:val="single" w:color="000000" w:sz="4" w:space="0"/>
              <w:right w:val="single" w:color="000000" w:sz="4" w:space="0"/>
            </w:tcBorders>
            <w:noWrap/>
            <w:vAlign w:val="center"/>
          </w:tcPr>
          <w:p w14:paraId="47EDF10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57</w:t>
            </w:r>
          </w:p>
        </w:tc>
        <w:tc>
          <w:tcPr>
            <w:tcW w:w="1030" w:type="pct"/>
            <w:tcBorders>
              <w:top w:val="single" w:color="000000" w:sz="4" w:space="0"/>
              <w:left w:val="single" w:color="000000" w:sz="4" w:space="0"/>
              <w:bottom w:val="single" w:color="000000" w:sz="4" w:space="0"/>
              <w:right w:val="single" w:color="000000" w:sz="4" w:space="0"/>
            </w:tcBorders>
            <w:noWrap w:val="0"/>
            <w:vAlign w:val="center"/>
          </w:tcPr>
          <w:p w14:paraId="36E5189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消防灭火机器人2</w:t>
            </w:r>
          </w:p>
        </w:tc>
        <w:tc>
          <w:tcPr>
            <w:tcW w:w="325" w:type="pct"/>
            <w:tcBorders>
              <w:top w:val="single" w:color="000000" w:sz="4" w:space="0"/>
              <w:left w:val="single" w:color="000000" w:sz="4" w:space="0"/>
              <w:bottom w:val="single" w:color="000000" w:sz="4" w:space="0"/>
              <w:right w:val="single" w:color="000000" w:sz="4" w:space="0"/>
            </w:tcBorders>
            <w:noWrap w:val="0"/>
            <w:vAlign w:val="center"/>
          </w:tcPr>
          <w:p w14:paraId="30CF7BD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 </w:t>
            </w:r>
          </w:p>
        </w:tc>
        <w:tc>
          <w:tcPr>
            <w:tcW w:w="360" w:type="pct"/>
            <w:tcBorders>
              <w:top w:val="single" w:color="000000" w:sz="4" w:space="0"/>
              <w:left w:val="single" w:color="000000" w:sz="4" w:space="0"/>
              <w:bottom w:val="single" w:color="000000" w:sz="4" w:space="0"/>
              <w:right w:val="single" w:color="000000" w:sz="4" w:space="0"/>
            </w:tcBorders>
            <w:noWrap w:val="0"/>
            <w:vAlign w:val="center"/>
          </w:tcPr>
          <w:p w14:paraId="17625642">
            <w:pPr>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rPr>
              <w:t>个</w:t>
            </w: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2133ADD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155</w:t>
            </w:r>
          </w:p>
        </w:tc>
        <w:tc>
          <w:tcPr>
            <w:tcW w:w="574" w:type="pct"/>
            <w:tcBorders>
              <w:top w:val="single" w:color="000000" w:sz="4" w:space="0"/>
              <w:left w:val="single" w:color="000000" w:sz="4" w:space="0"/>
              <w:bottom w:val="single" w:color="000000" w:sz="4" w:space="0"/>
              <w:right w:val="nil"/>
            </w:tcBorders>
            <w:noWrap/>
            <w:vAlign w:val="center"/>
          </w:tcPr>
          <w:p w14:paraId="590CE0F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310</w:t>
            </w:r>
          </w:p>
        </w:tc>
        <w:tc>
          <w:tcPr>
            <w:tcW w:w="630" w:type="pct"/>
            <w:tcBorders>
              <w:top w:val="single" w:color="000000" w:sz="4" w:space="0"/>
              <w:left w:val="single" w:color="000000" w:sz="4" w:space="0"/>
              <w:bottom w:val="single" w:color="000000" w:sz="4" w:space="0"/>
              <w:right w:val="nil"/>
            </w:tcBorders>
            <w:noWrap/>
            <w:vAlign w:val="center"/>
          </w:tcPr>
          <w:p w14:paraId="66B1BC3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310</w:t>
            </w:r>
          </w:p>
        </w:tc>
        <w:tc>
          <w:tcPr>
            <w:tcW w:w="595" w:type="pct"/>
            <w:tcBorders>
              <w:top w:val="single" w:color="000000" w:sz="4" w:space="0"/>
              <w:left w:val="single" w:color="000000" w:sz="4" w:space="0"/>
              <w:bottom w:val="single" w:color="000000" w:sz="4" w:space="0"/>
              <w:right w:val="single" w:color="000000" w:sz="4" w:space="0"/>
            </w:tcBorders>
            <w:noWrap/>
            <w:vAlign w:val="center"/>
          </w:tcPr>
          <w:p w14:paraId="3444FFE8">
            <w:pPr>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rPr>
              <w:t>否</w:t>
            </w:r>
          </w:p>
        </w:tc>
        <w:tc>
          <w:tcPr>
            <w:tcW w:w="618" w:type="pct"/>
            <w:tcBorders>
              <w:top w:val="single" w:color="000000" w:sz="4" w:space="0"/>
              <w:left w:val="single" w:color="000000" w:sz="4" w:space="0"/>
              <w:bottom w:val="single" w:color="000000" w:sz="4" w:space="0"/>
              <w:right w:val="single" w:color="000000" w:sz="4" w:space="0"/>
            </w:tcBorders>
            <w:noWrap/>
            <w:vAlign w:val="center"/>
          </w:tcPr>
          <w:p w14:paraId="18BE6C96">
            <w:pPr>
              <w:rPr>
                <w:rFonts w:hint="eastAsia" w:ascii="宋体" w:hAnsi="宋体" w:eastAsia="宋体" w:cs="宋体"/>
                <w:b w:val="0"/>
                <w:bCs w:val="0"/>
                <w:i w:val="0"/>
                <w:iCs w:val="0"/>
                <w:color w:val="auto"/>
                <w:sz w:val="18"/>
                <w:szCs w:val="18"/>
                <w:highlight w:val="none"/>
                <w:u w:val="none"/>
              </w:rPr>
            </w:pPr>
          </w:p>
        </w:tc>
      </w:tr>
      <w:tr w14:paraId="082023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325" w:type="pct"/>
            <w:tcBorders>
              <w:top w:val="single" w:color="000000" w:sz="4" w:space="0"/>
              <w:left w:val="single" w:color="000000" w:sz="4" w:space="0"/>
              <w:bottom w:val="single" w:color="000000" w:sz="4" w:space="0"/>
              <w:right w:val="single" w:color="000000" w:sz="4" w:space="0"/>
            </w:tcBorders>
            <w:noWrap/>
            <w:vAlign w:val="center"/>
          </w:tcPr>
          <w:p w14:paraId="5E96E52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64</w:t>
            </w:r>
          </w:p>
        </w:tc>
        <w:tc>
          <w:tcPr>
            <w:tcW w:w="1030" w:type="pct"/>
            <w:tcBorders>
              <w:top w:val="single" w:color="000000" w:sz="4" w:space="0"/>
              <w:left w:val="single" w:color="000000" w:sz="4" w:space="0"/>
              <w:bottom w:val="single" w:color="000000" w:sz="4" w:space="0"/>
              <w:right w:val="single" w:color="000000" w:sz="4" w:space="0"/>
            </w:tcBorders>
            <w:noWrap w:val="0"/>
            <w:vAlign w:val="center"/>
          </w:tcPr>
          <w:p w14:paraId="4C52371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消防灭火机器人10</w:t>
            </w:r>
          </w:p>
        </w:tc>
        <w:tc>
          <w:tcPr>
            <w:tcW w:w="325" w:type="pct"/>
            <w:tcBorders>
              <w:top w:val="single" w:color="000000" w:sz="4" w:space="0"/>
              <w:left w:val="single" w:color="000000" w:sz="4" w:space="0"/>
              <w:bottom w:val="single" w:color="000000" w:sz="4" w:space="0"/>
              <w:right w:val="single" w:color="000000" w:sz="4" w:space="0"/>
            </w:tcBorders>
            <w:noWrap w:val="0"/>
            <w:vAlign w:val="center"/>
          </w:tcPr>
          <w:p w14:paraId="62F34D6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 </w:t>
            </w:r>
          </w:p>
        </w:tc>
        <w:tc>
          <w:tcPr>
            <w:tcW w:w="360" w:type="pct"/>
            <w:tcBorders>
              <w:top w:val="single" w:color="000000" w:sz="4" w:space="0"/>
              <w:left w:val="single" w:color="000000" w:sz="4" w:space="0"/>
              <w:bottom w:val="single" w:color="000000" w:sz="4" w:space="0"/>
              <w:right w:val="single" w:color="000000" w:sz="4" w:space="0"/>
            </w:tcBorders>
            <w:noWrap w:val="0"/>
            <w:vAlign w:val="center"/>
          </w:tcPr>
          <w:p w14:paraId="1614A26A">
            <w:pPr>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rPr>
              <w:t>个</w:t>
            </w: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52DA5DB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45</w:t>
            </w:r>
          </w:p>
        </w:tc>
        <w:tc>
          <w:tcPr>
            <w:tcW w:w="574" w:type="pct"/>
            <w:tcBorders>
              <w:top w:val="single" w:color="000000" w:sz="4" w:space="0"/>
              <w:left w:val="single" w:color="000000" w:sz="4" w:space="0"/>
              <w:bottom w:val="single" w:color="000000" w:sz="4" w:space="0"/>
              <w:right w:val="nil"/>
            </w:tcBorders>
            <w:noWrap/>
            <w:vAlign w:val="center"/>
          </w:tcPr>
          <w:p w14:paraId="668244C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45</w:t>
            </w:r>
          </w:p>
        </w:tc>
        <w:tc>
          <w:tcPr>
            <w:tcW w:w="630" w:type="pct"/>
            <w:tcBorders>
              <w:top w:val="single" w:color="000000" w:sz="4" w:space="0"/>
              <w:left w:val="single" w:color="000000" w:sz="4" w:space="0"/>
              <w:bottom w:val="single" w:color="000000" w:sz="4" w:space="0"/>
              <w:right w:val="nil"/>
            </w:tcBorders>
            <w:noWrap/>
            <w:vAlign w:val="center"/>
          </w:tcPr>
          <w:p w14:paraId="306F25A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45</w:t>
            </w:r>
          </w:p>
        </w:tc>
        <w:tc>
          <w:tcPr>
            <w:tcW w:w="595" w:type="pct"/>
            <w:tcBorders>
              <w:top w:val="single" w:color="000000" w:sz="4" w:space="0"/>
              <w:left w:val="single" w:color="000000" w:sz="4" w:space="0"/>
              <w:bottom w:val="single" w:color="000000" w:sz="4" w:space="0"/>
              <w:right w:val="single" w:color="000000" w:sz="4" w:space="0"/>
            </w:tcBorders>
            <w:noWrap/>
            <w:vAlign w:val="center"/>
          </w:tcPr>
          <w:p w14:paraId="6E806739">
            <w:pPr>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rPr>
              <w:t>否</w:t>
            </w:r>
          </w:p>
        </w:tc>
        <w:tc>
          <w:tcPr>
            <w:tcW w:w="618" w:type="pct"/>
            <w:tcBorders>
              <w:top w:val="single" w:color="000000" w:sz="4" w:space="0"/>
              <w:left w:val="single" w:color="000000" w:sz="4" w:space="0"/>
              <w:bottom w:val="single" w:color="000000" w:sz="4" w:space="0"/>
              <w:right w:val="single" w:color="000000" w:sz="4" w:space="0"/>
            </w:tcBorders>
            <w:noWrap/>
            <w:vAlign w:val="center"/>
          </w:tcPr>
          <w:p w14:paraId="2B013A8A">
            <w:pPr>
              <w:rPr>
                <w:rFonts w:hint="eastAsia" w:ascii="宋体" w:hAnsi="宋体" w:eastAsia="宋体" w:cs="宋体"/>
                <w:b w:val="0"/>
                <w:bCs w:val="0"/>
                <w:i w:val="0"/>
                <w:iCs w:val="0"/>
                <w:color w:val="auto"/>
                <w:sz w:val="18"/>
                <w:szCs w:val="18"/>
                <w:highlight w:val="none"/>
                <w:u w:val="none"/>
              </w:rPr>
            </w:pPr>
          </w:p>
        </w:tc>
      </w:tr>
    </w:tbl>
    <w:p w14:paraId="60B8B888">
      <w:pPr>
        <w:pStyle w:val="8"/>
        <w:tabs>
          <w:tab w:val="left" w:pos="1640"/>
        </w:tabs>
        <w:spacing w:line="360" w:lineRule="auto"/>
        <w:ind w:left="0" w:leftChars="0" w:firstLine="0" w:firstLineChars="0"/>
        <w:rPr>
          <w:rFonts w:hint="eastAsia"/>
          <w:b/>
          <w:bCs/>
          <w:color w:val="auto"/>
          <w:sz w:val="21"/>
          <w:szCs w:val="21"/>
          <w:highlight w:val="none"/>
          <w:lang w:val="en-US" w:eastAsia="zh-CN"/>
        </w:rPr>
      </w:pPr>
      <w:r>
        <w:rPr>
          <w:rFonts w:hint="eastAsia"/>
          <w:b/>
          <w:bCs/>
          <w:color w:val="auto"/>
          <w:sz w:val="21"/>
          <w:szCs w:val="21"/>
          <w:highlight w:val="none"/>
        </w:rPr>
        <w:t>注：</w:t>
      </w:r>
      <w:r>
        <w:rPr>
          <w:rFonts w:hint="eastAsia"/>
          <w:b/>
          <w:bCs/>
          <w:color w:val="auto"/>
          <w:sz w:val="21"/>
          <w:szCs w:val="21"/>
          <w:highlight w:val="none"/>
          <w:lang w:val="en-US" w:eastAsia="zh-CN"/>
        </w:rPr>
        <w:t xml:space="preserve">1、本次招标需提供与投标型号相同的样品实物（所投对应包号为单一产品的，提供对应的产品的样品；非单一产品的需提供本包内所有产品的样品）；样品及技术参数要求详见招标文件第四章采购需求。 </w:t>
      </w:r>
    </w:p>
    <w:p w14:paraId="131A95D9">
      <w:pPr>
        <w:pStyle w:val="8"/>
        <w:tabs>
          <w:tab w:val="left" w:pos="1640"/>
        </w:tabs>
        <w:spacing w:line="360" w:lineRule="auto"/>
        <w:ind w:left="0" w:leftChars="0" w:firstLine="0" w:firstLineChars="0"/>
        <w:rPr>
          <w:rFonts w:hint="eastAsia"/>
          <w:b/>
          <w:bCs/>
          <w:color w:val="auto"/>
          <w:sz w:val="21"/>
          <w:szCs w:val="21"/>
          <w:highlight w:val="none"/>
        </w:rPr>
      </w:pPr>
      <w:r>
        <w:rPr>
          <w:rFonts w:hint="eastAsia"/>
          <w:b/>
          <w:bCs/>
          <w:color w:val="auto"/>
          <w:sz w:val="21"/>
          <w:szCs w:val="21"/>
          <w:highlight w:val="none"/>
        </w:rPr>
        <w:t>2、每项产品不得超过其对应的单价限价；否则按无效投标处理，单价限价详见招标文件第四章采购需求。</w:t>
      </w:r>
    </w:p>
    <w:p w14:paraId="21E62F0E">
      <w:pPr>
        <w:pStyle w:val="9"/>
        <w:spacing w:line="360" w:lineRule="auto"/>
        <w:ind w:left="0"/>
        <w:outlineLvl w:val="1"/>
        <w:rPr>
          <w:rFonts w:hint="eastAsia"/>
          <w:color w:val="auto"/>
          <w:highlight w:val="none"/>
        </w:rPr>
      </w:pPr>
      <w:r>
        <w:rPr>
          <w:rFonts w:hint="eastAsia"/>
          <w:color w:val="auto"/>
          <w:highlight w:val="none"/>
        </w:rPr>
        <w:t>二、申请人的资格要求：</w:t>
      </w:r>
    </w:p>
    <w:p w14:paraId="60A67473">
      <w:pPr>
        <w:pStyle w:val="9"/>
        <w:spacing w:line="360" w:lineRule="auto"/>
        <w:ind w:left="0" w:firstLine="420" w:firstLineChars="200"/>
        <w:outlineLvl w:val="9"/>
        <w:rPr>
          <w:rFonts w:hint="eastAsia"/>
          <w:color w:val="auto"/>
          <w:highlight w:val="none"/>
        </w:rPr>
      </w:pPr>
      <w:r>
        <w:rPr>
          <w:rFonts w:hint="eastAsia"/>
          <w:b w:val="0"/>
          <w:color w:val="auto"/>
          <w:highlight w:val="none"/>
        </w:rPr>
        <w:t>2.1满足《中华人民共和国政府采购法》第二十二条规定；</w:t>
      </w:r>
    </w:p>
    <w:p w14:paraId="4EA32227">
      <w:pPr>
        <w:pStyle w:val="8"/>
        <w:tabs>
          <w:tab w:val="left" w:pos="1640"/>
        </w:tabs>
        <w:spacing w:line="360" w:lineRule="auto"/>
        <w:ind w:left="0" w:firstLineChars="200"/>
        <w:rPr>
          <w:rFonts w:hint="eastAsia"/>
          <w:bCs/>
          <w:color w:val="auto"/>
          <w:sz w:val="21"/>
          <w:szCs w:val="21"/>
          <w:highlight w:val="none"/>
          <w:u w:val="none"/>
        </w:rPr>
      </w:pPr>
      <w:r>
        <w:rPr>
          <w:rFonts w:hint="eastAsia"/>
          <w:bCs/>
          <w:color w:val="auto"/>
          <w:sz w:val="21"/>
          <w:szCs w:val="21"/>
          <w:highlight w:val="none"/>
        </w:rPr>
        <w:t>（1）具有独立承担民事责任的能力（提供法人或者其他组织的营业执照；供应商为自然人的，提供其身份证）；</w:t>
      </w:r>
    </w:p>
    <w:p w14:paraId="20A4DD50">
      <w:pPr>
        <w:pStyle w:val="8"/>
        <w:tabs>
          <w:tab w:val="left" w:pos="1644"/>
        </w:tabs>
        <w:spacing w:line="360" w:lineRule="auto"/>
        <w:ind w:left="0" w:firstLineChars="200"/>
        <w:rPr>
          <w:rFonts w:hint="eastAsia"/>
          <w:bCs/>
          <w:color w:val="auto"/>
          <w:sz w:val="21"/>
          <w:szCs w:val="21"/>
          <w:highlight w:val="none"/>
        </w:rPr>
      </w:pPr>
      <w:r>
        <w:rPr>
          <w:rFonts w:hint="eastAsia"/>
          <w:bCs/>
          <w:color w:val="auto"/>
          <w:sz w:val="21"/>
          <w:szCs w:val="21"/>
          <w:highlight w:val="none"/>
          <w:u w:val="none"/>
        </w:rPr>
        <w:t>（2）</w:t>
      </w:r>
      <w:r>
        <w:rPr>
          <w:rFonts w:hint="eastAsia"/>
          <w:bCs/>
          <w:color w:val="auto"/>
          <w:sz w:val="21"/>
          <w:szCs w:val="21"/>
          <w:highlight w:val="none"/>
        </w:rPr>
        <w:t>具有良好的商业信誉和健全的财务会计制度</w:t>
      </w:r>
      <w:r>
        <w:rPr>
          <w:rFonts w:hint="eastAsia"/>
          <w:bCs/>
          <w:color w:val="auto"/>
          <w:sz w:val="21"/>
          <w:szCs w:val="21"/>
          <w:highlight w:val="none"/>
          <w:lang w:eastAsia="zh-CN"/>
        </w:rPr>
        <w:t>，</w:t>
      </w:r>
      <w:r>
        <w:rPr>
          <w:rFonts w:hint="eastAsia"/>
          <w:bCs/>
          <w:color w:val="auto"/>
          <w:sz w:val="21"/>
          <w:szCs w:val="21"/>
          <w:highlight w:val="none"/>
          <w:lang w:val="en-US" w:eastAsia="zh-CN"/>
        </w:rPr>
        <w:t>提供2023年度企业财务</w:t>
      </w:r>
      <w:r>
        <w:rPr>
          <w:rFonts w:hint="eastAsia" w:ascii="宋体" w:hAnsi="宋体" w:eastAsia="宋体" w:cs="宋体"/>
          <w:bCs/>
          <w:color w:val="auto"/>
          <w:sz w:val="21"/>
          <w:szCs w:val="21"/>
          <w:highlight w:val="none"/>
          <w:lang w:val="en-US" w:eastAsia="zh-CN"/>
        </w:rPr>
        <w:t>报表或经会计师事务所/审计机构审计的审计报告（含财务报表）</w:t>
      </w:r>
      <w:r>
        <w:rPr>
          <w:rFonts w:hint="eastAsia" w:ascii="宋体" w:hAnsi="宋体" w:cs="宋体"/>
          <w:color w:val="auto"/>
          <w:szCs w:val="21"/>
          <w:highlight w:val="none"/>
          <w:lang w:val="en-US" w:eastAsia="zh-CN"/>
        </w:rPr>
        <w:t>，</w:t>
      </w:r>
      <w:r>
        <w:rPr>
          <w:rFonts w:hint="eastAsia"/>
          <w:bCs/>
          <w:color w:val="auto"/>
          <w:sz w:val="21"/>
          <w:szCs w:val="21"/>
          <w:highlight w:val="none"/>
        </w:rPr>
        <w:t>公司成立不满一年，至少提供投标截止时间前近一个月的财务报表</w:t>
      </w:r>
      <w:r>
        <w:rPr>
          <w:rFonts w:hint="eastAsia"/>
          <w:bCs/>
          <w:color w:val="auto"/>
          <w:sz w:val="21"/>
          <w:szCs w:val="21"/>
          <w:highlight w:val="none"/>
          <w:lang w:eastAsia="zh-CN"/>
        </w:rPr>
        <w:t>；</w:t>
      </w:r>
      <w:r>
        <w:rPr>
          <w:rFonts w:hint="eastAsia"/>
          <w:bCs/>
          <w:color w:val="auto"/>
          <w:sz w:val="21"/>
          <w:szCs w:val="21"/>
          <w:highlight w:val="none"/>
        </w:rPr>
        <w:t>或投标截止时间前六个月内银行出具的资信证明</w:t>
      </w:r>
      <w:r>
        <w:rPr>
          <w:rFonts w:hint="eastAsia"/>
          <w:bCs/>
          <w:color w:val="auto"/>
          <w:sz w:val="21"/>
          <w:szCs w:val="21"/>
          <w:highlight w:val="none"/>
          <w:lang w:eastAsia="zh-CN"/>
        </w:rPr>
        <w:t>；</w:t>
      </w:r>
      <w:r>
        <w:rPr>
          <w:rFonts w:hint="eastAsia"/>
          <w:bCs/>
          <w:color w:val="auto"/>
          <w:sz w:val="21"/>
          <w:szCs w:val="21"/>
          <w:highlight w:val="none"/>
        </w:rPr>
        <w:t>或财政部门认可的政府采购专业担保机构出具的投标担保函</w:t>
      </w:r>
      <w:r>
        <w:rPr>
          <w:rFonts w:hint="eastAsia"/>
          <w:bCs/>
          <w:color w:val="auto"/>
          <w:sz w:val="21"/>
          <w:szCs w:val="21"/>
          <w:highlight w:val="none"/>
          <w:u w:val="none"/>
        </w:rPr>
        <w:t>；</w:t>
      </w:r>
    </w:p>
    <w:p w14:paraId="46FB014B">
      <w:pPr>
        <w:pStyle w:val="8"/>
        <w:tabs>
          <w:tab w:val="left" w:pos="1641"/>
        </w:tabs>
        <w:spacing w:line="360" w:lineRule="auto"/>
        <w:ind w:left="0" w:firstLineChars="200"/>
        <w:rPr>
          <w:rFonts w:hint="eastAsia"/>
          <w:bCs/>
          <w:color w:val="auto"/>
          <w:sz w:val="21"/>
          <w:szCs w:val="21"/>
          <w:highlight w:val="none"/>
        </w:rPr>
      </w:pPr>
      <w:r>
        <w:rPr>
          <w:rFonts w:hint="eastAsia"/>
          <w:bCs/>
          <w:color w:val="auto"/>
          <w:sz w:val="21"/>
          <w:szCs w:val="21"/>
          <w:highlight w:val="none"/>
        </w:rPr>
        <w:t>（3）具有履行合同所必需的设备和专业技术能力（供应商根据履行采购项目合同需要，提供履行合同所必需的设备和专业技术能力的证明材料）；</w:t>
      </w:r>
    </w:p>
    <w:p w14:paraId="2C2EDBEA">
      <w:pPr>
        <w:pStyle w:val="8"/>
        <w:tabs>
          <w:tab w:val="left" w:pos="1640"/>
        </w:tabs>
        <w:spacing w:line="360" w:lineRule="auto"/>
        <w:ind w:left="0" w:firstLineChars="200"/>
        <w:rPr>
          <w:rFonts w:hint="eastAsia"/>
          <w:bCs/>
          <w:color w:val="auto"/>
          <w:sz w:val="21"/>
          <w:szCs w:val="21"/>
          <w:highlight w:val="none"/>
        </w:rPr>
      </w:pPr>
      <w:r>
        <w:rPr>
          <w:rFonts w:hint="eastAsia"/>
          <w:bCs/>
          <w:color w:val="auto"/>
          <w:sz w:val="21"/>
          <w:szCs w:val="21"/>
          <w:highlight w:val="none"/>
        </w:rPr>
        <w:t>（4）有依法缴纳税收和社会保障资金的良好记录（提供近半年内任意一个月的纳税证明文件（依法免税的应提供相应文件说明）；并提供近半年内任意一个月依法为员工缴纳社会保障资金的证明材料，证明材料可以是缴费的银行单据复印件、社保机构开具的证明（依法不需要缴纳社会保障资金的应提供相应文件说明）；</w:t>
      </w:r>
    </w:p>
    <w:p w14:paraId="7F1B4EF6">
      <w:pPr>
        <w:pStyle w:val="8"/>
        <w:tabs>
          <w:tab w:val="left" w:pos="1640"/>
        </w:tabs>
        <w:spacing w:line="360" w:lineRule="auto"/>
        <w:ind w:left="0" w:firstLineChars="200"/>
        <w:rPr>
          <w:rFonts w:hint="eastAsia"/>
          <w:bCs/>
          <w:color w:val="auto"/>
          <w:sz w:val="21"/>
          <w:szCs w:val="21"/>
          <w:highlight w:val="none"/>
        </w:rPr>
      </w:pPr>
      <w:r>
        <w:rPr>
          <w:rFonts w:hint="eastAsia"/>
          <w:bCs/>
          <w:color w:val="auto"/>
          <w:sz w:val="21"/>
          <w:szCs w:val="21"/>
          <w:highlight w:val="none"/>
        </w:rPr>
        <w:t>（5）参加政府采购活动前三年内，在经营活动中没有重大违法记录（提供承诺书）；</w:t>
      </w:r>
    </w:p>
    <w:p w14:paraId="525E4FB7">
      <w:pPr>
        <w:pStyle w:val="8"/>
        <w:tabs>
          <w:tab w:val="left" w:pos="1640"/>
        </w:tabs>
        <w:spacing w:line="360" w:lineRule="auto"/>
        <w:ind w:left="0" w:firstLineChars="200"/>
        <w:rPr>
          <w:rFonts w:hint="eastAsia"/>
          <w:bCs/>
          <w:color w:val="auto"/>
          <w:sz w:val="21"/>
          <w:szCs w:val="21"/>
          <w:highlight w:val="none"/>
        </w:rPr>
      </w:pPr>
      <w:r>
        <w:rPr>
          <w:rFonts w:hint="eastAsia"/>
          <w:bCs/>
          <w:color w:val="auto"/>
          <w:sz w:val="21"/>
          <w:szCs w:val="21"/>
          <w:highlight w:val="none"/>
        </w:rPr>
        <w:t>（6）法律、行政法规规定的其他条件：无。</w:t>
      </w:r>
    </w:p>
    <w:p w14:paraId="44308BEA">
      <w:pPr>
        <w:pStyle w:val="8"/>
        <w:tabs>
          <w:tab w:val="left" w:pos="1640"/>
        </w:tabs>
        <w:spacing w:line="360" w:lineRule="auto"/>
        <w:ind w:left="0" w:firstLineChars="200"/>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2.2落实政府采购政策需满足的资格要求：如属于专门面向中小企业采购的包，供应商应为中小微企业、监狱企业、残疾人福利性单位。</w:t>
      </w:r>
    </w:p>
    <w:p w14:paraId="149C9DE4">
      <w:pPr>
        <w:pStyle w:val="8"/>
        <w:tabs>
          <w:tab w:val="left" w:pos="1640"/>
        </w:tabs>
        <w:spacing w:line="360" w:lineRule="auto"/>
        <w:ind w:left="0" w:firstLineChars="200"/>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2.3采购人根据采购项目的特殊要求规定的特定条件，并提供符合特殊要求的证明材料或者情况说明：</w:t>
      </w:r>
      <w:r>
        <w:rPr>
          <w:rFonts w:hint="eastAsia" w:ascii="宋体" w:hAnsi="宋体" w:eastAsia="宋体" w:cs="宋体"/>
          <w:b/>
          <w:bCs w:val="0"/>
          <w:color w:val="auto"/>
          <w:sz w:val="21"/>
          <w:szCs w:val="21"/>
          <w:highlight w:val="none"/>
          <w:lang w:val="en-US" w:eastAsia="zh-CN"/>
        </w:rPr>
        <w:t>无</w:t>
      </w:r>
      <w:r>
        <w:rPr>
          <w:rFonts w:hint="eastAsia" w:ascii="宋体" w:hAnsi="宋体" w:eastAsia="宋体" w:cs="宋体"/>
          <w:b/>
          <w:bCs w:val="0"/>
          <w:color w:val="auto"/>
          <w:sz w:val="21"/>
          <w:szCs w:val="21"/>
          <w:highlight w:val="none"/>
        </w:rPr>
        <w:t>。</w:t>
      </w:r>
    </w:p>
    <w:p w14:paraId="514AF1A4">
      <w:pPr>
        <w:pStyle w:val="8"/>
        <w:tabs>
          <w:tab w:val="left" w:pos="1640"/>
        </w:tabs>
        <w:spacing w:line="360" w:lineRule="auto"/>
        <w:ind w:left="0" w:firstLineChars="200"/>
        <w:rPr>
          <w:rFonts w:hint="eastAsia"/>
          <w:bCs/>
          <w:color w:val="auto"/>
          <w:sz w:val="21"/>
          <w:szCs w:val="21"/>
          <w:highlight w:val="none"/>
        </w:rPr>
      </w:pPr>
      <w:r>
        <w:rPr>
          <w:rFonts w:hint="eastAsia"/>
          <w:bCs/>
          <w:color w:val="auto"/>
          <w:sz w:val="21"/>
          <w:szCs w:val="21"/>
          <w:highlight w:val="none"/>
        </w:rPr>
        <w:t>2.4第2.1（5）条所称重大违法记录，是指供应商因违法经营受到刑事处罚或者责令停产停业、吊销许可证或者执照、较大数额罚款等行政处罚。</w:t>
      </w:r>
    </w:p>
    <w:p w14:paraId="372CA775">
      <w:pPr>
        <w:pStyle w:val="8"/>
        <w:tabs>
          <w:tab w:val="left" w:pos="1640"/>
        </w:tabs>
        <w:spacing w:line="360" w:lineRule="auto"/>
        <w:ind w:left="0" w:firstLineChars="200"/>
        <w:rPr>
          <w:rFonts w:hint="eastAsia"/>
          <w:bCs/>
          <w:color w:val="auto"/>
          <w:sz w:val="21"/>
          <w:szCs w:val="21"/>
          <w:highlight w:val="none"/>
        </w:rPr>
      </w:pPr>
      <w:r>
        <w:rPr>
          <w:rFonts w:hint="eastAsia"/>
          <w:bCs/>
          <w:color w:val="auto"/>
          <w:sz w:val="21"/>
          <w:szCs w:val="21"/>
          <w:highlight w:val="none"/>
        </w:rPr>
        <w:t>2.5供应商在参加政府采购活动前3年内因违法经营被禁止在一定期限内参加政府采购活动，期限届满的，可以参加政府采购活动。</w:t>
      </w:r>
    </w:p>
    <w:p w14:paraId="609EA2C4">
      <w:pPr>
        <w:pStyle w:val="8"/>
        <w:tabs>
          <w:tab w:val="left" w:pos="1640"/>
        </w:tabs>
        <w:spacing w:line="360" w:lineRule="auto"/>
        <w:ind w:left="0" w:firstLineChars="200"/>
        <w:rPr>
          <w:rFonts w:hint="eastAsia"/>
          <w:bCs/>
          <w:color w:val="auto"/>
          <w:sz w:val="21"/>
          <w:szCs w:val="21"/>
          <w:highlight w:val="none"/>
        </w:rPr>
      </w:pPr>
      <w:r>
        <w:rPr>
          <w:rFonts w:hint="eastAsia"/>
          <w:bCs/>
          <w:color w:val="auto"/>
          <w:sz w:val="21"/>
          <w:szCs w:val="21"/>
          <w:highlight w:val="none"/>
        </w:rPr>
        <w:t>2.6单位负责人为同一人或者存在直接控股、管理关系的不同供应商，不得参加同一合同项下的政府采购活动。</w:t>
      </w:r>
    </w:p>
    <w:p w14:paraId="18F20C87">
      <w:pPr>
        <w:pStyle w:val="8"/>
        <w:tabs>
          <w:tab w:val="left" w:pos="1640"/>
        </w:tabs>
        <w:spacing w:line="360" w:lineRule="auto"/>
        <w:ind w:left="0" w:firstLineChars="200"/>
        <w:rPr>
          <w:rFonts w:hint="eastAsia"/>
          <w:bCs/>
          <w:color w:val="auto"/>
          <w:sz w:val="21"/>
          <w:szCs w:val="21"/>
          <w:highlight w:val="none"/>
        </w:rPr>
      </w:pPr>
      <w:r>
        <w:rPr>
          <w:rFonts w:hint="eastAsia"/>
          <w:bCs/>
          <w:color w:val="auto"/>
          <w:sz w:val="21"/>
          <w:szCs w:val="21"/>
          <w:highlight w:val="none"/>
        </w:rPr>
        <w:t>2.7为采购项目提供整体设计、规范编制或者项目管理、监理、检测等服务的供应商，不得再参加该采购项目的其他采购活动。</w:t>
      </w:r>
    </w:p>
    <w:p w14:paraId="61E8FCB0">
      <w:pPr>
        <w:pStyle w:val="8"/>
        <w:tabs>
          <w:tab w:val="left" w:pos="1640"/>
        </w:tabs>
        <w:spacing w:line="360" w:lineRule="auto"/>
        <w:ind w:left="0" w:firstLineChars="200"/>
        <w:rPr>
          <w:rFonts w:hint="eastAsia"/>
          <w:bCs/>
          <w:color w:val="auto"/>
          <w:sz w:val="21"/>
          <w:szCs w:val="21"/>
          <w:highlight w:val="none"/>
        </w:rPr>
      </w:pPr>
      <w:r>
        <w:rPr>
          <w:rFonts w:hint="eastAsia"/>
          <w:bCs/>
          <w:color w:val="auto"/>
          <w:sz w:val="21"/>
          <w:szCs w:val="21"/>
          <w:highlight w:val="none"/>
        </w:rPr>
        <w:t>2.8拒绝列入失信被执行人、重大税收违法失信主体、政府采购严重违法失信行为记录名单的供应商参与政府采购活动。采购代理机构将在开标结束后，通过“中国政府采购网”、“信用中国”网站等渠道查询投标人信用记录并保存。</w:t>
      </w:r>
    </w:p>
    <w:p w14:paraId="775601BC">
      <w:pPr>
        <w:pStyle w:val="8"/>
        <w:tabs>
          <w:tab w:val="left" w:pos="1640"/>
        </w:tabs>
        <w:spacing w:line="360" w:lineRule="auto"/>
        <w:ind w:left="0" w:firstLineChars="200"/>
        <w:rPr>
          <w:rFonts w:hint="eastAsia"/>
          <w:bCs/>
          <w:color w:val="auto"/>
          <w:sz w:val="21"/>
          <w:szCs w:val="21"/>
          <w:highlight w:val="none"/>
        </w:rPr>
      </w:pPr>
      <w:r>
        <w:rPr>
          <w:rFonts w:hint="eastAsia"/>
          <w:bCs/>
          <w:color w:val="auto"/>
          <w:sz w:val="21"/>
          <w:szCs w:val="21"/>
          <w:highlight w:val="none"/>
        </w:rPr>
        <w:t>2.9供应商应当从采购代理机构合法获得招标项目的招标文件。</w:t>
      </w:r>
    </w:p>
    <w:p w14:paraId="1B971A88">
      <w:pPr>
        <w:pStyle w:val="3"/>
        <w:spacing w:line="360" w:lineRule="auto"/>
        <w:outlineLvl w:val="1"/>
        <w:rPr>
          <w:rFonts w:hint="eastAsia"/>
          <w:b/>
          <w:color w:val="auto"/>
          <w:highlight w:val="none"/>
        </w:rPr>
      </w:pPr>
      <w:r>
        <w:rPr>
          <w:rFonts w:hint="eastAsia"/>
          <w:b/>
          <w:color w:val="auto"/>
          <w:highlight w:val="none"/>
        </w:rPr>
        <w:t>三、获取招标文件</w:t>
      </w:r>
    </w:p>
    <w:p w14:paraId="2278F59A">
      <w:pPr>
        <w:pStyle w:val="12"/>
        <w:spacing w:line="360" w:lineRule="auto"/>
        <w:ind w:left="0" w:firstLine="420" w:firstLineChars="200"/>
        <w:outlineLvl w:val="9"/>
        <w:rPr>
          <w:rFonts w:hint="eastAsia"/>
          <w:color w:val="auto"/>
          <w:sz w:val="21"/>
          <w:szCs w:val="21"/>
          <w:highlight w:val="none"/>
        </w:rPr>
      </w:pPr>
      <w:r>
        <w:rPr>
          <w:rFonts w:hint="eastAsia"/>
          <w:color w:val="auto"/>
          <w:sz w:val="21"/>
          <w:szCs w:val="21"/>
          <w:highlight w:val="none"/>
        </w:rPr>
        <w:t>3.1时间：</w:t>
      </w:r>
      <w:r>
        <w:rPr>
          <w:rFonts w:hint="eastAsia"/>
          <w:color w:val="auto"/>
          <w:sz w:val="21"/>
          <w:szCs w:val="21"/>
          <w:highlight w:val="none"/>
          <w:u w:val="none"/>
        </w:rPr>
        <w:t>202</w:t>
      </w:r>
      <w:r>
        <w:rPr>
          <w:rFonts w:hint="eastAsia"/>
          <w:color w:val="auto"/>
          <w:sz w:val="21"/>
          <w:szCs w:val="21"/>
          <w:highlight w:val="none"/>
          <w:u w:val="none"/>
          <w:lang w:val="en-US" w:eastAsia="zh-CN"/>
        </w:rPr>
        <w:t>4</w:t>
      </w:r>
      <w:r>
        <w:rPr>
          <w:rFonts w:hint="eastAsia"/>
          <w:color w:val="auto"/>
          <w:sz w:val="21"/>
          <w:szCs w:val="21"/>
          <w:highlight w:val="none"/>
          <w:u w:val="none"/>
        </w:rPr>
        <w:t>年</w:t>
      </w:r>
      <w:r>
        <w:rPr>
          <w:rFonts w:hint="eastAsia"/>
          <w:color w:val="auto"/>
          <w:sz w:val="21"/>
          <w:szCs w:val="21"/>
          <w:highlight w:val="none"/>
          <w:u w:val="none"/>
          <w:lang w:val="en-US" w:eastAsia="zh-CN"/>
        </w:rPr>
        <w:t>12</w:t>
      </w:r>
      <w:r>
        <w:rPr>
          <w:rFonts w:hint="eastAsia" w:ascii="宋体" w:hAnsi="宋体" w:eastAsia="宋体" w:cs="Times New Roman"/>
          <w:b w:val="0"/>
          <w:bCs w:val="0"/>
          <w:color w:val="auto"/>
          <w:sz w:val="21"/>
          <w:szCs w:val="21"/>
          <w:highlight w:val="none"/>
          <w:u w:val="none"/>
          <w:lang w:val="en-US" w:eastAsia="zh-CN" w:bidi="ar-SA"/>
        </w:rPr>
        <w:t>月19日</w:t>
      </w:r>
      <w:r>
        <w:rPr>
          <w:rFonts w:hint="eastAsia"/>
          <w:color w:val="auto"/>
          <w:sz w:val="21"/>
          <w:szCs w:val="21"/>
          <w:highlight w:val="none"/>
          <w:u w:val="none"/>
          <w:lang w:val="en-US" w:eastAsia="zh-CN"/>
        </w:rPr>
        <w:t>17</w:t>
      </w:r>
      <w:r>
        <w:rPr>
          <w:rFonts w:hint="eastAsia"/>
          <w:color w:val="auto"/>
          <w:sz w:val="21"/>
          <w:szCs w:val="21"/>
          <w:highlight w:val="none"/>
          <w:u w:val="none"/>
        </w:rPr>
        <w:t>时</w:t>
      </w:r>
      <w:r>
        <w:rPr>
          <w:rFonts w:hint="eastAsia"/>
          <w:color w:val="auto"/>
          <w:sz w:val="21"/>
          <w:szCs w:val="21"/>
          <w:highlight w:val="none"/>
          <w:u w:val="none"/>
          <w:lang w:val="en-US" w:eastAsia="zh-CN"/>
        </w:rPr>
        <w:t>00分</w:t>
      </w:r>
      <w:r>
        <w:rPr>
          <w:rFonts w:hint="eastAsia"/>
          <w:color w:val="auto"/>
          <w:sz w:val="21"/>
          <w:szCs w:val="21"/>
          <w:highlight w:val="none"/>
          <w:u w:val="none"/>
        </w:rPr>
        <w:t>至202</w:t>
      </w:r>
      <w:r>
        <w:rPr>
          <w:rFonts w:hint="eastAsia"/>
          <w:color w:val="auto"/>
          <w:sz w:val="21"/>
          <w:szCs w:val="21"/>
          <w:highlight w:val="none"/>
          <w:u w:val="none"/>
          <w:lang w:val="en-US" w:eastAsia="zh-CN"/>
        </w:rPr>
        <w:t>4</w:t>
      </w:r>
      <w:r>
        <w:rPr>
          <w:rFonts w:hint="eastAsia"/>
          <w:color w:val="auto"/>
          <w:sz w:val="21"/>
          <w:szCs w:val="21"/>
          <w:highlight w:val="none"/>
          <w:u w:val="none"/>
        </w:rPr>
        <w:t>年</w:t>
      </w:r>
      <w:r>
        <w:rPr>
          <w:rFonts w:hint="eastAsia"/>
          <w:color w:val="auto"/>
          <w:sz w:val="21"/>
          <w:szCs w:val="21"/>
          <w:highlight w:val="none"/>
          <w:u w:val="none"/>
          <w:lang w:val="en-US" w:eastAsia="zh-CN"/>
        </w:rPr>
        <w:t>12</w:t>
      </w:r>
      <w:r>
        <w:rPr>
          <w:rFonts w:hint="eastAsia" w:ascii="宋体" w:hAnsi="宋体" w:eastAsia="宋体" w:cs="Times New Roman"/>
          <w:b w:val="0"/>
          <w:bCs w:val="0"/>
          <w:color w:val="auto"/>
          <w:sz w:val="21"/>
          <w:szCs w:val="21"/>
          <w:highlight w:val="none"/>
          <w:u w:val="none"/>
          <w:lang w:val="en-US" w:eastAsia="zh-CN" w:bidi="ar-SA"/>
        </w:rPr>
        <w:t>月26日</w:t>
      </w:r>
      <w:r>
        <w:rPr>
          <w:rFonts w:hint="eastAsia"/>
          <w:color w:val="auto"/>
          <w:sz w:val="21"/>
          <w:szCs w:val="21"/>
          <w:highlight w:val="none"/>
          <w:u w:val="none"/>
          <w:lang w:val="en-US" w:eastAsia="zh-CN"/>
        </w:rPr>
        <w:t>17</w:t>
      </w:r>
      <w:r>
        <w:rPr>
          <w:rFonts w:hint="eastAsia"/>
          <w:color w:val="auto"/>
          <w:sz w:val="21"/>
          <w:szCs w:val="21"/>
          <w:highlight w:val="none"/>
          <w:u w:val="none"/>
        </w:rPr>
        <w:t>时</w:t>
      </w:r>
      <w:r>
        <w:rPr>
          <w:rFonts w:hint="eastAsia"/>
          <w:color w:val="auto"/>
          <w:sz w:val="21"/>
          <w:szCs w:val="21"/>
          <w:highlight w:val="none"/>
          <w:u w:val="none"/>
          <w:lang w:val="en-US" w:eastAsia="zh-CN"/>
        </w:rPr>
        <w:t>00分</w:t>
      </w:r>
      <w:r>
        <w:rPr>
          <w:rFonts w:hint="eastAsia"/>
          <w:color w:val="auto"/>
          <w:sz w:val="21"/>
          <w:szCs w:val="21"/>
          <w:highlight w:val="none"/>
        </w:rPr>
        <w:t>（北京时间，法定节假日除外）。</w:t>
      </w:r>
    </w:p>
    <w:p w14:paraId="05A2C72F">
      <w:pPr>
        <w:pStyle w:val="3"/>
        <w:spacing w:line="360" w:lineRule="auto"/>
        <w:ind w:firstLine="420" w:firstLineChars="200"/>
        <w:rPr>
          <w:rFonts w:hint="eastAsia"/>
          <w:color w:val="auto"/>
          <w:sz w:val="21"/>
          <w:szCs w:val="21"/>
          <w:highlight w:val="none"/>
        </w:rPr>
      </w:pPr>
      <w:r>
        <w:rPr>
          <w:rFonts w:hint="eastAsia"/>
          <w:color w:val="auto"/>
          <w:sz w:val="21"/>
          <w:szCs w:val="21"/>
          <w:highlight w:val="none"/>
        </w:rPr>
        <w:t>3.2地点：登录“中招联合招标采购平台”（以下简称平台），网址为：http://www.365trade.com.cn/。</w:t>
      </w:r>
    </w:p>
    <w:p w14:paraId="0C3E976F">
      <w:pPr>
        <w:pStyle w:val="3"/>
        <w:spacing w:line="360" w:lineRule="auto"/>
        <w:ind w:firstLine="420" w:firstLineChars="200"/>
        <w:rPr>
          <w:rFonts w:hint="eastAsia"/>
          <w:color w:val="auto"/>
          <w:sz w:val="21"/>
          <w:szCs w:val="21"/>
          <w:highlight w:val="none"/>
        </w:rPr>
      </w:pPr>
      <w:r>
        <w:rPr>
          <w:rFonts w:hint="eastAsia"/>
          <w:color w:val="auto"/>
          <w:sz w:val="21"/>
          <w:szCs w:val="21"/>
          <w:highlight w:val="none"/>
        </w:rPr>
        <w:t>3</w:t>
      </w:r>
      <w:r>
        <w:rPr>
          <w:rFonts w:hint="eastAsia"/>
          <w:color w:val="auto"/>
          <w:sz w:val="21"/>
          <w:szCs w:val="21"/>
          <w:highlight w:val="none"/>
          <w:lang w:eastAsia="zh-CN"/>
        </w:rPr>
        <w:t>.</w:t>
      </w:r>
      <w:r>
        <w:rPr>
          <w:rFonts w:hint="eastAsia"/>
          <w:color w:val="auto"/>
          <w:sz w:val="21"/>
          <w:szCs w:val="21"/>
          <w:highlight w:val="none"/>
          <w:lang w:val="en-US" w:eastAsia="zh-CN"/>
        </w:rPr>
        <w:t>3</w:t>
      </w:r>
      <w:r>
        <w:rPr>
          <w:rFonts w:hint="eastAsia"/>
          <w:color w:val="auto"/>
          <w:sz w:val="21"/>
          <w:szCs w:val="21"/>
          <w:highlight w:val="none"/>
        </w:rPr>
        <w:t>方式：</w:t>
      </w:r>
    </w:p>
    <w:p w14:paraId="5E00F37B">
      <w:pPr>
        <w:pStyle w:val="3"/>
        <w:spacing w:line="360" w:lineRule="auto"/>
        <w:ind w:firstLine="420" w:firstLineChars="200"/>
        <w:rPr>
          <w:rFonts w:hint="eastAsia"/>
          <w:bCs/>
          <w:color w:val="auto"/>
          <w:highlight w:val="none"/>
        </w:rPr>
      </w:pPr>
      <w:r>
        <w:rPr>
          <w:rFonts w:hint="eastAsia"/>
          <w:color w:val="auto"/>
          <w:sz w:val="21"/>
          <w:szCs w:val="21"/>
          <w:highlight w:val="none"/>
          <w:lang w:val="en-US" w:eastAsia="zh-CN"/>
        </w:rPr>
        <w:t>1、</w:t>
      </w:r>
      <w:r>
        <w:rPr>
          <w:rFonts w:hint="eastAsia"/>
          <w:color w:val="auto"/>
          <w:sz w:val="21"/>
          <w:szCs w:val="21"/>
          <w:highlight w:val="none"/>
        </w:rPr>
        <w:t>凡有意参加投标者，请于</w:t>
      </w:r>
      <w:r>
        <w:rPr>
          <w:rFonts w:hint="eastAsia"/>
          <w:color w:val="auto"/>
          <w:sz w:val="21"/>
          <w:szCs w:val="21"/>
          <w:highlight w:val="none"/>
          <w:u w:val="none"/>
        </w:rPr>
        <w:t>202</w:t>
      </w:r>
      <w:r>
        <w:rPr>
          <w:rFonts w:hint="eastAsia"/>
          <w:color w:val="auto"/>
          <w:sz w:val="21"/>
          <w:szCs w:val="21"/>
          <w:highlight w:val="none"/>
          <w:u w:val="none"/>
          <w:lang w:val="en-US" w:eastAsia="zh-CN"/>
        </w:rPr>
        <w:t>4</w:t>
      </w:r>
      <w:r>
        <w:rPr>
          <w:rFonts w:hint="eastAsia"/>
          <w:color w:val="auto"/>
          <w:sz w:val="21"/>
          <w:szCs w:val="21"/>
          <w:highlight w:val="none"/>
          <w:u w:val="none"/>
        </w:rPr>
        <w:t>年</w:t>
      </w:r>
      <w:r>
        <w:rPr>
          <w:rFonts w:hint="eastAsia"/>
          <w:color w:val="auto"/>
          <w:sz w:val="21"/>
          <w:szCs w:val="21"/>
          <w:highlight w:val="none"/>
          <w:u w:val="none"/>
          <w:lang w:val="en-US" w:eastAsia="zh-CN"/>
        </w:rPr>
        <w:t>12</w:t>
      </w:r>
      <w:r>
        <w:rPr>
          <w:rFonts w:hint="eastAsia" w:ascii="宋体" w:hAnsi="宋体" w:eastAsia="宋体" w:cs="Times New Roman"/>
          <w:b w:val="0"/>
          <w:bCs w:val="0"/>
          <w:color w:val="auto"/>
          <w:sz w:val="21"/>
          <w:szCs w:val="21"/>
          <w:highlight w:val="none"/>
          <w:u w:val="none"/>
          <w:lang w:val="en-US" w:eastAsia="zh-CN" w:bidi="ar-SA"/>
        </w:rPr>
        <w:t>月19日</w:t>
      </w:r>
      <w:r>
        <w:rPr>
          <w:rFonts w:hint="eastAsia"/>
          <w:color w:val="auto"/>
          <w:sz w:val="21"/>
          <w:szCs w:val="21"/>
          <w:highlight w:val="none"/>
          <w:u w:val="none"/>
          <w:lang w:val="en-US" w:eastAsia="zh-CN"/>
        </w:rPr>
        <w:t>17</w:t>
      </w:r>
      <w:r>
        <w:rPr>
          <w:rFonts w:hint="eastAsia"/>
          <w:color w:val="auto"/>
          <w:sz w:val="21"/>
          <w:szCs w:val="21"/>
          <w:highlight w:val="none"/>
          <w:u w:val="none"/>
        </w:rPr>
        <w:t>时</w:t>
      </w:r>
      <w:r>
        <w:rPr>
          <w:rFonts w:hint="eastAsia"/>
          <w:color w:val="auto"/>
          <w:sz w:val="21"/>
          <w:szCs w:val="21"/>
          <w:highlight w:val="none"/>
          <w:u w:val="none"/>
          <w:lang w:val="en-US" w:eastAsia="zh-CN"/>
        </w:rPr>
        <w:t>00分</w:t>
      </w:r>
      <w:r>
        <w:rPr>
          <w:rFonts w:hint="eastAsia"/>
          <w:color w:val="auto"/>
          <w:sz w:val="21"/>
          <w:szCs w:val="21"/>
          <w:highlight w:val="none"/>
          <w:u w:val="none"/>
        </w:rPr>
        <w:t>至202</w:t>
      </w:r>
      <w:r>
        <w:rPr>
          <w:rFonts w:hint="eastAsia"/>
          <w:color w:val="auto"/>
          <w:sz w:val="21"/>
          <w:szCs w:val="21"/>
          <w:highlight w:val="none"/>
          <w:u w:val="none"/>
          <w:lang w:val="en-US" w:eastAsia="zh-CN"/>
        </w:rPr>
        <w:t>4</w:t>
      </w:r>
      <w:r>
        <w:rPr>
          <w:rFonts w:hint="eastAsia"/>
          <w:color w:val="auto"/>
          <w:sz w:val="21"/>
          <w:szCs w:val="21"/>
          <w:highlight w:val="none"/>
          <w:u w:val="none"/>
        </w:rPr>
        <w:t>年</w:t>
      </w:r>
      <w:r>
        <w:rPr>
          <w:rFonts w:hint="eastAsia"/>
          <w:color w:val="auto"/>
          <w:sz w:val="21"/>
          <w:szCs w:val="21"/>
          <w:highlight w:val="none"/>
          <w:u w:val="none"/>
          <w:lang w:val="en-US" w:eastAsia="zh-CN"/>
        </w:rPr>
        <w:t>12</w:t>
      </w:r>
      <w:r>
        <w:rPr>
          <w:rFonts w:hint="eastAsia" w:ascii="宋体" w:hAnsi="宋体" w:eastAsia="宋体" w:cs="Times New Roman"/>
          <w:b w:val="0"/>
          <w:bCs w:val="0"/>
          <w:color w:val="auto"/>
          <w:sz w:val="21"/>
          <w:szCs w:val="21"/>
          <w:highlight w:val="none"/>
          <w:u w:val="none"/>
          <w:lang w:val="en-US" w:eastAsia="zh-CN" w:bidi="ar-SA"/>
        </w:rPr>
        <w:t>月26日</w:t>
      </w:r>
      <w:r>
        <w:rPr>
          <w:rFonts w:hint="eastAsia"/>
          <w:color w:val="auto"/>
          <w:sz w:val="21"/>
          <w:szCs w:val="21"/>
          <w:highlight w:val="none"/>
          <w:u w:val="none"/>
          <w:lang w:val="en-US" w:eastAsia="zh-CN"/>
        </w:rPr>
        <w:t>17</w:t>
      </w:r>
      <w:r>
        <w:rPr>
          <w:rFonts w:hint="eastAsia"/>
          <w:color w:val="auto"/>
          <w:sz w:val="21"/>
          <w:szCs w:val="21"/>
          <w:highlight w:val="none"/>
          <w:u w:val="none"/>
        </w:rPr>
        <w:t>时</w:t>
      </w:r>
      <w:r>
        <w:rPr>
          <w:rFonts w:hint="eastAsia"/>
          <w:color w:val="auto"/>
          <w:sz w:val="21"/>
          <w:szCs w:val="21"/>
          <w:highlight w:val="none"/>
          <w:u w:val="none"/>
          <w:lang w:val="en-US" w:eastAsia="zh-CN"/>
        </w:rPr>
        <w:t>00分</w:t>
      </w:r>
      <w:r>
        <w:rPr>
          <w:rFonts w:hint="eastAsia"/>
          <w:color w:val="auto"/>
          <w:sz w:val="21"/>
          <w:szCs w:val="21"/>
          <w:highlight w:val="none"/>
        </w:rPr>
        <w:t>（北京时间，下同），登录中招联合招标采购平台下载电子招标文件。下载者应充分考虑平台注册、信息检查、资料上传、下载确认、费用支付所需时间，下载者必须在前述时间段内完成支付，否则将无法保证获取电子招标文件。</w:t>
      </w:r>
      <w:r>
        <w:rPr>
          <w:rFonts w:hint="eastAsia"/>
          <w:color w:val="auto"/>
          <w:sz w:val="21"/>
          <w:szCs w:val="21"/>
          <w:highlight w:val="none"/>
          <w:lang w:val="en-US" w:eastAsia="zh-CN"/>
        </w:rPr>
        <w:t>2、</w:t>
      </w:r>
      <w:r>
        <w:rPr>
          <w:rFonts w:hint="eastAsia"/>
          <w:color w:val="auto"/>
          <w:sz w:val="21"/>
          <w:szCs w:val="21"/>
          <w:highlight w:val="none"/>
        </w:rPr>
        <w:t>中招联合招标采购平台（以下简称平台），网址为：http://www.365trade.com.cn/。下载者首次登录平台前，须前往平台注册，平台将对下载者注册信息与其提供扫描件信息进行一致性检查。注册为一次性工作，以后若有需要可变更及完善相关信息；注册成功后，可以及时参与平台上所有发布的采购项目；同一单位不同的经办人可各自建立不同账户。同时下载者须通过平台办理企业CA锁（带电子签章），以便在投标过程中使用。</w:t>
      </w:r>
      <w:r>
        <w:rPr>
          <w:rFonts w:hint="eastAsia"/>
          <w:color w:val="auto"/>
          <w:sz w:val="21"/>
          <w:szCs w:val="21"/>
          <w:highlight w:val="none"/>
          <w:lang w:val="en-US" w:eastAsia="zh-CN"/>
        </w:rPr>
        <w:t>3、</w:t>
      </w:r>
      <w:r>
        <w:rPr>
          <w:rFonts w:hint="eastAsia"/>
          <w:color w:val="auto"/>
          <w:sz w:val="21"/>
          <w:szCs w:val="21"/>
          <w:highlight w:val="none"/>
        </w:rPr>
        <w:t>平台网站首页“帮助中心”提供操作手册，下载者可以下载并根据操作手册提示进行注册、登录等操作。平台咨询电话为：010-86397110，服务时间为工作日上午9时至12时，下午1时到6时。平台会通过短信提醒下载者进行</w:t>
      </w:r>
      <w:r>
        <w:rPr>
          <w:rFonts w:hint="eastAsia"/>
          <w:color w:val="auto"/>
          <w:sz w:val="21"/>
          <w:szCs w:val="21"/>
          <w:highlight w:val="none"/>
          <w:lang w:val="en-US" w:eastAsia="zh-CN"/>
        </w:rPr>
        <w:t>相关</w:t>
      </w:r>
      <w:r>
        <w:rPr>
          <w:rFonts w:hint="eastAsia"/>
          <w:color w:val="auto"/>
          <w:sz w:val="21"/>
          <w:szCs w:val="21"/>
          <w:highlight w:val="none"/>
        </w:rPr>
        <w:t>操作。</w:t>
      </w:r>
      <w:r>
        <w:rPr>
          <w:rFonts w:hint="eastAsia"/>
          <w:color w:val="auto"/>
          <w:sz w:val="21"/>
          <w:szCs w:val="21"/>
          <w:highlight w:val="none"/>
          <w:lang w:val="en-US" w:eastAsia="zh-CN"/>
        </w:rPr>
        <w:t>4、</w:t>
      </w:r>
      <w:r>
        <w:rPr>
          <w:rFonts w:hint="eastAsia"/>
          <w:color w:val="auto"/>
          <w:sz w:val="21"/>
          <w:szCs w:val="21"/>
          <w:highlight w:val="none"/>
        </w:rPr>
        <w:t>注意事项：未按照上述要求获取招标文件的，采购人将不予受理其投标。</w:t>
      </w:r>
    </w:p>
    <w:p w14:paraId="0815E8F9">
      <w:pPr>
        <w:pStyle w:val="3"/>
        <w:spacing w:line="360" w:lineRule="auto"/>
        <w:outlineLvl w:val="1"/>
        <w:rPr>
          <w:rFonts w:hint="eastAsia"/>
          <w:b/>
          <w:color w:val="auto"/>
          <w:highlight w:val="none"/>
        </w:rPr>
      </w:pPr>
      <w:r>
        <w:rPr>
          <w:rFonts w:hint="eastAsia"/>
          <w:b/>
          <w:color w:val="auto"/>
          <w:highlight w:val="none"/>
        </w:rPr>
        <w:t>四、提交投标文件截止时间、开标时间和地点</w:t>
      </w:r>
    </w:p>
    <w:p w14:paraId="70684ED9">
      <w:pPr>
        <w:pStyle w:val="9"/>
        <w:spacing w:line="360" w:lineRule="auto"/>
        <w:ind w:left="0" w:firstLine="420" w:firstLineChars="200"/>
        <w:outlineLvl w:val="9"/>
        <w:rPr>
          <w:rFonts w:hint="eastAsia"/>
          <w:b w:val="0"/>
          <w:bCs w:val="0"/>
          <w:color w:val="auto"/>
          <w:highlight w:val="none"/>
        </w:rPr>
      </w:pPr>
      <w:r>
        <w:rPr>
          <w:rFonts w:hint="eastAsia"/>
          <w:b w:val="0"/>
          <w:bCs w:val="0"/>
          <w:color w:val="auto"/>
          <w:highlight w:val="none"/>
        </w:rPr>
        <w:t>投标文件（含样品）接收开始时间：</w:t>
      </w:r>
      <w:r>
        <w:rPr>
          <w:rFonts w:hint="eastAsia" w:ascii="宋体" w:hAnsi="宋体" w:eastAsia="宋体" w:cs="Times New Roman"/>
          <w:b w:val="0"/>
          <w:bCs w:val="0"/>
          <w:color w:val="0000FF"/>
          <w:sz w:val="21"/>
          <w:szCs w:val="21"/>
          <w:highlight w:val="none"/>
          <w:u w:val="none"/>
          <w:lang w:val="en-US" w:eastAsia="zh-CN" w:bidi="ar-SA"/>
        </w:rPr>
        <w:t>2025年01月09日上午9:30（北京时间）</w:t>
      </w:r>
    </w:p>
    <w:p w14:paraId="4112125B">
      <w:pPr>
        <w:pStyle w:val="9"/>
        <w:spacing w:line="360" w:lineRule="auto"/>
        <w:ind w:left="0" w:firstLine="420" w:firstLineChars="200"/>
        <w:outlineLvl w:val="9"/>
        <w:rPr>
          <w:rFonts w:hint="eastAsia"/>
          <w:b w:val="0"/>
          <w:bCs w:val="0"/>
          <w:color w:val="auto"/>
          <w:highlight w:val="none"/>
        </w:rPr>
      </w:pPr>
      <w:r>
        <w:rPr>
          <w:rFonts w:hint="eastAsia"/>
          <w:b w:val="0"/>
          <w:bCs w:val="0"/>
          <w:color w:val="auto"/>
          <w:highlight w:val="none"/>
        </w:rPr>
        <w:t>投标文件（含样品）接收截止时间：</w:t>
      </w:r>
      <w:r>
        <w:rPr>
          <w:rFonts w:hint="eastAsia" w:ascii="宋体" w:hAnsi="宋体" w:eastAsia="宋体" w:cs="宋体"/>
          <w:b w:val="0"/>
          <w:bCs w:val="0"/>
          <w:color w:val="0000FF"/>
          <w:highlight w:val="none"/>
          <w:lang w:val="en-US" w:eastAsia="zh-CN"/>
        </w:rPr>
        <w:t>2025年01月09日</w:t>
      </w:r>
      <w:r>
        <w:rPr>
          <w:rFonts w:hint="eastAsia" w:ascii="宋体" w:hAnsi="宋体" w:eastAsia="宋体" w:cs="Times New Roman"/>
          <w:b w:val="0"/>
          <w:bCs w:val="0"/>
          <w:color w:val="0000FF"/>
          <w:sz w:val="21"/>
          <w:szCs w:val="21"/>
          <w:highlight w:val="none"/>
          <w:u w:val="none"/>
          <w:lang w:val="en-US" w:eastAsia="zh-CN" w:bidi="ar-SA"/>
        </w:rPr>
        <w:t>下午13:00（北京时间</w:t>
      </w:r>
      <w:r>
        <w:rPr>
          <w:rFonts w:hint="eastAsia" w:ascii="宋体" w:hAnsi="宋体" w:eastAsia="宋体" w:cs="Times New Roman"/>
          <w:b w:val="0"/>
          <w:bCs w:val="0"/>
          <w:color w:val="auto"/>
          <w:sz w:val="21"/>
          <w:szCs w:val="21"/>
          <w:highlight w:val="none"/>
          <w:u w:val="none"/>
          <w:lang w:val="en-US" w:eastAsia="zh-CN" w:bidi="ar-SA"/>
        </w:rPr>
        <w:t>）</w:t>
      </w:r>
    </w:p>
    <w:p w14:paraId="58DE5664">
      <w:pPr>
        <w:pStyle w:val="9"/>
        <w:spacing w:line="360" w:lineRule="auto"/>
        <w:ind w:left="0" w:firstLine="420" w:firstLineChars="200"/>
        <w:outlineLvl w:val="9"/>
        <w:rPr>
          <w:rFonts w:hint="eastAsia" w:eastAsia="宋体"/>
          <w:b w:val="0"/>
          <w:color w:val="auto"/>
          <w:highlight w:val="none"/>
          <w:lang w:eastAsia="zh-CN"/>
        </w:rPr>
      </w:pPr>
      <w:r>
        <w:rPr>
          <w:rFonts w:hint="eastAsia"/>
          <w:b w:val="0"/>
          <w:color w:val="auto"/>
          <w:highlight w:val="none"/>
        </w:rPr>
        <w:t>投标文件（含样品）接收地点：</w:t>
      </w:r>
      <w:r>
        <w:rPr>
          <w:rFonts w:hint="eastAsia"/>
          <w:b w:val="0"/>
          <w:color w:val="auto"/>
          <w:highlight w:val="none"/>
          <w:lang w:eastAsia="zh-CN"/>
        </w:rPr>
        <w:t>南京市建邺区金沙江西街16号南京国际博览会议中心酒店1楼</w:t>
      </w:r>
    </w:p>
    <w:p w14:paraId="575BB71D">
      <w:pPr>
        <w:pStyle w:val="9"/>
        <w:spacing w:line="360" w:lineRule="auto"/>
        <w:ind w:left="0" w:firstLine="420" w:firstLineChars="200"/>
        <w:outlineLvl w:val="9"/>
        <w:rPr>
          <w:rFonts w:hint="default"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rPr>
        <w:t>联系方式：</w:t>
      </w:r>
      <w:r>
        <w:rPr>
          <w:rFonts w:hint="eastAsia" w:ascii="宋体" w:hAnsi="宋体" w:eastAsia="宋体" w:cs="宋体"/>
          <w:b w:val="0"/>
          <w:bCs w:val="0"/>
          <w:color w:val="auto"/>
          <w:highlight w:val="none"/>
          <w:lang w:val="en-US" w:eastAsia="zh-CN"/>
        </w:rPr>
        <w:t>朱工：025-84532480、茅工：025-84532486</w:t>
      </w:r>
    </w:p>
    <w:p w14:paraId="33D2A9D0">
      <w:pPr>
        <w:pStyle w:val="9"/>
        <w:spacing w:line="360" w:lineRule="auto"/>
        <w:ind w:left="0" w:firstLine="420" w:firstLineChars="200"/>
        <w:outlineLvl w:val="9"/>
        <w:rPr>
          <w:rFonts w:hint="eastAsia"/>
          <w:b w:val="0"/>
          <w:bCs w:val="0"/>
          <w:color w:val="0000FF"/>
          <w:highlight w:val="none"/>
        </w:rPr>
      </w:pPr>
      <w:r>
        <w:rPr>
          <w:rFonts w:hint="eastAsia" w:ascii="宋体" w:hAnsi="宋体" w:eastAsia="宋体" w:cs="宋体"/>
          <w:b w:val="0"/>
          <w:bCs w:val="0"/>
          <w:color w:val="auto"/>
          <w:highlight w:val="none"/>
        </w:rPr>
        <w:t>开标时间：</w:t>
      </w:r>
      <w:r>
        <w:rPr>
          <w:rFonts w:hint="eastAsia" w:ascii="宋体" w:hAnsi="宋体" w:eastAsia="宋体" w:cs="宋体"/>
          <w:b w:val="0"/>
          <w:bCs w:val="0"/>
          <w:color w:val="0000FF"/>
          <w:highlight w:val="none"/>
          <w:lang w:val="en-US" w:eastAsia="zh-CN"/>
        </w:rPr>
        <w:t>2025年01月09日</w:t>
      </w:r>
      <w:r>
        <w:rPr>
          <w:rFonts w:hint="eastAsia" w:ascii="宋体" w:hAnsi="宋体" w:eastAsia="宋体" w:cs="Times New Roman"/>
          <w:b w:val="0"/>
          <w:bCs w:val="0"/>
          <w:color w:val="0000FF"/>
          <w:sz w:val="21"/>
          <w:szCs w:val="21"/>
          <w:highlight w:val="none"/>
          <w:u w:val="none"/>
          <w:lang w:val="en-US" w:eastAsia="zh-CN" w:bidi="ar-SA"/>
        </w:rPr>
        <w:t>下午13:00（北京时间）</w:t>
      </w:r>
    </w:p>
    <w:p w14:paraId="21EE7A54">
      <w:pPr>
        <w:pStyle w:val="9"/>
        <w:spacing w:line="360" w:lineRule="auto"/>
        <w:ind w:left="0" w:firstLine="420" w:firstLineChars="200"/>
        <w:outlineLvl w:val="9"/>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rPr>
        <w:t>投标文件（含样品）</w:t>
      </w:r>
      <w:r>
        <w:rPr>
          <w:rFonts w:hint="eastAsia" w:ascii="宋体" w:hAnsi="宋体" w:eastAsia="宋体" w:cs="宋体"/>
          <w:b w:val="0"/>
          <w:bCs w:val="0"/>
          <w:color w:val="auto"/>
          <w:highlight w:val="none"/>
          <w:lang w:eastAsia="zh-CN"/>
        </w:rPr>
        <w:t>的</w:t>
      </w:r>
      <w:r>
        <w:rPr>
          <w:rFonts w:hint="eastAsia" w:ascii="宋体" w:hAnsi="宋体" w:eastAsia="宋体" w:cs="宋体"/>
          <w:b w:val="0"/>
          <w:bCs w:val="0"/>
          <w:color w:val="auto"/>
          <w:highlight w:val="none"/>
          <w:lang w:val="en-US" w:eastAsia="zh-CN"/>
        </w:rPr>
        <w:t>递交要求：</w:t>
      </w:r>
    </w:p>
    <w:p w14:paraId="66E70880">
      <w:pPr>
        <w:pStyle w:val="9"/>
        <w:keepNext w:val="0"/>
        <w:keepLines w:val="0"/>
        <w:pageBreakBefore w:val="0"/>
        <w:numPr>
          <w:ilvl w:val="0"/>
          <w:numId w:val="0"/>
        </w:numPr>
        <w:kinsoku/>
        <w:wordWrap/>
        <w:overflowPunct/>
        <w:topLinePunct w:val="0"/>
        <w:autoSpaceDE w:val="0"/>
        <w:autoSpaceDN w:val="0"/>
        <w:bidi w:val="0"/>
        <w:adjustRightInd w:val="0"/>
        <w:snapToGrid w:val="0"/>
        <w:spacing w:line="360" w:lineRule="auto"/>
        <w:ind w:left="440" w:leftChars="200" w:firstLine="0" w:firstLineChars="0"/>
        <w:textAlignment w:val="auto"/>
        <w:outlineLvl w:val="9"/>
        <w:rPr>
          <w:rFonts w:hint="eastAsia"/>
          <w:b w:val="0"/>
          <w:color w:val="auto"/>
          <w:highlight w:val="none"/>
          <w:lang w:eastAsia="zh-CN"/>
        </w:rPr>
      </w:pPr>
      <w:r>
        <w:rPr>
          <w:rFonts w:hint="eastAsia"/>
          <w:b w:val="0"/>
          <w:color w:val="auto"/>
          <w:highlight w:val="none"/>
          <w:lang w:val="en-US" w:eastAsia="zh-CN"/>
        </w:rPr>
        <w:t>1、</w:t>
      </w:r>
      <w:r>
        <w:rPr>
          <w:rFonts w:hint="eastAsia"/>
          <w:b w:val="0"/>
          <w:color w:val="auto"/>
          <w:highlight w:val="none"/>
        </w:rPr>
        <w:t>电子文件</w:t>
      </w:r>
      <w:r>
        <w:rPr>
          <w:rFonts w:hint="eastAsia"/>
          <w:b w:val="0"/>
          <w:color w:val="auto"/>
          <w:highlight w:val="none"/>
          <w:lang w:val="en-US" w:eastAsia="zh-CN"/>
        </w:rPr>
        <w:t>系统</w:t>
      </w:r>
      <w:r>
        <w:rPr>
          <w:rFonts w:hint="eastAsia"/>
          <w:b w:val="0"/>
          <w:color w:val="auto"/>
          <w:highlight w:val="none"/>
        </w:rPr>
        <w:t>提交</w:t>
      </w:r>
      <w:r>
        <w:rPr>
          <w:rFonts w:hint="eastAsia"/>
          <w:b w:val="0"/>
          <w:color w:val="auto"/>
          <w:highlight w:val="none"/>
          <w:lang w:eastAsia="zh-CN"/>
        </w:rPr>
        <w:t>：</w:t>
      </w:r>
    </w:p>
    <w:p w14:paraId="4EE9C40F">
      <w:pPr>
        <w:pStyle w:val="9"/>
        <w:keepNext w:val="0"/>
        <w:keepLines w:val="0"/>
        <w:pageBreakBefore w:val="0"/>
        <w:kinsoku/>
        <w:wordWrap/>
        <w:overflowPunct/>
        <w:topLinePunct w:val="0"/>
        <w:autoSpaceDE w:val="0"/>
        <w:autoSpaceDN w:val="0"/>
        <w:bidi w:val="0"/>
        <w:adjustRightInd w:val="0"/>
        <w:snapToGrid w:val="0"/>
        <w:spacing w:line="360" w:lineRule="auto"/>
        <w:ind w:left="0" w:firstLine="420" w:firstLineChars="200"/>
        <w:textAlignment w:val="auto"/>
        <w:outlineLvl w:val="9"/>
        <w:rPr>
          <w:rFonts w:hint="eastAsia"/>
          <w:color w:val="auto"/>
          <w:highlight w:val="none"/>
        </w:rPr>
      </w:pPr>
      <w:r>
        <w:rPr>
          <w:rFonts w:hint="eastAsia"/>
          <w:b w:val="0"/>
          <w:color w:val="auto"/>
          <w:highlight w:val="none"/>
        </w:rPr>
        <w:t>电子文件</w:t>
      </w:r>
      <w:r>
        <w:rPr>
          <w:rFonts w:hint="eastAsia"/>
          <w:b w:val="0"/>
          <w:color w:val="auto"/>
          <w:highlight w:val="none"/>
          <w:lang w:val="en-US" w:eastAsia="zh-CN"/>
        </w:rPr>
        <w:t>系统</w:t>
      </w:r>
      <w:r>
        <w:rPr>
          <w:rFonts w:hint="eastAsia"/>
          <w:b w:val="0"/>
          <w:color w:val="auto"/>
          <w:highlight w:val="none"/>
        </w:rPr>
        <w:t>提交地点：中招联合招标采购平台（</w:t>
      </w:r>
      <w:r>
        <w:rPr>
          <w:rFonts w:hint="eastAsia"/>
          <w:color w:val="auto"/>
          <w:highlight w:val="none"/>
        </w:rPr>
        <w:fldChar w:fldCharType="begin"/>
      </w:r>
      <w:r>
        <w:rPr>
          <w:rFonts w:hint="eastAsia"/>
          <w:color w:val="auto"/>
          <w:highlight w:val="none"/>
        </w:rPr>
        <w:instrText xml:space="preserve"> HYPERLINK "http://www.365trade.com.cn/" \h </w:instrText>
      </w:r>
      <w:r>
        <w:rPr>
          <w:rFonts w:hint="eastAsia"/>
          <w:color w:val="auto"/>
          <w:highlight w:val="none"/>
        </w:rPr>
        <w:fldChar w:fldCharType="separate"/>
      </w:r>
      <w:r>
        <w:rPr>
          <w:rFonts w:hint="eastAsia"/>
          <w:b w:val="0"/>
          <w:color w:val="auto"/>
          <w:highlight w:val="none"/>
        </w:rPr>
        <w:t>http://www.365trade.com.cn/</w:t>
      </w:r>
      <w:r>
        <w:rPr>
          <w:rFonts w:hint="eastAsia"/>
          <w:b w:val="0"/>
          <w:color w:val="auto"/>
          <w:highlight w:val="none"/>
        </w:rPr>
        <w:fldChar w:fldCharType="end"/>
      </w:r>
      <w:r>
        <w:rPr>
          <w:rFonts w:hint="eastAsia"/>
          <w:b w:val="0"/>
          <w:color w:val="auto"/>
          <w:highlight w:val="none"/>
        </w:rPr>
        <w:t>）</w:t>
      </w:r>
      <w:r>
        <w:rPr>
          <w:rFonts w:hint="eastAsia"/>
          <w:color w:val="auto"/>
          <w:highlight w:val="none"/>
        </w:rPr>
        <w:t>。</w:t>
      </w:r>
    </w:p>
    <w:p w14:paraId="68F48ECD">
      <w:pPr>
        <w:pStyle w:val="3"/>
        <w:keepNext w:val="0"/>
        <w:keepLines w:val="0"/>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bCs/>
          <w:color w:val="auto"/>
          <w:highlight w:val="none"/>
        </w:rPr>
      </w:pPr>
      <w:r>
        <w:rPr>
          <w:rFonts w:hint="eastAsia"/>
          <w:color w:val="auto"/>
          <w:highlight w:val="none"/>
        </w:rPr>
        <w:t>电子投标文件分为加密电子投标文件和未加密电子投标文件。电子投标文件由“中招联合招标采购平台:（</w:t>
      </w:r>
      <w:r>
        <w:rPr>
          <w:rFonts w:hint="eastAsia"/>
          <w:color w:val="auto"/>
          <w:highlight w:val="none"/>
        </w:rPr>
        <w:fldChar w:fldCharType="begin"/>
      </w:r>
      <w:r>
        <w:rPr>
          <w:rFonts w:hint="eastAsia"/>
          <w:color w:val="auto"/>
          <w:highlight w:val="none"/>
        </w:rPr>
        <w:instrText xml:space="preserve"> HYPERLINK "http://www.365trade.com.cn/)" \h </w:instrText>
      </w:r>
      <w:r>
        <w:rPr>
          <w:rFonts w:hint="eastAsia"/>
          <w:color w:val="auto"/>
          <w:highlight w:val="none"/>
        </w:rPr>
        <w:fldChar w:fldCharType="separate"/>
      </w:r>
      <w:r>
        <w:rPr>
          <w:rFonts w:hint="eastAsia"/>
          <w:color w:val="auto"/>
          <w:highlight w:val="none"/>
        </w:rPr>
        <w:t>http://www.365trade.com.cn/）</w:t>
      </w:r>
      <w:r>
        <w:rPr>
          <w:rFonts w:hint="eastAsia"/>
          <w:color w:val="auto"/>
          <w:highlight w:val="none"/>
        </w:rPr>
        <w:fldChar w:fldCharType="end"/>
      </w:r>
      <w:r>
        <w:rPr>
          <w:rFonts w:hint="eastAsia"/>
          <w:color w:val="auto"/>
          <w:highlight w:val="none"/>
        </w:rPr>
        <w:t>”网站提供的“投标文件制作工具”软件制作生成。电子投标文件制作时会同时生成带有电子印章的“需上传的加密文件”及“需刻盘密封的文件”。其中，“需上传的加密文件”为加密电子投标文件（*.zfile格式），加密电子投标文件须在投标截止时间前通过“中招联合招标采购平台:（</w:t>
      </w:r>
      <w:r>
        <w:rPr>
          <w:rFonts w:hint="eastAsia"/>
          <w:color w:val="auto"/>
          <w:highlight w:val="none"/>
        </w:rPr>
        <w:fldChar w:fldCharType="begin"/>
      </w:r>
      <w:r>
        <w:rPr>
          <w:rFonts w:hint="eastAsia"/>
          <w:color w:val="auto"/>
          <w:highlight w:val="none"/>
        </w:rPr>
        <w:instrText xml:space="preserve"> HYPERLINK "http://www.365trade.com.cn/" \h </w:instrText>
      </w:r>
      <w:r>
        <w:rPr>
          <w:rFonts w:hint="eastAsia"/>
          <w:color w:val="auto"/>
          <w:highlight w:val="none"/>
        </w:rPr>
        <w:fldChar w:fldCharType="separate"/>
      </w:r>
      <w:r>
        <w:rPr>
          <w:rFonts w:hint="eastAsia"/>
          <w:color w:val="auto"/>
          <w:highlight w:val="none"/>
        </w:rPr>
        <w:t>http://www.365trade.com.cn/</w:t>
      </w:r>
      <w:r>
        <w:rPr>
          <w:rFonts w:hint="eastAsia"/>
          <w:color w:val="auto"/>
          <w:highlight w:val="none"/>
        </w:rPr>
        <w:fldChar w:fldCharType="end"/>
      </w:r>
      <w:r>
        <w:rPr>
          <w:rFonts w:hint="eastAsia"/>
          <w:color w:val="auto"/>
          <w:highlight w:val="none"/>
        </w:rPr>
        <w:t>）”电子交易平台加密上传（样品照片根据招标文件</w:t>
      </w:r>
      <w:r>
        <w:rPr>
          <w:rFonts w:hint="eastAsia"/>
          <w:color w:val="auto"/>
          <w:highlight w:val="none"/>
          <w:lang w:val="en-US" w:eastAsia="zh-CN"/>
        </w:rPr>
        <w:t>第四章</w:t>
      </w:r>
      <w:r>
        <w:rPr>
          <w:rFonts w:hint="eastAsia"/>
          <w:color w:val="auto"/>
          <w:highlight w:val="none"/>
        </w:rPr>
        <w:t>要求，作为附件一并上传）；未加密电子投标文件应为与加密电子投标文件同时生成的版本。</w:t>
      </w:r>
    </w:p>
    <w:p w14:paraId="2B18BAAE">
      <w:pPr>
        <w:pStyle w:val="9"/>
        <w:keepNext w:val="0"/>
        <w:keepLines w:val="0"/>
        <w:pageBreakBefore w:val="0"/>
        <w:numPr>
          <w:ilvl w:val="0"/>
          <w:numId w:val="0"/>
        </w:numPr>
        <w:kinsoku/>
        <w:wordWrap/>
        <w:overflowPunct/>
        <w:topLinePunct w:val="0"/>
        <w:autoSpaceDE w:val="0"/>
        <w:autoSpaceDN w:val="0"/>
        <w:bidi w:val="0"/>
        <w:adjustRightInd w:val="0"/>
        <w:snapToGrid w:val="0"/>
        <w:spacing w:line="360" w:lineRule="auto"/>
        <w:ind w:left="440" w:leftChars="200" w:firstLine="0" w:firstLineChars="0"/>
        <w:textAlignment w:val="auto"/>
        <w:outlineLvl w:val="9"/>
        <w:rPr>
          <w:rFonts w:hint="eastAsia"/>
          <w:b w:val="0"/>
          <w:bCs w:val="0"/>
          <w:color w:val="auto"/>
          <w:highlight w:val="none"/>
          <w:lang w:val="en-US" w:eastAsia="zh-CN"/>
        </w:rPr>
      </w:pPr>
      <w:r>
        <w:rPr>
          <w:rFonts w:hint="eastAsia"/>
          <w:b w:val="0"/>
          <w:bCs w:val="0"/>
          <w:color w:val="auto"/>
          <w:highlight w:val="none"/>
          <w:lang w:val="en-US" w:eastAsia="zh-CN"/>
        </w:rPr>
        <w:t>2、纸质投标文件（含样品）现场提交：</w:t>
      </w:r>
    </w:p>
    <w:p w14:paraId="678D7F89">
      <w:pPr>
        <w:pStyle w:val="9"/>
        <w:keepNext w:val="0"/>
        <w:keepLines w:val="0"/>
        <w:pageBreakBefore w:val="0"/>
        <w:numPr>
          <w:ilvl w:val="0"/>
          <w:numId w:val="0"/>
        </w:numPr>
        <w:kinsoku/>
        <w:wordWrap/>
        <w:overflowPunct/>
        <w:topLinePunct w:val="0"/>
        <w:autoSpaceDE w:val="0"/>
        <w:autoSpaceDN w:val="0"/>
        <w:bidi w:val="0"/>
        <w:adjustRightInd w:val="0"/>
        <w:snapToGrid w:val="0"/>
        <w:spacing w:line="360" w:lineRule="auto"/>
        <w:ind w:left="0" w:leftChars="0" w:firstLine="420" w:firstLineChars="200"/>
        <w:textAlignment w:val="auto"/>
        <w:outlineLvl w:val="9"/>
        <w:rPr>
          <w:rFonts w:hint="eastAsia" w:eastAsia="宋体"/>
          <w:b w:val="0"/>
          <w:bCs w:val="0"/>
          <w:color w:val="auto"/>
          <w:highlight w:val="none"/>
          <w:lang w:val="en-US" w:eastAsia="zh-CN"/>
        </w:rPr>
      </w:pPr>
      <w:r>
        <w:rPr>
          <w:rFonts w:hint="eastAsia"/>
          <w:b w:val="0"/>
          <w:bCs w:val="0"/>
          <w:color w:val="auto"/>
          <w:highlight w:val="none"/>
          <w:lang w:val="en-US" w:eastAsia="zh-CN"/>
        </w:rPr>
        <w:t>纸质投标文件（含样品）现场提交</w:t>
      </w:r>
      <w:r>
        <w:rPr>
          <w:rFonts w:hint="eastAsia"/>
          <w:b w:val="0"/>
          <w:color w:val="auto"/>
          <w:highlight w:val="none"/>
        </w:rPr>
        <w:t>地点：</w:t>
      </w:r>
      <w:r>
        <w:rPr>
          <w:rFonts w:hint="eastAsia"/>
          <w:b w:val="0"/>
          <w:color w:val="auto"/>
          <w:highlight w:val="none"/>
          <w:lang w:val="en-US" w:eastAsia="zh-CN"/>
        </w:rPr>
        <w:t>见“</w:t>
      </w:r>
      <w:r>
        <w:rPr>
          <w:rFonts w:hint="eastAsia"/>
          <w:b w:val="0"/>
          <w:color w:val="auto"/>
          <w:highlight w:val="none"/>
        </w:rPr>
        <w:t>投标文件（含样品）接收地点</w:t>
      </w:r>
      <w:r>
        <w:rPr>
          <w:rFonts w:hint="eastAsia"/>
          <w:b w:val="0"/>
          <w:color w:val="auto"/>
          <w:highlight w:val="none"/>
          <w:lang w:val="en-US" w:eastAsia="zh-CN"/>
        </w:rPr>
        <w:t>”。</w:t>
      </w:r>
    </w:p>
    <w:p w14:paraId="67655BF9">
      <w:pPr>
        <w:pStyle w:val="9"/>
        <w:keepNext w:val="0"/>
        <w:keepLines w:val="0"/>
        <w:pageBreakBefore w:val="0"/>
        <w:numPr>
          <w:ilvl w:val="0"/>
          <w:numId w:val="0"/>
        </w:numPr>
        <w:kinsoku/>
        <w:wordWrap/>
        <w:overflowPunct/>
        <w:topLinePunct w:val="0"/>
        <w:autoSpaceDE w:val="0"/>
        <w:autoSpaceDN w:val="0"/>
        <w:bidi w:val="0"/>
        <w:adjustRightInd w:val="0"/>
        <w:snapToGrid w:val="0"/>
        <w:spacing w:line="360" w:lineRule="auto"/>
        <w:ind w:left="0" w:leftChars="0" w:firstLine="420" w:firstLineChars="200"/>
        <w:textAlignment w:val="auto"/>
        <w:outlineLvl w:val="9"/>
        <w:rPr>
          <w:rFonts w:hint="eastAsia"/>
          <w:b w:val="0"/>
          <w:bCs w:val="0"/>
          <w:color w:val="auto"/>
          <w:highlight w:val="none"/>
        </w:rPr>
      </w:pPr>
      <w:r>
        <w:rPr>
          <w:rFonts w:hint="eastAsia"/>
          <w:b w:val="0"/>
          <w:bCs w:val="0"/>
          <w:color w:val="auto"/>
          <w:highlight w:val="none"/>
          <w:lang w:val="en-US" w:eastAsia="zh-CN"/>
        </w:rPr>
        <w:t>纸质投标文件（含样品）</w:t>
      </w:r>
      <w:r>
        <w:rPr>
          <w:rFonts w:hint="eastAsia"/>
          <w:b w:val="0"/>
          <w:bCs w:val="0"/>
          <w:color w:val="auto"/>
          <w:highlight w:val="none"/>
        </w:rPr>
        <w:t>包括：</w:t>
      </w:r>
      <w:r>
        <w:rPr>
          <w:rFonts w:hint="eastAsia"/>
          <w:b w:val="0"/>
          <w:bCs w:val="0"/>
          <w:color w:val="auto"/>
          <w:highlight w:val="none"/>
          <w:lang w:val="en-US" w:eastAsia="zh-CN"/>
        </w:rPr>
        <w:t>1）</w:t>
      </w:r>
      <w:r>
        <w:rPr>
          <w:rFonts w:hint="eastAsia"/>
          <w:b w:val="0"/>
          <w:bCs w:val="0"/>
          <w:color w:val="auto"/>
          <w:highlight w:val="none"/>
        </w:rPr>
        <w:t>纸质投标文件1份</w:t>
      </w:r>
      <w:r>
        <w:rPr>
          <w:rFonts w:hint="eastAsia"/>
          <w:b w:val="0"/>
          <w:bCs w:val="0"/>
          <w:color w:val="auto"/>
          <w:highlight w:val="none"/>
          <w:lang w:eastAsia="zh-CN"/>
        </w:rPr>
        <w:t>、</w:t>
      </w:r>
      <w:r>
        <w:rPr>
          <w:rFonts w:hint="eastAsia"/>
          <w:b w:val="0"/>
          <w:bCs w:val="0"/>
          <w:color w:val="auto"/>
          <w:highlight w:val="none"/>
          <w:lang w:val="en-US" w:eastAsia="zh-CN"/>
        </w:rPr>
        <w:t>2）</w:t>
      </w:r>
      <w:r>
        <w:rPr>
          <w:rFonts w:hint="eastAsia"/>
          <w:b w:val="0"/>
          <w:bCs w:val="0"/>
          <w:color w:val="auto"/>
          <w:highlight w:val="none"/>
        </w:rPr>
        <w:t>电子投标文件</w:t>
      </w:r>
      <w:r>
        <w:rPr>
          <w:rFonts w:hint="eastAsia"/>
          <w:b w:val="0"/>
          <w:bCs w:val="0"/>
          <w:color w:val="auto"/>
          <w:highlight w:val="none"/>
          <w:lang w:val="en-US" w:eastAsia="zh-CN"/>
        </w:rPr>
        <w:t>U盘1份（内容含投标文件电子档、电子EXCEL产品清单、</w:t>
      </w:r>
      <w:r>
        <w:rPr>
          <w:rFonts w:hint="eastAsia"/>
          <w:b w:val="0"/>
          <w:bCs w:val="0"/>
          <w:color w:val="auto"/>
          <w:highlight w:val="none"/>
        </w:rPr>
        <w:t>样品</w:t>
      </w:r>
      <w:r>
        <w:rPr>
          <w:rFonts w:hint="eastAsia"/>
          <w:b w:val="0"/>
          <w:bCs w:val="0"/>
          <w:color w:val="auto"/>
          <w:highlight w:val="none"/>
          <w:lang w:val="en-US" w:eastAsia="zh-CN"/>
        </w:rPr>
        <w:t>照片</w:t>
      </w:r>
      <w:r>
        <w:rPr>
          <w:rFonts w:hint="eastAsia"/>
          <w:b w:val="0"/>
          <w:bCs w:val="0"/>
          <w:color w:val="auto"/>
          <w:highlight w:val="none"/>
        </w:rPr>
        <w:t>电子文件</w:t>
      </w:r>
      <w:r>
        <w:rPr>
          <w:rFonts w:hint="eastAsia"/>
          <w:b w:val="0"/>
          <w:bCs w:val="0"/>
          <w:color w:val="auto"/>
          <w:highlight w:val="none"/>
          <w:lang w:val="en-US" w:eastAsia="zh-CN"/>
        </w:rPr>
        <w:t>）</w:t>
      </w:r>
      <w:r>
        <w:rPr>
          <w:rFonts w:hint="eastAsia"/>
          <w:b w:val="0"/>
          <w:bCs w:val="0"/>
          <w:color w:val="auto"/>
          <w:highlight w:val="none"/>
        </w:rPr>
        <w:t>、</w:t>
      </w:r>
      <w:r>
        <w:rPr>
          <w:rFonts w:hint="eastAsia"/>
          <w:b w:val="0"/>
          <w:bCs w:val="0"/>
          <w:color w:val="auto"/>
          <w:highlight w:val="none"/>
          <w:lang w:val="en-US" w:eastAsia="zh-CN"/>
        </w:rPr>
        <w:t>3）</w:t>
      </w:r>
      <w:r>
        <w:rPr>
          <w:rFonts w:hint="eastAsia"/>
          <w:b w:val="0"/>
          <w:bCs w:val="0"/>
          <w:color w:val="auto"/>
          <w:highlight w:val="none"/>
        </w:rPr>
        <w:t>投标样品实物、</w:t>
      </w:r>
      <w:r>
        <w:rPr>
          <w:rFonts w:hint="eastAsia"/>
          <w:b w:val="0"/>
          <w:bCs w:val="0"/>
          <w:color w:val="auto"/>
          <w:highlight w:val="none"/>
          <w:lang w:val="en-US" w:eastAsia="zh-CN"/>
        </w:rPr>
        <w:t>4）</w:t>
      </w:r>
      <w:r>
        <w:rPr>
          <w:rFonts w:hint="eastAsia"/>
          <w:b w:val="0"/>
          <w:bCs w:val="0"/>
          <w:color w:val="auto"/>
          <w:highlight w:val="none"/>
        </w:rPr>
        <w:t>样品配置清单或规格型号说明书1套</w:t>
      </w:r>
      <w:r>
        <w:rPr>
          <w:rFonts w:hint="eastAsia"/>
          <w:b w:val="0"/>
          <w:bCs w:val="0"/>
          <w:color w:val="auto"/>
          <w:highlight w:val="none"/>
          <w:lang w:eastAsia="zh-CN"/>
        </w:rPr>
        <w:t>（</w:t>
      </w:r>
      <w:r>
        <w:rPr>
          <w:rFonts w:hint="eastAsia"/>
          <w:b w:val="0"/>
          <w:bCs w:val="0"/>
          <w:color w:val="auto"/>
          <w:highlight w:val="none"/>
          <w:lang w:val="en-US" w:eastAsia="zh-CN"/>
        </w:rPr>
        <w:t>具体要求详见招标文件第四章</w:t>
      </w:r>
      <w:r>
        <w:rPr>
          <w:rFonts w:hint="eastAsia"/>
          <w:b w:val="0"/>
          <w:bCs w:val="0"/>
          <w:color w:val="auto"/>
          <w:highlight w:val="none"/>
          <w:lang w:eastAsia="zh-CN"/>
        </w:rPr>
        <w:t>），</w:t>
      </w:r>
      <w:r>
        <w:rPr>
          <w:rFonts w:hint="eastAsia"/>
          <w:b w:val="0"/>
          <w:bCs w:val="0"/>
          <w:color w:val="auto"/>
          <w:highlight w:val="none"/>
          <w:lang w:val="en-US" w:eastAsia="zh-CN"/>
        </w:rPr>
        <w:t>要求如下：</w:t>
      </w:r>
    </w:p>
    <w:p w14:paraId="38DE00D0">
      <w:pPr>
        <w:pStyle w:val="3"/>
        <w:keepNext w:val="0"/>
        <w:keepLines w:val="0"/>
        <w:pageBreakBefore w:val="0"/>
        <w:numPr>
          <w:ilvl w:val="0"/>
          <w:numId w:val="1"/>
        </w:numPr>
        <w:kinsoku/>
        <w:wordWrap/>
        <w:overflowPunct/>
        <w:topLinePunct w:val="0"/>
        <w:autoSpaceDE w:val="0"/>
        <w:autoSpaceDN w:val="0"/>
        <w:bidi w:val="0"/>
        <w:adjustRightInd w:val="0"/>
        <w:snapToGrid w:val="0"/>
        <w:spacing w:line="360" w:lineRule="auto"/>
        <w:ind w:firstLine="420" w:firstLineChars="200"/>
        <w:textAlignment w:val="auto"/>
        <w:rPr>
          <w:rFonts w:hint="eastAsia"/>
          <w:b w:val="0"/>
          <w:bCs w:val="0"/>
          <w:color w:val="auto"/>
          <w:highlight w:val="none"/>
          <w:lang w:val="en-US" w:eastAsia="zh-CN"/>
        </w:rPr>
      </w:pPr>
      <w:r>
        <w:rPr>
          <w:rFonts w:hint="eastAsia"/>
          <w:bCs/>
          <w:color w:val="auto"/>
          <w:highlight w:val="none"/>
        </w:rPr>
        <w:t>纸质投标文件和</w:t>
      </w:r>
      <w:r>
        <w:rPr>
          <w:rFonts w:hint="eastAsia"/>
          <w:b w:val="0"/>
          <w:bCs w:val="0"/>
          <w:color w:val="auto"/>
          <w:highlight w:val="none"/>
        </w:rPr>
        <w:t>电子投标文件</w:t>
      </w:r>
      <w:r>
        <w:rPr>
          <w:rFonts w:hint="eastAsia"/>
          <w:b w:val="0"/>
          <w:bCs w:val="0"/>
          <w:color w:val="auto"/>
          <w:highlight w:val="none"/>
          <w:lang w:val="en-US" w:eastAsia="zh-CN"/>
        </w:rPr>
        <w:t>U盘</w:t>
      </w:r>
      <w:r>
        <w:rPr>
          <w:rFonts w:hint="eastAsia"/>
          <w:bCs/>
          <w:color w:val="auto"/>
          <w:highlight w:val="none"/>
        </w:rPr>
        <w:t>密封在一起（U盘外须用标签贴注</w:t>
      </w:r>
      <w:r>
        <w:rPr>
          <w:rFonts w:hint="eastAsia"/>
          <w:bCs/>
          <w:color w:val="auto"/>
          <w:highlight w:val="none"/>
          <w:lang w:eastAsia="zh-CN"/>
        </w:rPr>
        <w:t>包</w:t>
      </w:r>
      <w:r>
        <w:rPr>
          <w:rFonts w:hint="eastAsia"/>
          <w:bCs/>
          <w:color w:val="auto"/>
          <w:highlight w:val="none"/>
        </w:rPr>
        <w:t>号和单位名称）</w:t>
      </w:r>
      <w:r>
        <w:rPr>
          <w:rFonts w:hint="eastAsia"/>
          <w:bCs/>
          <w:color w:val="auto"/>
          <w:highlight w:val="none"/>
          <w:lang w:eastAsia="zh-CN"/>
        </w:rPr>
        <w:t>，</w:t>
      </w:r>
      <w:r>
        <w:rPr>
          <w:rFonts w:hint="eastAsia"/>
          <w:bCs/>
          <w:color w:val="auto"/>
          <w:highlight w:val="none"/>
          <w:lang w:val="en-US" w:eastAsia="zh-CN"/>
        </w:rPr>
        <w:t>同一投标人投多个包的情况，按包分别密封。</w:t>
      </w:r>
      <w:r>
        <w:rPr>
          <w:rFonts w:hint="eastAsia"/>
          <w:bCs/>
          <w:color w:val="auto"/>
          <w:highlight w:val="none"/>
        </w:rPr>
        <w:t>纸质投标文件须为投标人使用“投标文件制作工具”软件所生成的电子投标文件的书面打印稿，纸质投标文件须与电子投标文件保持一致</w:t>
      </w:r>
      <w:r>
        <w:rPr>
          <w:rFonts w:hint="eastAsia"/>
          <w:bCs/>
          <w:color w:val="auto"/>
          <w:highlight w:val="none"/>
          <w:lang w:eastAsia="zh-CN"/>
        </w:rPr>
        <w:t>。</w:t>
      </w:r>
      <w:r>
        <w:rPr>
          <w:rFonts w:hint="eastAsia"/>
          <w:b w:val="0"/>
          <w:bCs w:val="0"/>
          <w:color w:val="auto"/>
          <w:highlight w:val="none"/>
        </w:rPr>
        <w:t>电子投标文件</w:t>
      </w:r>
      <w:r>
        <w:rPr>
          <w:rFonts w:hint="eastAsia"/>
          <w:b w:val="0"/>
          <w:bCs w:val="0"/>
          <w:color w:val="auto"/>
          <w:highlight w:val="none"/>
          <w:lang w:val="en-US" w:eastAsia="zh-CN"/>
        </w:rPr>
        <w:t>U盘内含投标文件电子档，须与</w:t>
      </w:r>
      <w:r>
        <w:rPr>
          <w:rFonts w:hint="eastAsia"/>
          <w:bCs/>
          <w:color w:val="auto"/>
          <w:highlight w:val="none"/>
        </w:rPr>
        <w:t>“投标文件制作工具”软件所生成的电子投标文件</w:t>
      </w:r>
      <w:r>
        <w:rPr>
          <w:rFonts w:hint="eastAsia"/>
          <w:bCs/>
          <w:color w:val="auto"/>
          <w:highlight w:val="none"/>
          <w:lang w:val="en-US" w:eastAsia="zh-CN"/>
        </w:rPr>
        <w:t>保持一致；</w:t>
      </w:r>
      <w:r>
        <w:rPr>
          <w:rFonts w:hint="eastAsia"/>
          <w:b w:val="0"/>
          <w:bCs w:val="0"/>
          <w:color w:val="auto"/>
          <w:highlight w:val="none"/>
          <w:lang w:val="en-US" w:eastAsia="zh-CN"/>
        </w:rPr>
        <w:t>电子EXCEL产品清单</w:t>
      </w:r>
      <w:r>
        <w:rPr>
          <w:rFonts w:hint="eastAsia"/>
          <w:color w:val="auto"/>
          <w:sz w:val="21"/>
          <w:szCs w:val="21"/>
          <w:highlight w:val="none"/>
        </w:rPr>
        <w:t>内产品须与投标型号相同，按招标文件附件提供的格式填写</w:t>
      </w:r>
      <w:r>
        <w:rPr>
          <w:rFonts w:hint="eastAsia"/>
          <w:b w:val="0"/>
          <w:bCs w:val="0"/>
          <w:color w:val="auto"/>
          <w:highlight w:val="none"/>
          <w:lang w:val="en-US" w:eastAsia="zh-CN"/>
        </w:rPr>
        <w:t>；</w:t>
      </w:r>
      <w:r>
        <w:rPr>
          <w:rFonts w:hint="eastAsia"/>
          <w:b w:val="0"/>
          <w:bCs w:val="0"/>
          <w:color w:val="auto"/>
          <w:highlight w:val="none"/>
        </w:rPr>
        <w:t>样品</w:t>
      </w:r>
      <w:r>
        <w:rPr>
          <w:rFonts w:hint="eastAsia"/>
          <w:b w:val="0"/>
          <w:bCs w:val="0"/>
          <w:color w:val="auto"/>
          <w:highlight w:val="none"/>
          <w:lang w:val="en-US" w:eastAsia="zh-CN"/>
        </w:rPr>
        <w:t>照片</w:t>
      </w:r>
      <w:r>
        <w:rPr>
          <w:rFonts w:hint="eastAsia"/>
          <w:b w:val="0"/>
          <w:bCs w:val="0"/>
          <w:color w:val="auto"/>
          <w:highlight w:val="none"/>
        </w:rPr>
        <w:t>电子文件</w:t>
      </w:r>
      <w:r>
        <w:rPr>
          <w:rFonts w:hint="eastAsia"/>
          <w:b w:val="0"/>
          <w:bCs w:val="0"/>
          <w:color w:val="auto"/>
          <w:highlight w:val="none"/>
          <w:lang w:val="en-US" w:eastAsia="zh-CN"/>
        </w:rPr>
        <w:t>按招标文件格式要求提供，一并放入电子U盘中；</w:t>
      </w:r>
    </w:p>
    <w:p w14:paraId="2AAEA4FC">
      <w:pPr>
        <w:pStyle w:val="3"/>
        <w:keepNext w:val="0"/>
        <w:keepLines w:val="0"/>
        <w:pageBreakBefore w:val="0"/>
        <w:numPr>
          <w:ilvl w:val="0"/>
          <w:numId w:val="1"/>
        </w:numPr>
        <w:kinsoku/>
        <w:wordWrap/>
        <w:overflowPunct/>
        <w:topLinePunct w:val="0"/>
        <w:autoSpaceDE w:val="0"/>
        <w:autoSpaceDN w:val="0"/>
        <w:bidi w:val="0"/>
        <w:adjustRightInd w:val="0"/>
        <w:snapToGrid w:val="0"/>
        <w:spacing w:line="360" w:lineRule="auto"/>
        <w:ind w:firstLine="420" w:firstLineChars="200"/>
        <w:textAlignment w:val="auto"/>
        <w:rPr>
          <w:rFonts w:hint="eastAsia"/>
          <w:bCs/>
          <w:color w:val="auto"/>
          <w:highlight w:val="none"/>
        </w:rPr>
      </w:pPr>
      <w:r>
        <w:rPr>
          <w:rFonts w:hint="eastAsia"/>
          <w:b w:val="0"/>
          <w:bCs w:val="0"/>
          <w:color w:val="auto"/>
          <w:highlight w:val="none"/>
        </w:rPr>
        <w:t>投标样品实物</w:t>
      </w:r>
      <w:r>
        <w:rPr>
          <w:rFonts w:hint="eastAsia"/>
          <w:b w:val="0"/>
          <w:bCs w:val="0"/>
          <w:color w:val="auto"/>
          <w:highlight w:val="none"/>
          <w:lang w:val="en-US" w:eastAsia="zh-CN"/>
        </w:rPr>
        <w:t>单独递交；</w:t>
      </w:r>
    </w:p>
    <w:p w14:paraId="43898699">
      <w:pPr>
        <w:pStyle w:val="3"/>
        <w:keepNext w:val="0"/>
        <w:keepLines w:val="0"/>
        <w:pageBreakBefore w:val="0"/>
        <w:numPr>
          <w:ilvl w:val="0"/>
          <w:numId w:val="1"/>
        </w:numPr>
        <w:kinsoku/>
        <w:wordWrap/>
        <w:overflowPunct/>
        <w:topLinePunct w:val="0"/>
        <w:autoSpaceDE w:val="0"/>
        <w:autoSpaceDN w:val="0"/>
        <w:bidi w:val="0"/>
        <w:adjustRightInd w:val="0"/>
        <w:snapToGrid w:val="0"/>
        <w:spacing w:line="360" w:lineRule="auto"/>
        <w:ind w:firstLine="420" w:firstLineChars="200"/>
        <w:textAlignment w:val="auto"/>
        <w:rPr>
          <w:rFonts w:hint="eastAsia"/>
          <w:bCs/>
          <w:color w:val="auto"/>
          <w:highlight w:val="none"/>
        </w:rPr>
      </w:pPr>
      <w:r>
        <w:rPr>
          <w:rFonts w:hint="eastAsia"/>
          <w:b w:val="0"/>
          <w:bCs w:val="0"/>
          <w:color w:val="auto"/>
          <w:highlight w:val="none"/>
        </w:rPr>
        <w:t>样品配置清单或规格型号说明书</w:t>
      </w:r>
      <w:r>
        <w:rPr>
          <w:rFonts w:hint="eastAsia"/>
          <w:b w:val="0"/>
          <w:bCs w:val="0"/>
          <w:color w:val="auto"/>
          <w:highlight w:val="none"/>
          <w:lang w:eastAsia="zh-CN"/>
        </w:rPr>
        <w:t>，</w:t>
      </w:r>
      <w:r>
        <w:rPr>
          <w:rFonts w:hint="eastAsia"/>
          <w:b w:val="0"/>
          <w:bCs w:val="0"/>
          <w:color w:val="auto"/>
          <w:highlight w:val="none"/>
          <w:lang w:val="en-US" w:eastAsia="zh-CN"/>
        </w:rPr>
        <w:t>按包分别单独密封递交。</w:t>
      </w:r>
    </w:p>
    <w:p w14:paraId="1A8E0A63">
      <w:pPr>
        <w:pStyle w:val="3"/>
        <w:keepNext w:val="0"/>
        <w:keepLines w:val="0"/>
        <w:pageBreakBefore w:val="0"/>
        <w:numPr>
          <w:ilvl w:val="0"/>
          <w:numId w:val="1"/>
        </w:numPr>
        <w:kinsoku/>
        <w:wordWrap/>
        <w:overflowPunct/>
        <w:topLinePunct w:val="0"/>
        <w:autoSpaceDE w:val="0"/>
        <w:autoSpaceDN w:val="0"/>
        <w:bidi w:val="0"/>
        <w:adjustRightInd w:val="0"/>
        <w:snapToGrid w:val="0"/>
        <w:spacing w:line="360" w:lineRule="auto"/>
        <w:ind w:firstLine="422" w:firstLineChars="200"/>
        <w:textAlignment w:val="auto"/>
        <w:rPr>
          <w:rFonts w:hint="eastAsia"/>
          <w:bCs/>
          <w:color w:val="auto"/>
          <w:highlight w:val="none"/>
        </w:rPr>
      </w:pPr>
      <w:r>
        <w:rPr>
          <w:rFonts w:hint="eastAsia"/>
          <w:b/>
          <w:bCs/>
          <w:color w:val="auto"/>
          <w:sz w:val="21"/>
          <w:szCs w:val="21"/>
          <w:highlight w:val="none"/>
        </w:rPr>
        <w:t>密封袋</w:t>
      </w:r>
      <w:r>
        <w:rPr>
          <w:rFonts w:hint="eastAsia"/>
          <w:b/>
          <w:bCs/>
          <w:color w:val="auto"/>
          <w:sz w:val="21"/>
          <w:szCs w:val="21"/>
          <w:highlight w:val="none"/>
          <w:lang w:val="en-US" w:eastAsia="zh-CN"/>
        </w:rPr>
        <w:t>封面需注明：</w:t>
      </w:r>
      <w:r>
        <w:rPr>
          <w:rFonts w:hint="eastAsia"/>
          <w:color w:val="auto"/>
          <w:sz w:val="21"/>
          <w:szCs w:val="21"/>
          <w:highlight w:val="none"/>
        </w:rPr>
        <w:t>项目名称、项目编号、包号、产品名称、资料</w:t>
      </w:r>
      <w:r>
        <w:rPr>
          <w:rFonts w:hint="eastAsia"/>
          <w:color w:val="auto"/>
          <w:sz w:val="21"/>
          <w:szCs w:val="21"/>
          <w:highlight w:val="none"/>
          <w:lang w:val="en-US" w:eastAsia="zh-CN"/>
        </w:rPr>
        <w:t>名称</w:t>
      </w:r>
      <w:r>
        <w:rPr>
          <w:rFonts w:hint="eastAsia"/>
          <w:color w:val="auto"/>
          <w:sz w:val="21"/>
          <w:szCs w:val="21"/>
          <w:highlight w:val="none"/>
          <w:lang w:eastAsia="zh-CN"/>
        </w:rPr>
        <w:t>、</w:t>
      </w:r>
      <w:r>
        <w:rPr>
          <w:rFonts w:hint="eastAsia"/>
          <w:color w:val="auto"/>
          <w:sz w:val="21"/>
          <w:szCs w:val="21"/>
          <w:highlight w:val="none"/>
        </w:rPr>
        <w:t>投标人全称、法定代表人或其委托代理人。</w:t>
      </w:r>
    </w:p>
    <w:p w14:paraId="4CE319C6">
      <w:pPr>
        <w:pStyle w:val="9"/>
        <w:keepNext w:val="0"/>
        <w:keepLines w:val="0"/>
        <w:pageBreakBefore w:val="0"/>
        <w:numPr>
          <w:ilvl w:val="0"/>
          <w:numId w:val="0"/>
        </w:numPr>
        <w:kinsoku/>
        <w:wordWrap/>
        <w:overflowPunct/>
        <w:topLinePunct w:val="0"/>
        <w:autoSpaceDE w:val="0"/>
        <w:autoSpaceDN w:val="0"/>
        <w:bidi w:val="0"/>
        <w:adjustRightInd w:val="0"/>
        <w:snapToGrid w:val="0"/>
        <w:spacing w:line="360" w:lineRule="auto"/>
        <w:ind w:left="0" w:leftChars="0" w:firstLine="420" w:firstLineChars="200"/>
        <w:textAlignment w:val="auto"/>
        <w:outlineLvl w:val="9"/>
        <w:rPr>
          <w:rFonts w:hint="default"/>
          <w:b w:val="0"/>
          <w:bCs w:val="0"/>
          <w:color w:val="auto"/>
          <w:highlight w:val="none"/>
          <w:lang w:val="en-US"/>
        </w:rPr>
      </w:pPr>
      <w:r>
        <w:rPr>
          <w:rFonts w:hint="eastAsia"/>
          <w:b w:val="0"/>
          <w:bCs w:val="0"/>
          <w:color w:val="auto"/>
          <w:highlight w:val="none"/>
        </w:rPr>
        <w:t>由于此次采购标包较多，请投标人尽量</w:t>
      </w:r>
      <w:r>
        <w:rPr>
          <w:rFonts w:hint="eastAsia"/>
          <w:b w:val="0"/>
          <w:bCs w:val="0"/>
          <w:color w:val="auto"/>
          <w:highlight w:val="none"/>
          <w:lang w:val="en-US" w:eastAsia="zh-CN"/>
        </w:rPr>
        <w:t>于投标截止时间的</w:t>
      </w:r>
      <w:r>
        <w:rPr>
          <w:rFonts w:hint="eastAsia"/>
          <w:b w:val="0"/>
          <w:bCs w:val="0"/>
          <w:color w:val="auto"/>
          <w:highlight w:val="none"/>
        </w:rPr>
        <w:t>提前1日前往投标文件</w:t>
      </w:r>
      <w:r>
        <w:rPr>
          <w:rFonts w:hint="eastAsia"/>
          <w:b w:val="0"/>
          <w:bCs w:val="0"/>
          <w:color w:val="auto"/>
          <w:highlight w:val="none"/>
          <w:lang w:eastAsia="zh-CN"/>
        </w:rPr>
        <w:t>（</w:t>
      </w:r>
      <w:r>
        <w:rPr>
          <w:rFonts w:hint="eastAsia"/>
          <w:b w:val="0"/>
          <w:bCs w:val="0"/>
          <w:color w:val="auto"/>
          <w:highlight w:val="none"/>
          <w:lang w:val="en-US" w:eastAsia="zh-CN"/>
        </w:rPr>
        <w:t>含样品</w:t>
      </w:r>
      <w:r>
        <w:rPr>
          <w:rFonts w:hint="eastAsia"/>
          <w:b w:val="0"/>
          <w:bCs w:val="0"/>
          <w:color w:val="auto"/>
          <w:highlight w:val="none"/>
          <w:lang w:eastAsia="zh-CN"/>
        </w:rPr>
        <w:t>）</w:t>
      </w:r>
      <w:r>
        <w:rPr>
          <w:rFonts w:hint="eastAsia"/>
          <w:b w:val="0"/>
          <w:bCs w:val="0"/>
          <w:color w:val="auto"/>
          <w:highlight w:val="none"/>
        </w:rPr>
        <w:t>接收地点递交</w:t>
      </w:r>
      <w:r>
        <w:rPr>
          <w:rFonts w:hint="eastAsia"/>
          <w:b w:val="0"/>
          <w:bCs w:val="0"/>
          <w:color w:val="auto"/>
          <w:highlight w:val="none"/>
          <w:lang w:val="en-US" w:eastAsia="zh-CN"/>
        </w:rPr>
        <w:t>上述纸质投标文件（含样品）。</w:t>
      </w:r>
    </w:p>
    <w:p w14:paraId="0899573F">
      <w:pPr>
        <w:pStyle w:val="3"/>
        <w:keepNext w:val="0"/>
        <w:keepLines w:val="0"/>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bCs/>
          <w:color w:val="auto"/>
          <w:highlight w:val="none"/>
          <w:lang w:val="en-US" w:eastAsia="zh-CN"/>
        </w:rPr>
      </w:pPr>
      <w:r>
        <w:rPr>
          <w:rFonts w:hint="eastAsia"/>
          <w:bCs/>
          <w:color w:val="auto"/>
          <w:highlight w:val="none"/>
          <w:lang w:val="en-US" w:eastAsia="zh-CN"/>
        </w:rPr>
        <w:t>3、注意事项：</w:t>
      </w:r>
    </w:p>
    <w:p w14:paraId="72D58BD7">
      <w:pPr>
        <w:pStyle w:val="3"/>
        <w:keepNext w:val="0"/>
        <w:keepLines w:val="0"/>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bCs/>
          <w:color w:val="auto"/>
          <w:highlight w:val="none"/>
        </w:rPr>
      </w:pPr>
      <w:r>
        <w:rPr>
          <w:rFonts w:hint="eastAsia"/>
          <w:bCs/>
          <w:color w:val="auto"/>
          <w:highlight w:val="none"/>
        </w:rPr>
        <w:t>（</w:t>
      </w:r>
      <w:r>
        <w:rPr>
          <w:rFonts w:hint="eastAsia"/>
          <w:bCs/>
          <w:color w:val="auto"/>
          <w:highlight w:val="none"/>
          <w:lang w:val="en-US" w:eastAsia="zh-CN"/>
        </w:rPr>
        <w:t>1</w:t>
      </w:r>
      <w:r>
        <w:rPr>
          <w:rFonts w:hint="eastAsia"/>
          <w:bCs/>
          <w:color w:val="auto"/>
          <w:highlight w:val="none"/>
        </w:rPr>
        <w:t>）加密电子投标文件须在投标截止时间前</w:t>
      </w:r>
      <w:r>
        <w:rPr>
          <w:rFonts w:hint="eastAsia"/>
          <w:bCs/>
          <w:color w:val="auto"/>
          <w:highlight w:val="none"/>
          <w:lang w:val="en-US" w:eastAsia="zh-CN"/>
        </w:rPr>
        <w:t>于</w:t>
      </w:r>
      <w:r>
        <w:rPr>
          <w:rFonts w:hint="eastAsia"/>
          <w:bCs/>
          <w:color w:val="auto"/>
          <w:highlight w:val="none"/>
        </w:rPr>
        <w:t>电子交易平台加密上传成功后下载投标回执。纸质投标文件</w:t>
      </w:r>
      <w:r>
        <w:rPr>
          <w:rFonts w:hint="eastAsia"/>
          <w:bCs/>
          <w:color w:val="auto"/>
          <w:highlight w:val="none"/>
          <w:lang w:val="en-US" w:eastAsia="zh-CN"/>
        </w:rPr>
        <w:t>（含样品）</w:t>
      </w:r>
      <w:r>
        <w:rPr>
          <w:rFonts w:hint="eastAsia"/>
          <w:bCs/>
          <w:color w:val="auto"/>
          <w:highlight w:val="none"/>
        </w:rPr>
        <w:t>须在投标截止时间前递交到指定地点并做好送达登记（递交人员需携带法人授权委托书及授权人的身份证至指定地点递交并登记，不接受快递公司或物流公司工作人员代登记）。逾期上传</w:t>
      </w:r>
      <w:r>
        <w:rPr>
          <w:rFonts w:hint="eastAsia"/>
          <w:bCs/>
          <w:color w:val="auto"/>
          <w:highlight w:val="none"/>
          <w:lang w:eastAsia="zh-CN"/>
        </w:rPr>
        <w:t>、</w:t>
      </w:r>
      <w:r>
        <w:rPr>
          <w:rFonts w:hint="eastAsia"/>
          <w:bCs/>
          <w:color w:val="auto"/>
          <w:highlight w:val="none"/>
        </w:rPr>
        <w:t>送达的投标文件将予以拒收，其投标为无效投标。</w:t>
      </w:r>
    </w:p>
    <w:p w14:paraId="712BB435">
      <w:pPr>
        <w:pStyle w:val="3"/>
        <w:keepNext w:val="0"/>
        <w:keepLines w:val="0"/>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b w:val="0"/>
          <w:bCs/>
          <w:color w:val="auto"/>
          <w:highlight w:val="none"/>
          <w:lang w:eastAsia="zh-CN"/>
        </w:rPr>
      </w:pPr>
      <w:r>
        <w:rPr>
          <w:rFonts w:hint="eastAsia" w:ascii="宋体" w:hAnsi="宋体" w:eastAsia="宋体"/>
          <w:b w:val="0"/>
          <w:bCs/>
          <w:color w:val="auto"/>
          <w:highlight w:val="none"/>
          <w:lang w:eastAsia="zh-CN"/>
        </w:rPr>
        <w:t>（</w:t>
      </w:r>
      <w:r>
        <w:rPr>
          <w:rFonts w:hint="eastAsia" w:ascii="宋体" w:hAnsi="宋体" w:eastAsia="宋体"/>
          <w:b w:val="0"/>
          <w:bCs/>
          <w:color w:val="auto"/>
          <w:highlight w:val="none"/>
          <w:lang w:val="en-US" w:eastAsia="zh-CN"/>
        </w:rPr>
        <w:t>2</w:t>
      </w:r>
      <w:r>
        <w:rPr>
          <w:rFonts w:hint="eastAsia" w:ascii="宋体" w:hAnsi="宋体" w:eastAsia="宋体"/>
          <w:b w:val="0"/>
          <w:bCs/>
          <w:color w:val="auto"/>
          <w:highlight w:val="none"/>
          <w:lang w:eastAsia="zh-CN"/>
        </w:rPr>
        <w:t>）</w:t>
      </w:r>
      <w:r>
        <w:rPr>
          <w:rFonts w:hint="eastAsia" w:ascii="宋体" w:hAnsi="宋体" w:eastAsia="宋体"/>
          <w:bCs/>
          <w:color w:val="auto"/>
          <w:highlight w:val="none"/>
        </w:rPr>
        <w:t>本次开标会将通过中招联合招标采购平台远程进行，</w:t>
      </w:r>
      <w:r>
        <w:rPr>
          <w:rFonts w:hint="eastAsia" w:ascii="宋体" w:hAnsi="宋体" w:eastAsia="宋体"/>
          <w:b w:val="0"/>
          <w:bCs/>
          <w:color w:val="auto"/>
          <w:highlight w:val="none"/>
          <w:lang w:val="en-US" w:eastAsia="zh-CN"/>
        </w:rPr>
        <w:t>投</w:t>
      </w:r>
      <w:r>
        <w:rPr>
          <w:rFonts w:hint="eastAsia" w:ascii="宋体" w:hAnsi="宋体" w:eastAsia="宋体"/>
          <w:b w:val="0"/>
          <w:bCs/>
          <w:color w:val="auto"/>
          <w:highlight w:val="none"/>
        </w:rPr>
        <w:t>标</w:t>
      </w:r>
      <w:r>
        <w:rPr>
          <w:rFonts w:hint="eastAsia" w:ascii="宋体" w:hAnsi="宋体" w:eastAsia="宋体"/>
          <w:b w:val="0"/>
          <w:bCs/>
          <w:color w:val="auto"/>
          <w:highlight w:val="none"/>
          <w:lang w:val="en-US" w:eastAsia="zh-CN"/>
        </w:rPr>
        <w:t>截止时间</w:t>
      </w:r>
      <w:r>
        <w:rPr>
          <w:rFonts w:hint="eastAsia" w:ascii="宋体" w:hAnsi="宋体" w:eastAsia="宋体"/>
          <w:b w:val="0"/>
          <w:bCs/>
          <w:color w:val="auto"/>
          <w:highlight w:val="none"/>
        </w:rPr>
        <w:t>后电子集中解密，无需投标单位代表到场，各单位授权代表登录中招联合招标采购平台开标大厅</w:t>
      </w:r>
      <w:r>
        <w:rPr>
          <w:rFonts w:hint="eastAsia" w:ascii="宋体" w:hAnsi="宋体" w:eastAsia="宋体"/>
          <w:b w:val="0"/>
          <w:bCs/>
          <w:color w:val="auto"/>
          <w:highlight w:val="none"/>
          <w:lang w:eastAsia="zh-CN"/>
        </w:rPr>
        <w:t>，</w:t>
      </w:r>
      <w:r>
        <w:rPr>
          <w:rFonts w:hint="eastAsia" w:ascii="宋体" w:hAnsi="宋体" w:eastAsia="宋体"/>
          <w:bCs/>
          <w:color w:val="auto"/>
          <w:highlight w:val="none"/>
        </w:rPr>
        <w:t>开标后及时扫码签字确认开标</w:t>
      </w:r>
      <w:r>
        <w:rPr>
          <w:rFonts w:hint="eastAsia" w:ascii="宋体" w:hAnsi="宋体" w:eastAsia="宋体"/>
          <w:b w:val="0"/>
          <w:bCs/>
          <w:color w:val="auto"/>
          <w:highlight w:val="none"/>
        </w:rPr>
        <w:t>结果</w:t>
      </w:r>
      <w:r>
        <w:rPr>
          <w:rFonts w:hint="eastAsia" w:ascii="宋体" w:hAnsi="宋体" w:eastAsia="宋体"/>
          <w:b w:val="0"/>
          <w:bCs/>
          <w:color w:val="auto"/>
          <w:highlight w:val="none"/>
          <w:lang w:eastAsia="zh-CN"/>
        </w:rPr>
        <w:t>。</w:t>
      </w:r>
    </w:p>
    <w:p w14:paraId="0F949955">
      <w:pPr>
        <w:pStyle w:val="3"/>
        <w:keepNext w:val="0"/>
        <w:keepLines w:val="0"/>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bCs/>
          <w:color w:val="auto"/>
          <w:highlight w:val="none"/>
        </w:rPr>
      </w:pPr>
      <w:r>
        <w:rPr>
          <w:rFonts w:hint="eastAsia"/>
          <w:bCs/>
          <w:color w:val="auto"/>
          <w:highlight w:val="none"/>
          <w:lang w:eastAsia="zh-CN"/>
        </w:rPr>
        <w:t>（</w:t>
      </w:r>
      <w:r>
        <w:rPr>
          <w:rFonts w:hint="eastAsia"/>
          <w:bCs/>
          <w:color w:val="auto"/>
          <w:highlight w:val="none"/>
          <w:lang w:val="en-US" w:eastAsia="zh-CN"/>
        </w:rPr>
        <w:t>3</w:t>
      </w:r>
      <w:r>
        <w:rPr>
          <w:rFonts w:hint="eastAsia"/>
          <w:bCs/>
          <w:color w:val="auto"/>
          <w:highlight w:val="none"/>
          <w:lang w:eastAsia="zh-CN"/>
        </w:rPr>
        <w:t>）</w:t>
      </w:r>
      <w:r>
        <w:rPr>
          <w:rFonts w:hint="eastAsia"/>
          <w:bCs/>
          <w:color w:val="auto"/>
          <w:highlight w:val="none"/>
        </w:rPr>
        <w:t>开标、评标以投标人上传</w:t>
      </w:r>
      <w:r>
        <w:rPr>
          <w:rFonts w:hint="eastAsia"/>
          <w:bCs/>
          <w:color w:val="auto"/>
          <w:highlight w:val="none"/>
          <w:lang w:eastAsia="zh-CN"/>
        </w:rPr>
        <w:t>的</w:t>
      </w:r>
      <w:r>
        <w:rPr>
          <w:rFonts w:hint="eastAsia"/>
          <w:bCs/>
          <w:color w:val="auto"/>
          <w:highlight w:val="none"/>
        </w:rPr>
        <w:t>加密电子投标文件内容为准；当投标人上传</w:t>
      </w:r>
      <w:r>
        <w:rPr>
          <w:rFonts w:hint="eastAsia"/>
          <w:bCs/>
          <w:color w:val="auto"/>
          <w:highlight w:val="none"/>
          <w:lang w:eastAsia="zh-CN"/>
        </w:rPr>
        <w:t>的</w:t>
      </w:r>
      <w:r>
        <w:rPr>
          <w:rFonts w:hint="eastAsia"/>
          <w:bCs/>
          <w:color w:val="auto"/>
          <w:highlight w:val="none"/>
        </w:rPr>
        <w:t>加密电子投标文件非由投标人的责任导致开标现场解密异常，无法正常打开时，投标人需提供平台发送的证明其成功上传投标文件的投标回执，经验证</w:t>
      </w:r>
      <w:r>
        <w:rPr>
          <w:rFonts w:hint="eastAsia"/>
          <w:bCs/>
          <w:color w:val="auto"/>
          <w:highlight w:val="none"/>
          <w:lang w:val="en-US" w:eastAsia="zh-CN"/>
        </w:rPr>
        <w:t>有效</w:t>
      </w:r>
      <w:r>
        <w:rPr>
          <w:rFonts w:hint="eastAsia"/>
          <w:bCs/>
          <w:color w:val="auto"/>
          <w:highlight w:val="none"/>
        </w:rPr>
        <w:t>后</w:t>
      </w:r>
      <w:r>
        <w:rPr>
          <w:rFonts w:hint="eastAsia"/>
          <w:bCs/>
          <w:color w:val="auto"/>
          <w:highlight w:val="none"/>
          <w:lang w:eastAsia="zh-CN"/>
        </w:rPr>
        <w:t>的</w:t>
      </w:r>
      <w:r>
        <w:rPr>
          <w:rFonts w:hint="eastAsia"/>
          <w:bCs/>
          <w:color w:val="auto"/>
          <w:highlight w:val="none"/>
        </w:rPr>
        <w:t>投标人继续参与开标，开标、评标环节以该投标人提交的纸质投标文件内容为准。</w:t>
      </w:r>
    </w:p>
    <w:p w14:paraId="6A71A44F">
      <w:pPr>
        <w:pStyle w:val="3"/>
        <w:ind w:firstLine="422" w:firstLineChars="200"/>
        <w:rPr>
          <w:rFonts w:hint="eastAsia"/>
          <w:b/>
          <w:color w:val="auto"/>
          <w:sz w:val="21"/>
          <w:szCs w:val="21"/>
          <w:highlight w:val="none"/>
        </w:rPr>
      </w:pPr>
      <w:r>
        <w:rPr>
          <w:rFonts w:hint="eastAsia"/>
          <w:b/>
          <w:color w:val="auto"/>
          <w:sz w:val="21"/>
          <w:szCs w:val="21"/>
          <w:highlight w:val="none"/>
        </w:rPr>
        <w:t>五、公告期限</w:t>
      </w:r>
    </w:p>
    <w:p w14:paraId="6902B32D">
      <w:pPr>
        <w:pStyle w:val="3"/>
        <w:spacing w:line="360" w:lineRule="auto"/>
        <w:ind w:firstLine="420" w:firstLineChars="200"/>
        <w:rPr>
          <w:rFonts w:hint="eastAsia"/>
          <w:color w:val="auto"/>
          <w:highlight w:val="none"/>
        </w:rPr>
      </w:pPr>
      <w:r>
        <w:rPr>
          <w:rFonts w:hint="eastAsia"/>
          <w:bCs/>
          <w:color w:val="auto"/>
          <w:highlight w:val="none"/>
        </w:rPr>
        <w:t>自本公告发布之日起5个工作日。</w:t>
      </w:r>
    </w:p>
    <w:p w14:paraId="36656F8D">
      <w:pPr>
        <w:pStyle w:val="12"/>
        <w:spacing w:line="360" w:lineRule="auto"/>
        <w:ind w:left="0"/>
        <w:outlineLvl w:val="1"/>
        <w:rPr>
          <w:rFonts w:hint="eastAsia"/>
          <w:b/>
          <w:color w:val="auto"/>
          <w:sz w:val="21"/>
          <w:szCs w:val="21"/>
          <w:highlight w:val="none"/>
        </w:rPr>
      </w:pPr>
      <w:r>
        <w:rPr>
          <w:rFonts w:hint="eastAsia"/>
          <w:b/>
          <w:color w:val="auto"/>
          <w:sz w:val="21"/>
          <w:szCs w:val="21"/>
          <w:highlight w:val="none"/>
        </w:rPr>
        <w:t>六、其他补充事宜</w:t>
      </w:r>
    </w:p>
    <w:p w14:paraId="471F468F">
      <w:pPr>
        <w:pStyle w:val="3"/>
        <w:spacing w:line="360" w:lineRule="auto"/>
        <w:ind w:firstLine="420" w:firstLineChars="200"/>
        <w:rPr>
          <w:rFonts w:hint="eastAsia"/>
          <w:bCs/>
          <w:color w:val="auto"/>
          <w:highlight w:val="none"/>
        </w:rPr>
      </w:pPr>
      <w:r>
        <w:rPr>
          <w:rFonts w:hint="eastAsia"/>
          <w:bCs/>
          <w:color w:val="auto"/>
          <w:highlight w:val="none"/>
          <w:lang w:val="en-US" w:eastAsia="zh-CN"/>
        </w:rPr>
        <w:t>6.1</w:t>
      </w:r>
      <w:r>
        <w:rPr>
          <w:rFonts w:hint="eastAsia"/>
          <w:bCs/>
          <w:color w:val="auto"/>
          <w:highlight w:val="none"/>
        </w:rPr>
        <w:t>本项目在中国政府采购网网站发布公告。</w:t>
      </w:r>
    </w:p>
    <w:p w14:paraId="2E2B3236">
      <w:pPr>
        <w:pStyle w:val="3"/>
        <w:spacing w:line="360" w:lineRule="auto"/>
        <w:ind w:firstLine="420" w:firstLineChars="200"/>
        <w:rPr>
          <w:rFonts w:hint="eastAsia"/>
          <w:bCs/>
          <w:color w:val="auto"/>
          <w:highlight w:val="none"/>
        </w:rPr>
      </w:pPr>
      <w:r>
        <w:rPr>
          <w:rFonts w:hint="eastAsia"/>
          <w:bCs/>
          <w:color w:val="auto"/>
          <w:highlight w:val="none"/>
          <w:lang w:val="en-US" w:eastAsia="zh-CN"/>
        </w:rPr>
        <w:t>6.2</w:t>
      </w:r>
      <w:r>
        <w:rPr>
          <w:rFonts w:hint="eastAsia"/>
          <w:bCs/>
          <w:color w:val="auto"/>
          <w:highlight w:val="none"/>
        </w:rPr>
        <w:t>本次招标请按“包”下载招标文件，编制、密封、提交投标文件，并按“包”开标、评标。</w:t>
      </w:r>
    </w:p>
    <w:p w14:paraId="07CA532F">
      <w:pPr>
        <w:pStyle w:val="3"/>
        <w:spacing w:line="360" w:lineRule="auto"/>
        <w:ind w:firstLine="420" w:firstLineChars="200"/>
        <w:rPr>
          <w:rFonts w:hint="eastAsia"/>
          <w:bCs/>
          <w:color w:val="auto"/>
          <w:highlight w:val="none"/>
        </w:rPr>
      </w:pPr>
      <w:r>
        <w:rPr>
          <w:rFonts w:hint="eastAsia"/>
          <w:bCs/>
          <w:color w:val="auto"/>
          <w:highlight w:val="none"/>
        </w:rPr>
        <w:t>勘察现场或答疑：无。</w:t>
      </w:r>
    </w:p>
    <w:p w14:paraId="13808881">
      <w:pPr>
        <w:pStyle w:val="3"/>
        <w:spacing w:line="360" w:lineRule="auto"/>
        <w:ind w:firstLine="422" w:firstLineChars="200"/>
        <w:rPr>
          <w:rFonts w:hint="eastAsia"/>
          <w:b/>
          <w:bCs/>
          <w:color w:val="auto"/>
          <w:highlight w:val="none"/>
        </w:rPr>
      </w:pPr>
      <w:r>
        <w:rPr>
          <w:rFonts w:hint="eastAsia"/>
          <w:b/>
          <w:bCs/>
          <w:color w:val="auto"/>
          <w:highlight w:val="none"/>
          <w:lang w:val="en-US" w:eastAsia="zh-CN"/>
        </w:rPr>
        <w:t>6.3</w:t>
      </w:r>
      <w:r>
        <w:rPr>
          <w:rFonts w:hint="eastAsia"/>
          <w:b/>
          <w:bCs/>
          <w:color w:val="auto"/>
          <w:highlight w:val="none"/>
        </w:rPr>
        <w:t>投标样品需在规定时间内至送交地点取回，未在规定时间内取回样品视为无需取回不予保管。</w:t>
      </w:r>
    </w:p>
    <w:p w14:paraId="5FCDF380">
      <w:pPr>
        <w:pStyle w:val="12"/>
        <w:spacing w:line="360" w:lineRule="auto"/>
        <w:ind w:left="0"/>
        <w:outlineLvl w:val="1"/>
        <w:rPr>
          <w:rFonts w:hint="eastAsia"/>
          <w:b/>
          <w:color w:val="auto"/>
          <w:sz w:val="21"/>
          <w:szCs w:val="21"/>
          <w:highlight w:val="none"/>
        </w:rPr>
      </w:pPr>
      <w:r>
        <w:rPr>
          <w:rFonts w:hint="eastAsia"/>
          <w:b/>
          <w:color w:val="auto"/>
          <w:sz w:val="21"/>
          <w:szCs w:val="21"/>
          <w:highlight w:val="none"/>
        </w:rPr>
        <w:t>七、对本次招标提出询问，请按以下方式联系。</w:t>
      </w:r>
    </w:p>
    <w:p w14:paraId="148B39A3">
      <w:pPr>
        <w:pStyle w:val="8"/>
        <w:tabs>
          <w:tab w:val="left" w:pos="1468"/>
        </w:tabs>
        <w:spacing w:line="360" w:lineRule="auto"/>
        <w:ind w:left="0" w:firstLineChars="200"/>
        <w:rPr>
          <w:rFonts w:hint="eastAsia"/>
          <w:color w:val="auto"/>
          <w:sz w:val="21"/>
          <w:szCs w:val="21"/>
          <w:highlight w:val="none"/>
        </w:rPr>
      </w:pPr>
      <w:r>
        <w:rPr>
          <w:rFonts w:hint="eastAsia"/>
          <w:color w:val="auto"/>
          <w:sz w:val="21"/>
          <w:szCs w:val="21"/>
          <w:highlight w:val="none"/>
        </w:rPr>
        <w:t>7.1采购人信息：</w:t>
      </w:r>
    </w:p>
    <w:p w14:paraId="2EB2E3EE">
      <w:pPr>
        <w:pStyle w:val="3"/>
        <w:spacing w:line="360" w:lineRule="auto"/>
        <w:ind w:firstLine="420" w:firstLineChars="200"/>
        <w:rPr>
          <w:rFonts w:hint="eastAsia"/>
          <w:color w:val="auto"/>
          <w:highlight w:val="none"/>
        </w:rPr>
      </w:pPr>
      <w:r>
        <w:rPr>
          <w:rFonts w:hint="eastAsia"/>
          <w:color w:val="auto"/>
          <w:highlight w:val="none"/>
        </w:rPr>
        <w:t>名称：江苏省消防救援总队</w:t>
      </w:r>
    </w:p>
    <w:p w14:paraId="726AF802">
      <w:pPr>
        <w:pStyle w:val="3"/>
        <w:spacing w:line="360" w:lineRule="auto"/>
        <w:ind w:firstLine="420" w:firstLineChars="200"/>
        <w:rPr>
          <w:rFonts w:hint="eastAsia"/>
          <w:color w:val="auto"/>
          <w:highlight w:val="none"/>
        </w:rPr>
      </w:pPr>
      <w:r>
        <w:rPr>
          <w:rFonts w:hint="eastAsia"/>
          <w:color w:val="auto"/>
          <w:highlight w:val="none"/>
        </w:rPr>
        <w:t>地址：南京市鼓楼区月光广场6号</w:t>
      </w:r>
    </w:p>
    <w:p w14:paraId="77E9F933">
      <w:pPr>
        <w:pStyle w:val="3"/>
        <w:spacing w:line="360" w:lineRule="auto"/>
        <w:ind w:firstLine="420" w:firstLineChars="200"/>
        <w:rPr>
          <w:rFonts w:hint="eastAsia" w:eastAsia="宋体"/>
          <w:color w:val="auto"/>
          <w:highlight w:val="none"/>
          <w:lang w:val="en-US" w:eastAsia="zh-CN"/>
        </w:rPr>
      </w:pPr>
      <w:r>
        <w:rPr>
          <w:rFonts w:hint="eastAsia"/>
          <w:color w:val="auto"/>
          <w:highlight w:val="none"/>
        </w:rPr>
        <w:t>联系人：</w:t>
      </w:r>
      <w:r>
        <w:rPr>
          <w:rFonts w:hint="eastAsia"/>
          <w:color w:val="auto"/>
          <w:highlight w:val="none"/>
          <w:lang w:val="en-US" w:eastAsia="zh-CN"/>
        </w:rPr>
        <w:t>周工</w:t>
      </w:r>
    </w:p>
    <w:p w14:paraId="3139F1E0">
      <w:pPr>
        <w:pStyle w:val="8"/>
        <w:tabs>
          <w:tab w:val="left" w:pos="1468"/>
        </w:tabs>
        <w:spacing w:line="360" w:lineRule="auto"/>
        <w:ind w:left="0" w:firstLineChars="200"/>
        <w:rPr>
          <w:rFonts w:hint="eastAsia"/>
          <w:color w:val="auto"/>
          <w:sz w:val="21"/>
          <w:szCs w:val="21"/>
          <w:highlight w:val="none"/>
        </w:rPr>
      </w:pPr>
      <w:r>
        <w:rPr>
          <w:rFonts w:hint="eastAsia"/>
          <w:color w:val="auto"/>
          <w:sz w:val="21"/>
          <w:szCs w:val="21"/>
          <w:highlight w:val="none"/>
        </w:rPr>
        <w:t>联系方式：025-86335357</w:t>
      </w:r>
    </w:p>
    <w:p w14:paraId="08BC6765">
      <w:pPr>
        <w:pStyle w:val="8"/>
        <w:tabs>
          <w:tab w:val="left" w:pos="1468"/>
        </w:tabs>
        <w:spacing w:line="360" w:lineRule="auto"/>
        <w:ind w:left="0" w:firstLineChars="200"/>
        <w:rPr>
          <w:rFonts w:hint="eastAsia"/>
          <w:color w:val="auto"/>
          <w:sz w:val="21"/>
          <w:szCs w:val="21"/>
          <w:highlight w:val="none"/>
        </w:rPr>
      </w:pPr>
      <w:r>
        <w:rPr>
          <w:rFonts w:hint="eastAsia"/>
          <w:color w:val="auto"/>
          <w:sz w:val="21"/>
          <w:szCs w:val="21"/>
          <w:highlight w:val="none"/>
        </w:rPr>
        <w:t>7.2采购代理机构信息：</w:t>
      </w:r>
    </w:p>
    <w:p w14:paraId="1D6B7DE6">
      <w:pPr>
        <w:pStyle w:val="3"/>
        <w:spacing w:line="360" w:lineRule="auto"/>
        <w:ind w:firstLine="420" w:firstLineChars="200"/>
        <w:rPr>
          <w:rFonts w:hint="eastAsia" w:eastAsia="宋体"/>
          <w:color w:val="auto"/>
          <w:highlight w:val="none"/>
          <w:lang w:eastAsia="zh-CN"/>
        </w:rPr>
      </w:pPr>
      <w:r>
        <w:rPr>
          <w:rFonts w:hint="eastAsia"/>
          <w:color w:val="auto"/>
          <w:highlight w:val="none"/>
        </w:rPr>
        <w:t>名称：</w:t>
      </w:r>
      <w:r>
        <w:rPr>
          <w:rFonts w:hint="eastAsia"/>
          <w:color w:val="auto"/>
          <w:highlight w:val="none"/>
          <w:lang w:eastAsia="zh-CN"/>
        </w:rPr>
        <w:t>苏美达国际技术贸易有限公司</w:t>
      </w:r>
    </w:p>
    <w:p w14:paraId="157A8317">
      <w:pPr>
        <w:pStyle w:val="3"/>
        <w:spacing w:line="360" w:lineRule="auto"/>
        <w:ind w:firstLine="420" w:firstLineChars="200"/>
        <w:rPr>
          <w:rFonts w:hint="eastAsia" w:eastAsia="宋体"/>
          <w:color w:val="auto"/>
          <w:highlight w:val="none"/>
          <w:lang w:eastAsia="zh-CN"/>
        </w:rPr>
      </w:pPr>
      <w:r>
        <w:rPr>
          <w:rFonts w:hint="eastAsia"/>
          <w:color w:val="auto"/>
          <w:highlight w:val="none"/>
        </w:rPr>
        <w:t>地址：</w:t>
      </w:r>
      <w:r>
        <w:rPr>
          <w:rFonts w:hint="eastAsia"/>
          <w:color w:val="auto"/>
          <w:highlight w:val="none"/>
          <w:lang w:eastAsia="zh-CN"/>
        </w:rPr>
        <w:t>南京市玄武区长江路198号苏美达大厦</w:t>
      </w:r>
    </w:p>
    <w:p w14:paraId="0EBEA6DB">
      <w:pPr>
        <w:pStyle w:val="3"/>
        <w:keepNext w:val="0"/>
        <w:keepLines w:val="0"/>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b w:val="0"/>
          <w:color w:val="auto"/>
          <w:highlight w:val="none"/>
          <w:lang w:val="en-US" w:eastAsia="zh-CN"/>
        </w:rPr>
      </w:pPr>
      <w:r>
        <w:rPr>
          <w:rFonts w:hint="eastAsia"/>
          <w:color w:val="auto"/>
          <w:highlight w:val="none"/>
        </w:rPr>
        <w:t>联系人：</w:t>
      </w:r>
      <w:r>
        <w:rPr>
          <w:rFonts w:hint="eastAsia" w:ascii="宋体" w:hAnsi="宋体" w:eastAsia="宋体" w:cs="宋体"/>
          <w:b w:val="0"/>
          <w:color w:val="auto"/>
          <w:highlight w:val="none"/>
          <w:lang w:val="en-US" w:eastAsia="zh-CN"/>
        </w:rPr>
        <w:t>朱工、茅工</w:t>
      </w:r>
    </w:p>
    <w:p w14:paraId="4247F81A">
      <w:pPr>
        <w:pStyle w:val="3"/>
        <w:keepNext w:val="0"/>
        <w:keepLines w:val="0"/>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default" w:ascii="宋体" w:hAnsi="宋体" w:eastAsia="宋体" w:cs="宋体"/>
          <w:b w:val="0"/>
          <w:color w:val="auto"/>
          <w:highlight w:val="none"/>
          <w:lang w:val="en-US" w:eastAsia="zh-CN"/>
        </w:rPr>
      </w:pPr>
      <w:r>
        <w:rPr>
          <w:rFonts w:hint="eastAsia"/>
          <w:color w:val="auto"/>
          <w:highlight w:val="none"/>
        </w:rPr>
        <w:t>联系方式：</w:t>
      </w:r>
      <w:r>
        <w:rPr>
          <w:rFonts w:hint="eastAsia" w:ascii="宋体" w:hAnsi="宋体" w:eastAsia="宋体" w:cs="宋体"/>
          <w:b w:val="0"/>
          <w:color w:val="auto"/>
          <w:highlight w:val="none"/>
          <w:lang w:val="en-US" w:eastAsia="zh-CN"/>
        </w:rPr>
        <w:t>025-84532480、025-84532486</w:t>
      </w:r>
    </w:p>
    <w:p w14:paraId="393F8A4C">
      <w:pPr>
        <w:pStyle w:val="3"/>
        <w:keepNext w:val="0"/>
        <w:keepLines w:val="0"/>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color w:val="auto"/>
          <w:highlight w:val="none"/>
        </w:rPr>
      </w:pPr>
      <w:r>
        <w:rPr>
          <w:rFonts w:hint="eastAsia"/>
          <w:color w:val="auto"/>
          <w:highlight w:val="none"/>
        </w:rPr>
        <w:t>7.3项目联系方式</w:t>
      </w:r>
    </w:p>
    <w:p w14:paraId="1A8939C4">
      <w:pPr>
        <w:pStyle w:val="3"/>
        <w:keepNext w:val="0"/>
        <w:keepLines w:val="0"/>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b w:val="0"/>
          <w:color w:val="auto"/>
          <w:highlight w:val="none"/>
          <w:lang w:val="en-US" w:eastAsia="zh-CN"/>
        </w:rPr>
      </w:pPr>
      <w:r>
        <w:rPr>
          <w:rFonts w:hint="eastAsia"/>
          <w:color w:val="auto"/>
          <w:highlight w:val="none"/>
        </w:rPr>
        <w:t>项目联系人：</w:t>
      </w:r>
      <w:r>
        <w:rPr>
          <w:rFonts w:hint="eastAsia" w:ascii="宋体" w:hAnsi="宋体" w:eastAsia="宋体" w:cs="宋体"/>
          <w:b w:val="0"/>
          <w:color w:val="auto"/>
          <w:highlight w:val="none"/>
          <w:lang w:val="en-US" w:eastAsia="zh-CN"/>
        </w:rPr>
        <w:t>朱工、茅工</w:t>
      </w:r>
    </w:p>
    <w:p w14:paraId="13F097E8">
      <w:pPr>
        <w:pStyle w:val="3"/>
        <w:keepNext w:val="0"/>
        <w:keepLines w:val="0"/>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default" w:ascii="宋体" w:hAnsi="宋体" w:eastAsia="宋体" w:cs="宋体"/>
          <w:b w:val="0"/>
          <w:color w:val="auto"/>
          <w:highlight w:val="none"/>
          <w:lang w:val="en-US" w:eastAsia="zh-CN"/>
        </w:rPr>
      </w:pPr>
      <w:r>
        <w:rPr>
          <w:rFonts w:hint="eastAsia"/>
          <w:color w:val="auto"/>
          <w:highlight w:val="none"/>
        </w:rPr>
        <w:t>电话：</w:t>
      </w:r>
      <w:r>
        <w:rPr>
          <w:rFonts w:hint="eastAsia" w:ascii="宋体" w:hAnsi="宋体" w:eastAsia="宋体" w:cs="宋体"/>
          <w:b w:val="0"/>
          <w:color w:val="auto"/>
          <w:highlight w:val="none"/>
          <w:lang w:val="en-US" w:eastAsia="zh-CN"/>
        </w:rPr>
        <w:t>025-84532480、025-84532486</w:t>
      </w:r>
    </w:p>
    <w:p w14:paraId="1CF63A80">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7A6377"/>
    <w:multiLevelType w:val="singleLevel"/>
    <w:tmpl w:val="317A6377"/>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361374"/>
    <w:rsid w:val="4E3613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customStyle="1" w:styleId="2">
    <w:name w:val="BodyText"/>
    <w:basedOn w:val="1"/>
    <w:qFormat/>
    <w:uiPriority w:val="0"/>
    <w:pPr>
      <w:spacing w:after="120"/>
      <w:textAlignment w:val="baseline"/>
    </w:pPr>
    <w:rPr>
      <w:rFonts w:ascii="Calibri"/>
      <w:sz w:val="20"/>
    </w:rPr>
  </w:style>
  <w:style w:type="paragraph" w:styleId="3">
    <w:name w:val="Body Text"/>
    <w:basedOn w:val="1"/>
    <w:qFormat/>
    <w:uiPriority w:val="1"/>
    <w:rPr>
      <w:rFonts w:cs="Times New Roman"/>
      <w:sz w:val="21"/>
      <w:szCs w:val="21"/>
    </w:rPr>
  </w:style>
  <w:style w:type="paragraph" w:styleId="4">
    <w:name w:val="footer"/>
    <w:basedOn w:val="1"/>
    <w:unhideWhenUsed/>
    <w:qFormat/>
    <w:uiPriority w:val="99"/>
    <w:pPr>
      <w:tabs>
        <w:tab w:val="center" w:pos="4153"/>
        <w:tab w:val="right" w:pos="8306"/>
      </w:tabs>
      <w:snapToGrid w:val="0"/>
    </w:pPr>
    <w:rPr>
      <w:rFonts w:cs="Times New Roman"/>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rFonts w:cs="Times New Roman"/>
      <w:sz w:val="18"/>
      <w:szCs w:val="18"/>
    </w:rPr>
  </w:style>
  <w:style w:type="paragraph" w:customStyle="1" w:styleId="8">
    <w:name w:val="列出段落1"/>
    <w:basedOn w:val="1"/>
    <w:qFormat/>
    <w:uiPriority w:val="1"/>
    <w:pPr>
      <w:ind w:left="680" w:firstLine="420"/>
    </w:pPr>
  </w:style>
  <w:style w:type="paragraph" w:customStyle="1" w:styleId="9">
    <w:name w:val="标题 81"/>
    <w:basedOn w:val="1"/>
    <w:qFormat/>
    <w:uiPriority w:val="1"/>
    <w:pPr>
      <w:ind w:left="680"/>
      <w:outlineLvl w:val="8"/>
    </w:pPr>
    <w:rPr>
      <w:b/>
      <w:bCs/>
      <w:sz w:val="21"/>
      <w:szCs w:val="21"/>
    </w:rPr>
  </w:style>
  <w:style w:type="character" w:customStyle="1" w:styleId="10">
    <w:name w:val="font21"/>
    <w:basedOn w:val="7"/>
    <w:uiPriority w:val="0"/>
    <w:rPr>
      <w:rFonts w:hint="eastAsia" w:ascii="宋体" w:hAnsi="宋体" w:eastAsia="宋体" w:cs="宋体"/>
      <w:color w:val="000000"/>
      <w:sz w:val="21"/>
      <w:szCs w:val="21"/>
      <w:u w:val="none"/>
    </w:rPr>
  </w:style>
  <w:style w:type="character" w:customStyle="1" w:styleId="11">
    <w:name w:val="font31"/>
    <w:basedOn w:val="7"/>
    <w:uiPriority w:val="0"/>
    <w:rPr>
      <w:rFonts w:hint="eastAsia" w:ascii="宋体" w:hAnsi="宋体" w:eastAsia="宋体" w:cs="宋体"/>
      <w:color w:val="000000"/>
      <w:sz w:val="21"/>
      <w:szCs w:val="21"/>
      <w:u w:val="none"/>
    </w:rPr>
  </w:style>
  <w:style w:type="paragraph" w:customStyle="1" w:styleId="12">
    <w:name w:val="标题 61"/>
    <w:basedOn w:val="1"/>
    <w:qFormat/>
    <w:uiPriority w:val="1"/>
    <w:pPr>
      <w:ind w:left="680"/>
      <w:outlineLvl w:val="6"/>
    </w:pPr>
    <w:rPr>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2024-12-19T10:22:00Z</dcterms:created>
  <dc:creator>就是朱洁啊</dc:creator>
  <cp:lastModifiedBy>就是朱洁啊</cp:lastModifiedBy>
  <dcterms:modified xsi:type="dcterms:W3CDTF">2024-12-19T10:23:02Z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4207427E5FA04284AE447FE98B9DA8C5_11</vt:lpwstr>
  </property>
</Properties>
</file>