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4ED75">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锡林郭勒超高压供电分公司2024年塔拉、东苏500千伏主变扩建工程核准后置手续服务采购项目</w:t>
      </w:r>
    </w:p>
    <w:p w14:paraId="4F1501DA">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5C064D47">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锡林郭勒超高压供电分公司2024年塔拉、东苏500千伏主变扩建工程核准后置手续服务采购项目</w:t>
      </w:r>
      <w:r>
        <w:rPr>
          <w:rFonts w:hint="eastAsia" w:ascii="宋体" w:hAnsi="宋体" w:eastAsia="宋体" w:cs="宋体"/>
          <w:color w:val="000000"/>
          <w:kern w:val="2"/>
          <w:sz w:val="24"/>
          <w:szCs w:val="24"/>
          <w:highlight w:val="none"/>
          <w:lang w:val="en-US" w:eastAsia="zh-CN" w:bidi="ar-SA"/>
        </w:rPr>
        <w:t>”进行询比采购，项目资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77967760">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36F9D765">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锡林郭勒超高压供电分公司2024年塔拉、东苏500千伏主变扩建工程核准后置手续服务采购项目</w:t>
      </w:r>
      <w:r>
        <w:rPr>
          <w:rFonts w:hint="eastAsia" w:ascii="宋体" w:hAnsi="宋体" w:eastAsia="宋体" w:cs="宋体"/>
          <w:color w:val="000000"/>
          <w:sz w:val="24"/>
          <w:highlight w:val="none"/>
        </w:rPr>
        <w:t>；</w:t>
      </w:r>
    </w:p>
    <w:p w14:paraId="0AA93520">
      <w:pPr>
        <w:pStyle w:val="7"/>
        <w:spacing w:after="0" w:line="360" w:lineRule="auto"/>
        <w:ind w:left="0" w:lef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项目编号：XCGS-2024-FW-</w:t>
      </w:r>
      <w:r>
        <w:rPr>
          <w:rFonts w:hint="eastAsia" w:ascii="宋体" w:hAnsi="宋体" w:cs="宋体"/>
          <w:color w:val="000000"/>
          <w:sz w:val="24"/>
          <w:highlight w:val="none"/>
          <w:lang w:val="en-US" w:eastAsia="zh-CN"/>
        </w:rPr>
        <w:t>066（ZS-QCMC-H-2024-3028）</w:t>
      </w:r>
      <w:r>
        <w:rPr>
          <w:rFonts w:hint="eastAsia" w:ascii="宋体" w:hAnsi="宋体" w:cs="宋体"/>
          <w:color w:val="000000"/>
          <w:sz w:val="24"/>
          <w:highlight w:val="none"/>
          <w:lang w:eastAsia="zh-CN"/>
        </w:rPr>
        <w:t>；</w:t>
      </w:r>
    </w:p>
    <w:p w14:paraId="2BCD5624">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7525E537">
      <w:pPr>
        <w:pStyle w:val="11"/>
        <w:spacing w:line="360" w:lineRule="auto"/>
        <w:ind w:left="0" w:leftChars="0" w:firstLine="0" w:firstLineChars="0"/>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8"/>
        <w:tblW w:w="9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2737"/>
        <w:gridCol w:w="672"/>
        <w:gridCol w:w="768"/>
        <w:gridCol w:w="1332"/>
        <w:gridCol w:w="1725"/>
        <w:gridCol w:w="1704"/>
      </w:tblGrid>
      <w:tr w14:paraId="776E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F7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938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子项目名称</w:t>
            </w:r>
          </w:p>
        </w:tc>
        <w:tc>
          <w:tcPr>
            <w:tcW w:w="672" w:type="dxa"/>
            <w:vMerge w:val="restart"/>
            <w:tcBorders>
              <w:top w:val="single" w:color="000000" w:sz="4" w:space="0"/>
              <w:left w:val="single" w:color="000000" w:sz="4" w:space="0"/>
              <w:right w:val="single" w:color="000000" w:sz="4" w:space="0"/>
            </w:tcBorders>
            <w:shd w:val="clear" w:color="auto" w:fill="auto"/>
            <w:noWrap/>
            <w:vAlign w:val="center"/>
          </w:tcPr>
          <w:p w14:paraId="59B58F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68" w:type="dxa"/>
            <w:vMerge w:val="restart"/>
            <w:tcBorders>
              <w:top w:val="single" w:color="000000" w:sz="4" w:space="0"/>
              <w:left w:val="single" w:color="000000" w:sz="4" w:space="0"/>
              <w:right w:val="single" w:color="000000" w:sz="4" w:space="0"/>
            </w:tcBorders>
            <w:shd w:val="clear" w:color="auto" w:fill="auto"/>
            <w:noWrap/>
            <w:vAlign w:val="center"/>
          </w:tcPr>
          <w:p w14:paraId="0F0CF7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05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招标拦标价格（元）</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2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分包方案</w:t>
            </w:r>
          </w:p>
        </w:tc>
      </w:tr>
      <w:tr w14:paraId="27F9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75DB">
            <w:pPr>
              <w:jc w:val="center"/>
              <w:rPr>
                <w:rFonts w:hint="eastAsia" w:ascii="宋体" w:hAnsi="宋体" w:eastAsia="宋体" w:cs="宋体"/>
                <w:i w:val="0"/>
                <w:iCs w:val="0"/>
                <w:color w:val="000000"/>
                <w:sz w:val="21"/>
                <w:szCs w:val="21"/>
                <w:u w:val="none"/>
              </w:rPr>
            </w:pPr>
          </w:p>
        </w:tc>
        <w:tc>
          <w:tcPr>
            <w:tcW w:w="2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7A4DB">
            <w:pPr>
              <w:jc w:val="center"/>
              <w:rPr>
                <w:rFonts w:hint="eastAsia" w:ascii="宋体" w:hAnsi="宋体" w:eastAsia="宋体" w:cs="宋体"/>
                <w:i w:val="0"/>
                <w:iCs w:val="0"/>
                <w:color w:val="000000"/>
                <w:sz w:val="21"/>
                <w:szCs w:val="21"/>
                <w:u w:val="none"/>
              </w:rPr>
            </w:pPr>
          </w:p>
        </w:tc>
        <w:tc>
          <w:tcPr>
            <w:tcW w:w="672" w:type="dxa"/>
            <w:vMerge w:val="continue"/>
            <w:tcBorders>
              <w:left w:val="single" w:color="000000" w:sz="4" w:space="0"/>
              <w:bottom w:val="single" w:color="000000" w:sz="4" w:space="0"/>
              <w:right w:val="single" w:color="000000" w:sz="4" w:space="0"/>
            </w:tcBorders>
            <w:shd w:val="clear" w:color="auto" w:fill="auto"/>
            <w:noWrap/>
            <w:vAlign w:val="center"/>
          </w:tcPr>
          <w:p w14:paraId="2B013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8" w:type="dxa"/>
            <w:vMerge w:val="continue"/>
            <w:tcBorders>
              <w:left w:val="single" w:color="000000" w:sz="4" w:space="0"/>
              <w:bottom w:val="single" w:color="000000" w:sz="4" w:space="0"/>
              <w:right w:val="single" w:color="000000" w:sz="4" w:space="0"/>
            </w:tcBorders>
            <w:shd w:val="clear" w:color="auto" w:fill="auto"/>
            <w:vAlign w:val="center"/>
          </w:tcPr>
          <w:p w14:paraId="1E02A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94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10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D818">
            <w:pPr>
              <w:jc w:val="center"/>
              <w:rPr>
                <w:rFonts w:hint="eastAsia" w:ascii="宋体" w:hAnsi="宋体" w:eastAsia="宋体" w:cs="宋体"/>
                <w:i w:val="0"/>
                <w:iCs w:val="0"/>
                <w:color w:val="000000"/>
                <w:sz w:val="21"/>
                <w:szCs w:val="21"/>
                <w:u w:val="none"/>
              </w:rPr>
            </w:pPr>
          </w:p>
        </w:tc>
      </w:tr>
      <w:tr w14:paraId="3615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C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F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环境影响评价（塔拉500千伏主变扩建工程）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5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99800.00 </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14:paraId="3003B5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199600.00</w:t>
            </w:r>
          </w:p>
        </w:tc>
        <w:tc>
          <w:tcPr>
            <w:tcW w:w="1704" w:type="dxa"/>
            <w:vMerge w:val="restart"/>
            <w:tcBorders>
              <w:top w:val="single" w:color="000000" w:sz="4" w:space="0"/>
              <w:left w:val="single" w:color="000000" w:sz="4" w:space="0"/>
              <w:right w:val="single" w:color="000000" w:sz="4" w:space="0"/>
            </w:tcBorders>
            <w:shd w:val="clear" w:color="auto" w:fill="auto"/>
            <w:vAlign w:val="center"/>
          </w:tcPr>
          <w:p w14:paraId="2F884D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第一标段</w:t>
            </w:r>
          </w:p>
          <w:p w14:paraId="70560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515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环境影响评价（东苏500千伏主变扩建工程）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5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5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99800.00 </w:t>
            </w: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14:paraId="3A4D2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auto"/>
            <w:vAlign w:val="center"/>
          </w:tcPr>
          <w:p w14:paraId="0B7B1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25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水土保持方案编审（塔拉500千伏主变扩建工程）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9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5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9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36000.00 </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14:paraId="28B66F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72000.00</w:t>
            </w:r>
          </w:p>
        </w:tc>
        <w:tc>
          <w:tcPr>
            <w:tcW w:w="1704" w:type="dxa"/>
            <w:vMerge w:val="restart"/>
            <w:tcBorders>
              <w:top w:val="single" w:color="000000" w:sz="4" w:space="0"/>
              <w:left w:val="single" w:color="000000" w:sz="4" w:space="0"/>
              <w:right w:val="single" w:color="000000" w:sz="4" w:space="0"/>
            </w:tcBorders>
            <w:shd w:val="clear" w:color="auto" w:fill="auto"/>
            <w:vAlign w:val="center"/>
          </w:tcPr>
          <w:p w14:paraId="48C3B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w:t>
            </w:r>
            <w:r>
              <w:rPr>
                <w:rFonts w:hint="eastAsia" w:ascii="宋体" w:hAnsi="宋体" w:cs="宋体"/>
                <w:i w:val="0"/>
                <w:iCs w:val="0"/>
                <w:color w:val="000000"/>
                <w:kern w:val="0"/>
                <w:sz w:val="21"/>
                <w:szCs w:val="21"/>
                <w:u w:val="none"/>
                <w:lang w:val="en-US" w:eastAsia="zh-CN" w:bidi="ar"/>
              </w:rPr>
              <w:t>二</w:t>
            </w:r>
            <w:r>
              <w:rPr>
                <w:rFonts w:hint="eastAsia" w:ascii="宋体" w:hAnsi="宋体" w:eastAsia="宋体" w:cs="宋体"/>
                <w:i w:val="0"/>
                <w:iCs w:val="0"/>
                <w:color w:val="000000"/>
                <w:kern w:val="0"/>
                <w:sz w:val="21"/>
                <w:szCs w:val="21"/>
                <w:u w:val="none"/>
                <w:lang w:val="en-US" w:eastAsia="zh-CN" w:bidi="ar"/>
              </w:rPr>
              <w:t>标段</w:t>
            </w:r>
          </w:p>
        </w:tc>
      </w:tr>
      <w:tr w14:paraId="36D4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6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F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水土保持方案编审（东苏500千伏主变扩建工程）</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E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36000.00 </w:t>
            </w: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14:paraId="748A0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auto"/>
            <w:vAlign w:val="center"/>
          </w:tcPr>
          <w:p w14:paraId="7C5B7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E1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F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23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4F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E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7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6A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271600.00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AB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EA474DE">
      <w:pPr>
        <w:pStyle w:val="11"/>
        <w:spacing w:line="360" w:lineRule="auto"/>
        <w:ind w:left="0" w:leftChars="0" w:firstLine="0" w:firstLineChars="0"/>
        <w:rPr>
          <w:rFonts w:hint="eastAsia" w:ascii="宋体" w:hAnsi="宋体" w:cs="宋体"/>
          <w:sz w:val="24"/>
          <w:szCs w:val="24"/>
          <w:highlight w:val="none"/>
          <w:lang w:eastAsia="zh-CN"/>
        </w:rPr>
      </w:pPr>
    </w:p>
    <w:p w14:paraId="63336D9D">
      <w:pPr>
        <w:pStyle w:val="11"/>
        <w:spacing w:line="360" w:lineRule="auto"/>
        <w:ind w:left="0" w:leftChars="0" w:firstLine="0" w:firstLineChars="0"/>
        <w:rPr>
          <w:rFonts w:hint="eastAsia" w:ascii="宋体" w:hAnsi="宋体" w:cs="宋体"/>
          <w:sz w:val="24"/>
          <w:szCs w:val="24"/>
          <w:highlight w:val="none"/>
          <w:lang w:eastAsia="zh-CN"/>
        </w:rPr>
      </w:pPr>
    </w:p>
    <w:p w14:paraId="5CFE82CE">
      <w:pPr>
        <w:pStyle w:val="11"/>
        <w:numPr>
          <w:ilvl w:val="0"/>
          <w:numId w:val="2"/>
        </w:numPr>
        <w:spacing w:line="360" w:lineRule="auto"/>
        <w:ind w:left="0" w:leftChars="0" w:firstLine="0" w:firstLineChars="0"/>
        <w:rPr>
          <w:rFonts w:hint="eastAsia" w:ascii="宋体" w:hAnsi="宋体" w:cs="宋体"/>
          <w:i w:val="0"/>
          <w:iCs w:val="0"/>
          <w:color w:val="000000"/>
          <w:kern w:val="0"/>
          <w:sz w:val="24"/>
          <w:szCs w:val="24"/>
          <w:u w:val="none"/>
          <w:lang w:val="en-US" w:eastAsia="zh-CN" w:bidi="ar"/>
        </w:rPr>
      </w:pPr>
      <w:r>
        <w:rPr>
          <w:rFonts w:hint="eastAsia" w:ascii="宋体" w:hAnsi="宋体" w:cs="宋体"/>
          <w:color w:val="000000"/>
          <w:kern w:val="2"/>
          <w:sz w:val="24"/>
          <w:szCs w:val="24"/>
          <w:highlight w:val="none"/>
          <w:lang w:val="en-US" w:eastAsia="zh-CN" w:bidi="ar-SA"/>
        </w:rPr>
        <w:t>服务时间</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i w:val="0"/>
          <w:iCs w:val="0"/>
          <w:color w:val="000000"/>
          <w:kern w:val="0"/>
          <w:sz w:val="24"/>
          <w:szCs w:val="24"/>
          <w:u w:val="none"/>
          <w:lang w:val="en-US" w:eastAsia="zh-CN" w:bidi="ar"/>
        </w:rPr>
        <w:t>第一标段</w:t>
      </w:r>
      <w:r>
        <w:rPr>
          <w:rFonts w:hint="eastAsia" w:ascii="宋体" w:hAnsi="宋体" w:cs="宋体"/>
          <w:i w:val="0"/>
          <w:iCs w:val="0"/>
          <w:color w:val="000000"/>
          <w:kern w:val="0"/>
          <w:sz w:val="24"/>
          <w:szCs w:val="24"/>
          <w:u w:val="none"/>
          <w:lang w:val="en-US" w:eastAsia="zh-CN" w:bidi="ar"/>
        </w:rPr>
        <w:t>：合同签订后100个自然日</w:t>
      </w:r>
    </w:p>
    <w:p w14:paraId="077A8777">
      <w:pPr>
        <w:pStyle w:val="11"/>
        <w:numPr>
          <w:ilvl w:val="0"/>
          <w:numId w:val="0"/>
        </w:numPr>
        <w:spacing w:line="360" w:lineRule="auto"/>
        <w:ind w:firstLine="1440" w:firstLineChars="600"/>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标段</w:t>
      </w:r>
      <w:r>
        <w:rPr>
          <w:rFonts w:hint="eastAsia" w:ascii="宋体" w:hAnsi="宋体" w:cs="宋体"/>
          <w:i w:val="0"/>
          <w:iCs w:val="0"/>
          <w:color w:val="000000"/>
          <w:kern w:val="0"/>
          <w:sz w:val="24"/>
          <w:szCs w:val="24"/>
          <w:u w:val="none"/>
          <w:lang w:val="en-US" w:eastAsia="zh-CN" w:bidi="ar"/>
        </w:rPr>
        <w:t>：合同签订后90个自然日</w:t>
      </w:r>
    </w:p>
    <w:p w14:paraId="44CB7916">
      <w:pPr>
        <w:pStyle w:val="11"/>
        <w:spacing w:line="360" w:lineRule="auto"/>
        <w:ind w:left="0" w:leftChars="0" w:firstLine="0" w:firstLineChars="0"/>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 xml:space="preserve">6.服务地点：锡林郭勒盟境内 </w:t>
      </w:r>
    </w:p>
    <w:p w14:paraId="082C716B">
      <w:pPr>
        <w:pStyle w:val="11"/>
        <w:spacing w:line="360" w:lineRule="auto"/>
        <w:ind w:left="0" w:leftChars="0" w:firstLine="0" w:firstLineChars="0"/>
        <w:rPr>
          <w:rFonts w:hint="eastAsia" w:ascii="宋体" w:hAnsi="宋体" w:cs="宋体"/>
          <w:color w:val="000000"/>
          <w:kern w:val="2"/>
          <w:sz w:val="24"/>
          <w:szCs w:val="24"/>
          <w:highlight w:val="yellow"/>
          <w:lang w:val="en-US" w:eastAsia="zh-CN" w:bidi="ar-SA"/>
        </w:rPr>
      </w:pPr>
    </w:p>
    <w:p w14:paraId="2556D220">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3D0F53FE">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6C8BC947">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611C91E8">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3952EACE">
      <w:pPr>
        <w:spacing w:line="360" w:lineRule="auto"/>
        <w:ind w:firstLine="480" w:firstLineChars="200"/>
        <w:jc w:val="left"/>
        <w:rPr>
          <w:rFonts w:hint="default" w:ascii="宋体" w:hAnsi="宋体" w:eastAsia="宋体" w:cs="宋体"/>
          <w:bCs/>
          <w:color w:val="92D050"/>
          <w:sz w:val="24"/>
          <w:highlight w:val="none"/>
          <w:lang w:val="en-US"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p>
    <w:p w14:paraId="08B37F18">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669C3F49">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5880B8BB">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7265E11F">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3716E8BC">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66716FE0">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0B26977D">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598D013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14:paraId="7098B743">
      <w:pPr>
        <w:pStyle w:val="2"/>
        <w:spacing w:line="360" w:lineRule="auto"/>
        <w:ind w:firstLine="482"/>
        <w:rPr>
          <w:rFonts w:hint="eastAsia" w:ascii="宋体" w:hAnsi="宋体" w:eastAsia="宋体" w:cs="宋体"/>
          <w:b/>
          <w:color w:val="000000"/>
          <w:sz w:val="24"/>
        </w:rPr>
      </w:pPr>
      <w:r>
        <w:rPr>
          <w:rFonts w:hint="eastAsia" w:ascii="宋体" w:hAnsi="宋体" w:eastAsia="宋体" w:cs="宋体"/>
          <w:b/>
          <w:color w:val="000000"/>
          <w:sz w:val="24"/>
        </w:rPr>
        <w:t>专用资格要求：</w:t>
      </w:r>
    </w:p>
    <w:p w14:paraId="046084F8">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第1标段：</w:t>
      </w:r>
    </w:p>
    <w:p w14:paraId="086ECFD0">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lang w:val="en-US" w:eastAsia="zh-CN"/>
        </w:rPr>
        <w:t>供应商</w:t>
      </w:r>
      <w:r>
        <w:rPr>
          <w:rFonts w:hint="eastAsia" w:ascii="宋体" w:hAnsi="宋体" w:eastAsia="宋体" w:cs="宋体"/>
          <w:b/>
          <w:bCs w:val="0"/>
          <w:kern w:val="2"/>
          <w:sz w:val="24"/>
          <w:szCs w:val="24"/>
          <w:highlight w:val="none"/>
          <w:lang w:val="en-US" w:eastAsia="zh-CN" w:bidi="ar-SA"/>
        </w:rPr>
        <w:t>需在环境影响评价信用平台注册成功，拟派本项目负责人应为注册环境影响评价工程师，</w:t>
      </w:r>
      <w:r>
        <w:rPr>
          <w:rFonts w:hint="eastAsia" w:ascii="宋体" w:hAnsi="宋体" w:eastAsia="宋体" w:cs="宋体"/>
          <w:b/>
          <w:bCs w:val="0"/>
          <w:sz w:val="24"/>
          <w:szCs w:val="24"/>
          <w:lang w:val="en-US" w:eastAsia="zh-CN"/>
        </w:rPr>
        <w:t>供应商</w:t>
      </w:r>
      <w:r>
        <w:rPr>
          <w:rFonts w:hint="eastAsia" w:ascii="宋体" w:hAnsi="宋体" w:eastAsia="宋体" w:cs="宋体"/>
          <w:b/>
          <w:bCs w:val="0"/>
          <w:kern w:val="2"/>
          <w:sz w:val="24"/>
          <w:szCs w:val="24"/>
          <w:highlight w:val="none"/>
          <w:lang w:val="en-US" w:eastAsia="zh-CN" w:bidi="ar-SA"/>
        </w:rPr>
        <w:t>及注册环境影响评价工程师在此平台中没有发生过失信</w:t>
      </w:r>
      <w:r>
        <w:rPr>
          <w:rFonts w:hint="eastAsia" w:ascii="宋体" w:hAnsi="宋体" w:cs="宋体"/>
          <w:b/>
          <w:bCs w:val="0"/>
          <w:kern w:val="2"/>
          <w:sz w:val="24"/>
          <w:szCs w:val="24"/>
          <w:highlight w:val="none"/>
          <w:lang w:val="en-US" w:eastAsia="zh-CN" w:bidi="ar-SA"/>
        </w:rPr>
        <w:t>（记分周期内失信记分不算做失信）</w:t>
      </w:r>
      <w:r>
        <w:rPr>
          <w:rFonts w:hint="eastAsia" w:ascii="宋体" w:hAnsi="宋体" w:eastAsia="宋体" w:cs="宋体"/>
          <w:b/>
          <w:bCs w:val="0"/>
          <w:kern w:val="2"/>
          <w:sz w:val="24"/>
          <w:szCs w:val="24"/>
          <w:highlight w:val="none"/>
          <w:lang w:val="en-US" w:eastAsia="zh-CN" w:bidi="ar-SA"/>
        </w:rPr>
        <w:t>且不在期限整改和黑名单中</w:t>
      </w:r>
      <w:r>
        <w:rPr>
          <w:rFonts w:hint="eastAsia" w:ascii="宋体" w:hAnsi="宋体" w:cs="宋体"/>
          <w:b/>
          <w:bCs w:val="0"/>
          <w:kern w:val="2"/>
          <w:sz w:val="24"/>
          <w:szCs w:val="24"/>
          <w:highlight w:val="none"/>
          <w:lang w:val="en-US" w:eastAsia="zh-CN" w:bidi="ar-SA"/>
        </w:rPr>
        <w:t>（企业与负责人单独查询，提供查询截图）</w:t>
      </w:r>
      <w:r>
        <w:rPr>
          <w:rFonts w:hint="eastAsia" w:ascii="宋体" w:hAnsi="宋体" w:eastAsia="宋体" w:cs="宋体"/>
          <w:b/>
          <w:bCs w:val="0"/>
          <w:kern w:val="2"/>
          <w:sz w:val="24"/>
          <w:szCs w:val="24"/>
          <w:highlight w:val="none"/>
          <w:lang w:val="en-US" w:eastAsia="zh-CN" w:bidi="ar-SA"/>
        </w:rPr>
        <w:t xml:space="preserve">。                                                                                                     </w:t>
      </w:r>
    </w:p>
    <w:p w14:paraId="26DCC52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第</w:t>
      </w:r>
      <w:r>
        <w:rPr>
          <w:rFonts w:hint="eastAsia" w:ascii="宋体" w:hAnsi="宋体" w:cs="宋体"/>
          <w:b/>
          <w:bCs w:val="0"/>
          <w:kern w:val="2"/>
          <w:sz w:val="24"/>
          <w:szCs w:val="24"/>
          <w:highlight w:val="none"/>
          <w:lang w:val="en-US" w:eastAsia="zh-CN" w:bidi="ar-SA"/>
        </w:rPr>
        <w:t>2</w:t>
      </w:r>
      <w:r>
        <w:rPr>
          <w:rFonts w:hint="eastAsia" w:ascii="宋体" w:hAnsi="宋体" w:eastAsia="宋体" w:cs="宋体"/>
          <w:b/>
          <w:bCs w:val="0"/>
          <w:kern w:val="2"/>
          <w:sz w:val="24"/>
          <w:szCs w:val="24"/>
          <w:highlight w:val="none"/>
          <w:lang w:val="en-US" w:eastAsia="zh-CN" w:bidi="ar-SA"/>
        </w:rPr>
        <w:t>标段：</w:t>
      </w:r>
    </w:p>
    <w:p w14:paraId="5D761CE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供应商需具有1星级以上水土保持方案编制单位水平评价证书。</w:t>
      </w:r>
    </w:p>
    <w:bookmarkEnd w:id="0"/>
    <w:p w14:paraId="06D5CD13">
      <w:pPr>
        <w:pStyle w:val="7"/>
        <w:numPr>
          <w:ilvl w:val="0"/>
          <w:numId w:val="0"/>
        </w:numPr>
        <w:spacing w:line="360" w:lineRule="auto"/>
        <w:ind w:firstLine="241" w:firstLineChars="1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301F86D1">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06BFC446">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系统）办理中招互连扫码签章，前述工作完成后方可开始竞标报名。</w:t>
      </w:r>
    </w:p>
    <w:p w14:paraId="28BDB837">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09</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13</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09</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19 </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http://guocai-impc.cppchina.cn</w:t>
      </w:r>
      <w:r>
        <w:rPr>
          <w:rFonts w:hint="eastAsia" w:ascii="宋体" w:hAnsi="宋体" w:eastAsia="宋体" w:cs="宋体"/>
          <w:color w:val="000000"/>
          <w:sz w:val="24"/>
          <w:szCs w:val="24"/>
          <w:highlight w:val="none"/>
        </w:rPr>
        <w:t>）在线报名和下载文件，逾期不予受理。</w:t>
      </w:r>
    </w:p>
    <w:p w14:paraId="151F9B4B">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7CECC9A4">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5827015E">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6AC5D558">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18580962">
      <w:pPr>
        <w:pStyle w:val="6"/>
        <w:numPr>
          <w:ilvl w:val="0"/>
          <w:numId w:val="5"/>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60AD52EF">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484B6924">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6ADBAADD">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27AB0519">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632DA392">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2FEFCA95">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68B07415">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5124B739">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32368461">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6F668FDC">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1A7FEBCB">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5B3C67F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502A2643">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596AE31D">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6E494E43">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13日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164541F7">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21A5F306">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AABF912">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37C2E3CA">
      <w:pPr>
        <w:adjustRightInd w:val="0"/>
        <w:spacing w:line="360" w:lineRule="auto"/>
        <w:ind w:firstLine="482" w:firstLineChars="200"/>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rPr>
        <w:t>开标地点： 内蒙古中实工程招标咨询有限责任公司</w:t>
      </w:r>
    </w:p>
    <w:p w14:paraId="157DE93B">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01EA39D1">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412626D9">
      <w:pPr>
        <w:pStyle w:val="13"/>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12E08B29">
      <w:pPr>
        <w:pStyle w:val="13"/>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1E051AE2">
      <w:pPr>
        <w:pStyle w:val="13"/>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392F5A30">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12A0740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5A6A283C">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0D44ABEF">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32D837E0">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"http://www.cebpubservice.com"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www.cebpubservice.com</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"http://zbgg.nmgztb.com.cn/"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http://www.nmgztb.com.cn</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内蒙古电力集团电子采购系统</w:t>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http://guocai-impc.cppchina.cn</w:t>
      </w:r>
      <w:r>
        <w:rPr>
          <w:rStyle w:val="10"/>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6044B949">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2F141DF0">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54329942">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2589EF22">
      <w:pPr>
        <w:pStyle w:val="14"/>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2F16D86D">
      <w:pPr>
        <w:pStyle w:val="14"/>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205AEC18">
      <w:pPr>
        <w:pStyle w:val="7"/>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12F690F5">
      <w:pPr>
        <w:pStyle w:val="14"/>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1DAA5DF4">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0F79EC8D">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5B264755">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1F01C177">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031C4B49">
      <w:pPr>
        <w:widowControl/>
        <w:tabs>
          <w:tab w:val="left" w:pos="2625"/>
        </w:tabs>
        <w:spacing w:line="520" w:lineRule="exact"/>
        <w:ind w:firstLine="480" w:firstLineChars="200"/>
      </w:pPr>
      <w:r>
        <w:rPr>
          <w:rFonts w:hint="eastAsia" w:ascii="宋体" w:hAnsi="宋体" w:eastAsia="宋体" w:cs="宋体"/>
          <w:bCs/>
          <w:kern w:val="0"/>
          <w:position w:val="-6"/>
          <w:sz w:val="24"/>
          <w:highlight w:val="none"/>
          <w:lang w:val="en-US" w:eastAsia="zh-CN"/>
        </w:rPr>
        <w:t xml:space="preserve">邮箱：zszbsfgs@126.com </w:t>
      </w:r>
    </w:p>
    <w:p w14:paraId="30DF3B9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E910F"/>
    <w:multiLevelType w:val="singleLevel"/>
    <w:tmpl w:val="8CAE910F"/>
    <w:lvl w:ilvl="0" w:tentative="0">
      <w:start w:val="5"/>
      <w:numFmt w:val="decimal"/>
      <w:lvlText w:val="%1."/>
      <w:lvlJc w:val="left"/>
      <w:pPr>
        <w:tabs>
          <w:tab w:val="left" w:pos="312"/>
        </w:tabs>
      </w:pPr>
    </w:lvl>
  </w:abstractNum>
  <w:abstractNum w:abstractNumId="1">
    <w:nsid w:val="B567703C"/>
    <w:multiLevelType w:val="singleLevel"/>
    <w:tmpl w:val="B567703C"/>
    <w:lvl w:ilvl="0" w:tentative="0">
      <w:start w:val="1"/>
      <w:numFmt w:val="decimal"/>
      <w:suff w:val="nothing"/>
      <w:lvlText w:val="（%1）"/>
      <w:lvlJc w:val="left"/>
    </w:lvl>
  </w:abstractNum>
  <w:abstractNum w:abstractNumId="2">
    <w:nsid w:val="BCEBAABA"/>
    <w:multiLevelType w:val="singleLevel"/>
    <w:tmpl w:val="BCEBAABA"/>
    <w:lvl w:ilvl="0" w:tentative="0">
      <w:start w:val="1"/>
      <w:numFmt w:val="decimal"/>
      <w:suff w:val="nothing"/>
      <w:lvlText w:val="（%1）"/>
      <w:lvlJc w:val="left"/>
    </w:lvl>
  </w:abstractNum>
  <w:abstractNum w:abstractNumId="3">
    <w:nsid w:val="12E1755A"/>
    <w:multiLevelType w:val="singleLevel"/>
    <w:tmpl w:val="12E1755A"/>
    <w:lvl w:ilvl="0" w:tentative="0">
      <w:start w:val="1"/>
      <w:numFmt w:val="chineseCounting"/>
      <w:suff w:val="nothing"/>
      <w:lvlText w:val="%1、"/>
      <w:lvlJc w:val="left"/>
      <w:rPr>
        <w:rFonts w:hint="eastAsia"/>
      </w:rPr>
    </w:lvl>
  </w:abstractNum>
  <w:abstractNum w:abstractNumId="4">
    <w:nsid w:val="42E16667"/>
    <w:multiLevelType w:val="singleLevel"/>
    <w:tmpl w:val="42E16667"/>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7DB53A9B"/>
    <w:rsid w:val="7DB5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autoRedefine/>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0">
    <w:name w:val="Hyperlink"/>
    <w:basedOn w:val="9"/>
    <w:qFormat/>
    <w:uiPriority w:val="99"/>
    <w:rPr>
      <w:color w:val="333333"/>
      <w:u w:val="none"/>
    </w:rPr>
  </w:style>
  <w:style w:type="paragraph" w:customStyle="1" w:styleId="11">
    <w:name w:val="BodyText1I2"/>
    <w:basedOn w:val="12"/>
    <w:autoRedefine/>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2">
    <w:name w:val="BodyTextIndent"/>
    <w:basedOn w:val="1"/>
    <w:autoRedefine/>
    <w:qFormat/>
    <w:uiPriority w:val="0"/>
    <w:pPr>
      <w:snapToGrid w:val="0"/>
      <w:spacing w:line="500" w:lineRule="atLeast"/>
      <w:ind w:firstLine="480"/>
    </w:pPr>
    <w:rPr>
      <w:rFonts w:ascii="宋体" w:hAnsi="CG Times"/>
      <w:sz w:val="24"/>
      <w:lang w:val="zh-CN"/>
    </w:rPr>
  </w:style>
  <w:style w:type="paragraph" w:customStyle="1" w:styleId="13">
    <w:name w:val="列出段落11"/>
    <w:basedOn w:val="1"/>
    <w:autoRedefine/>
    <w:qFormat/>
    <w:uiPriority w:val="34"/>
    <w:pPr>
      <w:ind w:firstLine="420" w:firstLineChars="200"/>
    </w:pPr>
    <w:rPr>
      <w:rFonts w:ascii="Calibri" w:hAnsi="Calibri"/>
      <w:szCs w:val="20"/>
    </w:rPr>
  </w:style>
  <w:style w:type="paragraph" w:customStyle="1" w:styleId="14">
    <w:name w:val="列出段落111"/>
    <w:basedOn w:val="1"/>
    <w:autoRedefine/>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2024-09-13T02:07:00Z</dcterms:created>
  <dc:creator>WPS_1496299590</dc:creator>
  <cp:lastModifiedBy>WPS_1496299590</cp:lastModifiedBy>
  <dcterms:modified xsi:type="dcterms:W3CDTF">2024-09-13T02:10:22Z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5238162BE17C41129604E512C9E599B3_11</vt:lpwstr>
  </property>
</Properties>
</file>