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9C5C3">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锡林郭勒超高压供电分公司2024年第二批生产中小修服务补充采购项目</w:t>
      </w:r>
    </w:p>
    <w:p w14:paraId="56588B3A">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02DBA9DF">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锡林郭勒超高压供电分公司2024年第二批生产中小修服务补充采购项目</w:t>
      </w:r>
      <w:r>
        <w:rPr>
          <w:rFonts w:hint="eastAsia" w:ascii="宋体" w:hAnsi="宋体" w:eastAsia="宋体" w:cs="宋体"/>
          <w:color w:val="000000"/>
          <w:kern w:val="2"/>
          <w:sz w:val="24"/>
          <w:szCs w:val="24"/>
          <w:highlight w:val="none"/>
          <w:lang w:val="en-US" w:eastAsia="zh-CN" w:bidi="ar-SA"/>
        </w:rPr>
        <w:t>”进行询比采购，项目资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2AE49BE1">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5C6CD165">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val="en-US" w:eastAsia="zh-CN"/>
        </w:rPr>
        <w:t>锡林郭勒超高压供电分公司2024年第二批生产中小修服务补充采购项目</w:t>
      </w:r>
      <w:r>
        <w:rPr>
          <w:rFonts w:hint="eastAsia" w:ascii="宋体" w:hAnsi="宋体" w:eastAsia="宋体" w:cs="宋体"/>
          <w:color w:val="000000"/>
          <w:sz w:val="24"/>
          <w:highlight w:val="none"/>
        </w:rPr>
        <w:t>；</w:t>
      </w:r>
    </w:p>
    <w:p w14:paraId="059DB039">
      <w:pPr>
        <w:pStyle w:val="7"/>
        <w:spacing w:after="0" w:line="360" w:lineRule="auto"/>
        <w:ind w:left="0" w:lef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项目编号：XCGS-2024-FW-0</w:t>
      </w:r>
      <w:r>
        <w:rPr>
          <w:rFonts w:hint="eastAsia" w:ascii="宋体" w:hAnsi="宋体" w:cs="宋体"/>
          <w:color w:val="000000"/>
          <w:sz w:val="24"/>
          <w:highlight w:val="none"/>
          <w:lang w:val="en-US" w:eastAsia="zh-CN"/>
        </w:rPr>
        <w:t>72</w:t>
      </w:r>
      <w:r>
        <w:rPr>
          <w:rFonts w:hint="eastAsia" w:ascii="宋体" w:hAnsi="宋体" w:eastAsia="宋体" w:cs="宋体"/>
          <w:color w:val="000000"/>
          <w:sz w:val="24"/>
          <w:highlight w:val="none"/>
        </w:rPr>
        <w:t>（ZS-QCMC-H-2024-30</w:t>
      </w:r>
      <w:r>
        <w:rPr>
          <w:rFonts w:hint="eastAsia" w:ascii="宋体" w:hAnsi="宋体" w:cs="宋体"/>
          <w:color w:val="000000"/>
          <w:sz w:val="24"/>
          <w:highlight w:val="none"/>
          <w:lang w:val="en-US" w:eastAsia="zh-CN"/>
        </w:rPr>
        <w:t>31</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t>
      </w:r>
    </w:p>
    <w:p w14:paraId="2F4301B7">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0F4A39C8">
      <w:pPr>
        <w:pStyle w:val="11"/>
        <w:spacing w:line="360" w:lineRule="auto"/>
        <w:ind w:left="0" w:leftChars="0" w:firstLine="0" w:firstLineChars="0"/>
        <w:rPr>
          <w:rFonts w:hint="eastAsia" w:ascii="宋体" w:hAnsi="宋体" w:eastAsia="宋体" w:cs="宋体"/>
          <w:sz w:val="24"/>
          <w:szCs w:val="24"/>
          <w:highlight w:val="none"/>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p>
    <w:tbl>
      <w:tblPr>
        <w:tblStyle w:val="8"/>
        <w:tblW w:w="5270" w:type="pct"/>
        <w:jc w:val="center"/>
        <w:tblLayout w:type="fixed"/>
        <w:tblCellMar>
          <w:top w:w="0" w:type="dxa"/>
          <w:left w:w="108" w:type="dxa"/>
          <w:bottom w:w="0" w:type="dxa"/>
          <w:right w:w="108" w:type="dxa"/>
        </w:tblCellMar>
      </w:tblPr>
      <w:tblGrid>
        <w:gridCol w:w="676"/>
        <w:gridCol w:w="3379"/>
        <w:gridCol w:w="662"/>
        <w:gridCol w:w="722"/>
        <w:gridCol w:w="1128"/>
        <w:gridCol w:w="1227"/>
        <w:gridCol w:w="1189"/>
      </w:tblGrid>
      <w:tr w14:paraId="5F7DC6D1">
        <w:tblPrEx>
          <w:tblCellMar>
            <w:top w:w="0" w:type="dxa"/>
            <w:left w:w="108" w:type="dxa"/>
            <w:bottom w:w="0" w:type="dxa"/>
            <w:right w:w="108" w:type="dxa"/>
          </w:tblCellMar>
        </w:tblPrEx>
        <w:trPr>
          <w:trHeight w:val="479" w:hRule="atLeast"/>
          <w:jc w:val="center"/>
        </w:trPr>
        <w:tc>
          <w:tcPr>
            <w:tcW w:w="376" w:type="pct"/>
            <w:vMerge w:val="restart"/>
            <w:tcBorders>
              <w:top w:val="single" w:color="auto" w:sz="4" w:space="0"/>
              <w:left w:val="single" w:color="auto" w:sz="4" w:space="0"/>
              <w:right w:val="single" w:color="auto" w:sz="4" w:space="0"/>
            </w:tcBorders>
            <w:noWrap/>
            <w:vAlign w:val="center"/>
          </w:tcPr>
          <w:p w14:paraId="7DCC6A4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880" w:type="pct"/>
            <w:vMerge w:val="restart"/>
            <w:tcBorders>
              <w:top w:val="single" w:color="auto" w:sz="4" w:space="0"/>
              <w:left w:val="single" w:color="auto" w:sz="4" w:space="0"/>
              <w:right w:val="single" w:color="auto" w:sz="4" w:space="0"/>
            </w:tcBorders>
            <w:noWrap/>
            <w:vAlign w:val="center"/>
          </w:tcPr>
          <w:p w14:paraId="1A9F43D1">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项目名称</w:t>
            </w:r>
          </w:p>
        </w:tc>
        <w:tc>
          <w:tcPr>
            <w:tcW w:w="368" w:type="pct"/>
            <w:vMerge w:val="restart"/>
            <w:tcBorders>
              <w:top w:val="single" w:color="auto" w:sz="4" w:space="0"/>
              <w:left w:val="single" w:color="auto" w:sz="4" w:space="0"/>
              <w:right w:val="single" w:color="auto" w:sz="4" w:space="0"/>
            </w:tcBorders>
            <w:noWrap/>
            <w:vAlign w:val="center"/>
          </w:tcPr>
          <w:p w14:paraId="49A2DEA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402" w:type="pct"/>
            <w:vMerge w:val="restart"/>
            <w:tcBorders>
              <w:top w:val="single" w:color="auto" w:sz="4" w:space="0"/>
              <w:left w:val="single" w:color="auto" w:sz="4" w:space="0"/>
              <w:right w:val="single" w:color="auto" w:sz="4" w:space="0"/>
            </w:tcBorders>
            <w:noWrap w:val="0"/>
            <w:vAlign w:val="center"/>
          </w:tcPr>
          <w:p w14:paraId="7F9E39A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采购</w:t>
            </w:r>
          </w:p>
          <w:p w14:paraId="0B9C680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310" w:type="pct"/>
            <w:gridSpan w:val="2"/>
            <w:tcBorders>
              <w:top w:val="single" w:color="auto" w:sz="4" w:space="0"/>
              <w:left w:val="single" w:color="auto" w:sz="4" w:space="0"/>
              <w:bottom w:val="single" w:color="auto" w:sz="4" w:space="0"/>
              <w:right w:val="single" w:color="auto" w:sz="4" w:space="0"/>
            </w:tcBorders>
            <w:noWrap/>
            <w:vAlign w:val="center"/>
          </w:tcPr>
          <w:p w14:paraId="5CF90AE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最高限价（元）</w:t>
            </w:r>
          </w:p>
        </w:tc>
        <w:tc>
          <w:tcPr>
            <w:tcW w:w="661" w:type="pct"/>
            <w:vMerge w:val="restart"/>
            <w:tcBorders>
              <w:top w:val="single" w:color="auto" w:sz="4" w:space="0"/>
              <w:left w:val="single" w:color="auto" w:sz="4" w:space="0"/>
              <w:right w:val="single" w:color="auto" w:sz="4" w:space="0"/>
            </w:tcBorders>
            <w:noWrap w:val="0"/>
            <w:vAlign w:val="center"/>
          </w:tcPr>
          <w:p w14:paraId="5734FA4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标段划分</w:t>
            </w:r>
          </w:p>
        </w:tc>
      </w:tr>
      <w:tr w14:paraId="5FDB4A33">
        <w:tblPrEx>
          <w:tblCellMar>
            <w:top w:w="0" w:type="dxa"/>
            <w:left w:w="108" w:type="dxa"/>
            <w:bottom w:w="0" w:type="dxa"/>
            <w:right w:w="108" w:type="dxa"/>
          </w:tblCellMar>
        </w:tblPrEx>
        <w:trPr>
          <w:trHeight w:val="266" w:hRule="atLeast"/>
          <w:jc w:val="center"/>
        </w:trPr>
        <w:tc>
          <w:tcPr>
            <w:tcW w:w="376" w:type="pct"/>
            <w:vMerge w:val="continue"/>
            <w:tcBorders>
              <w:left w:val="single" w:color="auto" w:sz="4" w:space="0"/>
              <w:bottom w:val="single" w:color="auto" w:sz="4" w:space="0"/>
              <w:right w:val="single" w:color="auto" w:sz="4" w:space="0"/>
            </w:tcBorders>
            <w:noWrap/>
            <w:vAlign w:val="center"/>
          </w:tcPr>
          <w:p w14:paraId="3F3D33B2">
            <w:pPr>
              <w:widowControl/>
              <w:jc w:val="center"/>
              <w:rPr>
                <w:rFonts w:hint="eastAsia" w:ascii="宋体" w:hAnsi="宋体" w:eastAsia="宋体" w:cs="宋体"/>
                <w:sz w:val="24"/>
                <w:szCs w:val="24"/>
                <w:highlight w:val="none"/>
              </w:rPr>
            </w:pPr>
          </w:p>
        </w:tc>
        <w:tc>
          <w:tcPr>
            <w:tcW w:w="1880" w:type="pct"/>
            <w:vMerge w:val="continue"/>
            <w:tcBorders>
              <w:left w:val="single" w:color="auto" w:sz="4" w:space="0"/>
              <w:bottom w:val="single" w:color="auto" w:sz="4" w:space="0"/>
              <w:right w:val="single" w:color="auto" w:sz="4" w:space="0"/>
            </w:tcBorders>
            <w:noWrap/>
            <w:vAlign w:val="center"/>
          </w:tcPr>
          <w:p w14:paraId="6A83EE48">
            <w:pPr>
              <w:widowControl/>
              <w:jc w:val="center"/>
              <w:rPr>
                <w:rFonts w:hint="eastAsia" w:ascii="宋体" w:hAnsi="宋体" w:eastAsia="宋体" w:cs="宋体"/>
                <w:sz w:val="24"/>
                <w:szCs w:val="24"/>
                <w:highlight w:val="none"/>
              </w:rPr>
            </w:pPr>
          </w:p>
        </w:tc>
        <w:tc>
          <w:tcPr>
            <w:tcW w:w="368" w:type="pct"/>
            <w:vMerge w:val="continue"/>
            <w:tcBorders>
              <w:left w:val="single" w:color="auto" w:sz="4" w:space="0"/>
              <w:bottom w:val="single" w:color="auto" w:sz="4" w:space="0"/>
              <w:right w:val="single" w:color="auto" w:sz="4" w:space="0"/>
            </w:tcBorders>
            <w:noWrap/>
            <w:vAlign w:val="center"/>
          </w:tcPr>
          <w:p w14:paraId="24B66DDA">
            <w:pPr>
              <w:widowControl/>
              <w:jc w:val="center"/>
              <w:rPr>
                <w:rFonts w:hint="eastAsia" w:ascii="宋体" w:hAnsi="宋体" w:eastAsia="宋体" w:cs="宋体"/>
                <w:sz w:val="24"/>
                <w:szCs w:val="24"/>
                <w:highlight w:val="none"/>
              </w:rPr>
            </w:pPr>
          </w:p>
        </w:tc>
        <w:tc>
          <w:tcPr>
            <w:tcW w:w="402" w:type="pct"/>
            <w:vMerge w:val="continue"/>
            <w:tcBorders>
              <w:left w:val="single" w:color="auto" w:sz="4" w:space="0"/>
              <w:bottom w:val="single" w:color="auto" w:sz="4" w:space="0"/>
              <w:right w:val="single" w:color="auto" w:sz="4" w:space="0"/>
            </w:tcBorders>
            <w:noWrap w:val="0"/>
            <w:vAlign w:val="center"/>
          </w:tcPr>
          <w:p w14:paraId="799C4CDB">
            <w:pPr>
              <w:widowControl/>
              <w:jc w:val="center"/>
              <w:rPr>
                <w:rFonts w:hint="eastAsia" w:ascii="宋体" w:hAnsi="宋体" w:eastAsia="宋体" w:cs="宋体"/>
                <w:sz w:val="24"/>
                <w:szCs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14:paraId="64FB5A2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单价</w:t>
            </w:r>
          </w:p>
        </w:tc>
        <w:tc>
          <w:tcPr>
            <w:tcW w:w="682" w:type="pct"/>
            <w:tcBorders>
              <w:top w:val="single" w:color="auto" w:sz="4" w:space="0"/>
              <w:left w:val="single" w:color="auto" w:sz="4" w:space="0"/>
              <w:bottom w:val="single" w:color="auto" w:sz="4" w:space="0"/>
              <w:right w:val="single" w:color="auto" w:sz="4" w:space="0"/>
            </w:tcBorders>
            <w:noWrap/>
            <w:vAlign w:val="center"/>
          </w:tcPr>
          <w:p w14:paraId="26B86B0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总价</w:t>
            </w:r>
          </w:p>
        </w:tc>
        <w:tc>
          <w:tcPr>
            <w:tcW w:w="661" w:type="pct"/>
            <w:vMerge w:val="continue"/>
            <w:tcBorders>
              <w:left w:val="single" w:color="auto" w:sz="4" w:space="0"/>
              <w:bottom w:val="single" w:color="auto" w:sz="4" w:space="0"/>
              <w:right w:val="single" w:color="auto" w:sz="4" w:space="0"/>
            </w:tcBorders>
            <w:noWrap w:val="0"/>
            <w:vAlign w:val="center"/>
          </w:tcPr>
          <w:p w14:paraId="01A0AF79">
            <w:pPr>
              <w:widowControl/>
              <w:jc w:val="center"/>
              <w:rPr>
                <w:rFonts w:hint="eastAsia" w:ascii="宋体" w:hAnsi="宋体" w:eastAsia="宋体" w:cs="宋体"/>
                <w:b/>
                <w:bCs/>
                <w:kern w:val="0"/>
                <w:sz w:val="24"/>
                <w:szCs w:val="24"/>
                <w:highlight w:val="none"/>
              </w:rPr>
            </w:pPr>
          </w:p>
        </w:tc>
      </w:tr>
      <w:tr w14:paraId="4B9F149F">
        <w:tblPrEx>
          <w:tblCellMar>
            <w:top w:w="0" w:type="dxa"/>
            <w:left w:w="108" w:type="dxa"/>
            <w:bottom w:w="0" w:type="dxa"/>
            <w:right w:w="108" w:type="dxa"/>
          </w:tblCellMar>
        </w:tblPrEx>
        <w:trPr>
          <w:trHeight w:val="852" w:hRule="atLeast"/>
          <w:jc w:val="center"/>
        </w:trPr>
        <w:tc>
          <w:tcPr>
            <w:tcW w:w="376" w:type="pct"/>
            <w:tcBorders>
              <w:top w:val="single" w:color="auto" w:sz="4" w:space="0"/>
              <w:left w:val="single" w:color="auto" w:sz="4" w:space="0"/>
              <w:bottom w:val="single" w:color="auto" w:sz="4" w:space="0"/>
              <w:right w:val="single" w:color="auto" w:sz="4" w:space="0"/>
            </w:tcBorders>
            <w:noWrap w:val="0"/>
            <w:vAlign w:val="center"/>
          </w:tcPr>
          <w:p w14:paraId="3698120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80" w:type="pct"/>
            <w:tcBorders>
              <w:top w:val="single" w:color="auto" w:sz="4" w:space="0"/>
              <w:left w:val="single" w:color="auto" w:sz="4" w:space="0"/>
              <w:bottom w:val="single" w:color="auto" w:sz="4" w:space="0"/>
              <w:right w:val="single" w:color="auto" w:sz="4" w:space="0"/>
            </w:tcBorders>
            <w:noWrap w:val="0"/>
            <w:vAlign w:val="center"/>
          </w:tcPr>
          <w:p w14:paraId="28650A1D">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PCS-9000主站监控系统商用密码评估服务</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3FC861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402" w:type="pct"/>
            <w:tcBorders>
              <w:top w:val="single" w:color="auto" w:sz="4" w:space="0"/>
              <w:left w:val="single" w:color="auto" w:sz="4" w:space="0"/>
              <w:bottom w:val="single" w:color="auto" w:sz="4" w:space="0"/>
              <w:right w:val="single" w:color="auto" w:sz="4" w:space="0"/>
            </w:tcBorders>
            <w:noWrap/>
            <w:vAlign w:val="center"/>
          </w:tcPr>
          <w:p w14:paraId="14FB2512">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27" w:type="pct"/>
            <w:tcBorders>
              <w:top w:val="single" w:color="auto" w:sz="4" w:space="0"/>
              <w:left w:val="single" w:color="auto" w:sz="4" w:space="0"/>
              <w:bottom w:val="single" w:color="auto" w:sz="4" w:space="0"/>
              <w:right w:val="single" w:color="auto" w:sz="4" w:space="0"/>
            </w:tcBorders>
            <w:noWrap w:val="0"/>
            <w:vAlign w:val="center"/>
          </w:tcPr>
          <w:p w14:paraId="5BA7D130">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129800</w:t>
            </w:r>
            <w:r>
              <w:rPr>
                <w:rFonts w:hint="eastAsia" w:ascii="宋体" w:hAnsi="宋体" w:eastAsia="宋体" w:cs="宋体"/>
                <w:kern w:val="0"/>
                <w:sz w:val="24"/>
                <w:szCs w:val="24"/>
                <w:highlight w:val="none"/>
                <w:lang w:val="en-US" w:eastAsia="zh-CN"/>
              </w:rPr>
              <w:t>.00</w:t>
            </w:r>
          </w:p>
        </w:tc>
        <w:tc>
          <w:tcPr>
            <w:tcW w:w="682" w:type="pct"/>
            <w:tcBorders>
              <w:top w:val="single" w:color="auto" w:sz="4" w:space="0"/>
              <w:left w:val="single" w:color="auto" w:sz="4" w:space="0"/>
              <w:bottom w:val="single" w:color="auto" w:sz="4" w:space="0"/>
              <w:right w:val="single" w:color="auto" w:sz="4" w:space="0"/>
            </w:tcBorders>
            <w:noWrap w:val="0"/>
            <w:vAlign w:val="center"/>
          </w:tcPr>
          <w:p w14:paraId="3500B7C7">
            <w:pPr>
              <w:keepNext w:val="0"/>
              <w:keepLines w:val="0"/>
              <w:widowControl/>
              <w:suppressLineNumbers w:val="0"/>
              <w:jc w:val="center"/>
              <w:textAlignment w:val="center"/>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129800</w:t>
            </w:r>
            <w:r>
              <w:rPr>
                <w:rFonts w:hint="eastAsia" w:ascii="宋体" w:hAnsi="宋体" w:eastAsia="宋体" w:cs="宋体"/>
                <w:kern w:val="0"/>
                <w:sz w:val="24"/>
                <w:szCs w:val="24"/>
                <w:highlight w:val="none"/>
                <w:lang w:val="en-US" w:eastAsia="zh-CN"/>
              </w:rPr>
              <w:t>.00</w:t>
            </w:r>
          </w:p>
        </w:tc>
        <w:tc>
          <w:tcPr>
            <w:tcW w:w="661" w:type="pct"/>
            <w:tcBorders>
              <w:top w:val="single" w:color="auto" w:sz="4" w:space="0"/>
              <w:left w:val="single" w:color="auto" w:sz="4" w:space="0"/>
              <w:right w:val="single" w:color="auto" w:sz="4" w:space="0"/>
            </w:tcBorders>
            <w:noWrap w:val="0"/>
            <w:vAlign w:val="center"/>
          </w:tcPr>
          <w:p w14:paraId="6707916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第一标段</w:t>
            </w:r>
          </w:p>
        </w:tc>
      </w:tr>
      <w:tr w14:paraId="152E4C71">
        <w:tblPrEx>
          <w:tblCellMar>
            <w:top w:w="0" w:type="dxa"/>
            <w:left w:w="108" w:type="dxa"/>
            <w:bottom w:w="0" w:type="dxa"/>
            <w:right w:w="108" w:type="dxa"/>
          </w:tblCellMar>
        </w:tblPrEx>
        <w:trPr>
          <w:trHeight w:val="548" w:hRule="atLeast"/>
          <w:jc w:val="center"/>
        </w:trPr>
        <w:tc>
          <w:tcPr>
            <w:tcW w:w="376" w:type="pct"/>
            <w:tcBorders>
              <w:top w:val="single" w:color="auto" w:sz="4" w:space="0"/>
              <w:left w:val="single" w:color="auto" w:sz="4" w:space="0"/>
              <w:bottom w:val="single" w:color="auto" w:sz="4" w:space="0"/>
              <w:right w:val="single" w:color="auto" w:sz="4" w:space="0"/>
            </w:tcBorders>
            <w:noWrap w:val="0"/>
            <w:vAlign w:val="center"/>
          </w:tcPr>
          <w:p w14:paraId="00A32484">
            <w:pPr>
              <w:widowControl/>
              <w:jc w:val="center"/>
              <w:rPr>
                <w:rFonts w:hint="eastAsia" w:ascii="宋体" w:hAnsi="宋体" w:eastAsia="宋体" w:cs="宋体"/>
                <w:kern w:val="0"/>
                <w:sz w:val="24"/>
                <w:szCs w:val="24"/>
                <w:highlight w:val="none"/>
              </w:rPr>
            </w:pPr>
          </w:p>
        </w:tc>
        <w:tc>
          <w:tcPr>
            <w:tcW w:w="1880" w:type="pct"/>
            <w:tcBorders>
              <w:top w:val="single" w:color="auto" w:sz="4" w:space="0"/>
              <w:left w:val="single" w:color="auto" w:sz="4" w:space="0"/>
              <w:bottom w:val="single" w:color="auto" w:sz="4" w:space="0"/>
              <w:right w:val="single" w:color="auto" w:sz="4" w:space="0"/>
            </w:tcBorders>
            <w:noWrap w:val="0"/>
            <w:vAlign w:val="center"/>
          </w:tcPr>
          <w:p w14:paraId="1590745A">
            <w:pPr>
              <w:widowControl/>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合计</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4D218FA">
            <w:pPr>
              <w:widowControl/>
              <w:jc w:val="center"/>
              <w:rPr>
                <w:rFonts w:hint="eastAsia" w:ascii="宋体" w:hAnsi="宋体" w:eastAsia="宋体" w:cs="宋体"/>
                <w:kern w:val="0"/>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ign w:val="center"/>
          </w:tcPr>
          <w:p w14:paraId="4A9A69C8">
            <w:pPr>
              <w:widowControl/>
              <w:jc w:val="center"/>
              <w:rPr>
                <w:rFonts w:hint="eastAsia" w:ascii="宋体" w:hAnsi="宋体" w:eastAsia="宋体" w:cs="宋体"/>
                <w:kern w:val="0"/>
                <w:sz w:val="24"/>
                <w:szCs w:val="24"/>
                <w:highlight w:val="none"/>
              </w:rPr>
            </w:pPr>
          </w:p>
        </w:tc>
        <w:tc>
          <w:tcPr>
            <w:tcW w:w="627" w:type="pct"/>
            <w:tcBorders>
              <w:top w:val="single" w:color="auto" w:sz="4" w:space="0"/>
              <w:left w:val="single" w:color="auto" w:sz="4" w:space="0"/>
              <w:bottom w:val="single" w:color="auto" w:sz="4" w:space="0"/>
              <w:right w:val="single" w:color="auto" w:sz="4" w:space="0"/>
            </w:tcBorders>
            <w:noWrap w:val="0"/>
            <w:vAlign w:val="center"/>
          </w:tcPr>
          <w:p w14:paraId="76E17D6C">
            <w:pPr>
              <w:widowControl/>
              <w:jc w:val="center"/>
              <w:textAlignment w:val="center"/>
              <w:rPr>
                <w:rFonts w:hint="eastAsia" w:ascii="宋体" w:hAnsi="宋体" w:eastAsia="宋体" w:cs="宋体"/>
                <w:color w:val="000000"/>
                <w:kern w:val="0"/>
                <w:sz w:val="24"/>
                <w:szCs w:val="24"/>
                <w:highlight w:val="none"/>
                <w:lang w:bidi="ar"/>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3790A51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129800</w:t>
            </w:r>
            <w:r>
              <w:rPr>
                <w:rFonts w:hint="eastAsia" w:ascii="宋体" w:hAnsi="宋体" w:eastAsia="宋体" w:cs="宋体"/>
                <w:i w:val="0"/>
                <w:iCs w:val="0"/>
                <w:color w:val="000000"/>
                <w:kern w:val="2"/>
                <w:sz w:val="24"/>
                <w:szCs w:val="24"/>
                <w:u w:val="none"/>
                <w:lang w:val="en-US" w:eastAsia="zh-CN" w:bidi="ar-SA"/>
              </w:rPr>
              <w:t>.00</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5A8EF3DC">
            <w:pPr>
              <w:widowControl/>
              <w:jc w:val="center"/>
              <w:rPr>
                <w:rFonts w:hint="eastAsia" w:ascii="宋体" w:hAnsi="宋体" w:eastAsia="宋体" w:cs="宋体"/>
                <w:kern w:val="0"/>
                <w:sz w:val="24"/>
                <w:szCs w:val="24"/>
                <w:highlight w:val="none"/>
              </w:rPr>
            </w:pPr>
          </w:p>
        </w:tc>
      </w:tr>
    </w:tbl>
    <w:p w14:paraId="3077E9B9">
      <w:pPr>
        <w:pStyle w:val="11"/>
        <w:spacing w:line="360" w:lineRule="auto"/>
        <w:ind w:left="0" w:leftChars="0" w:firstLine="0" w:firstLineChars="0"/>
        <w:rPr>
          <w:rFonts w:hint="eastAsia" w:ascii="宋体" w:hAnsi="宋体" w:cs="宋体"/>
          <w:sz w:val="24"/>
          <w:szCs w:val="24"/>
          <w:highlight w:val="none"/>
          <w:lang w:eastAsia="zh-CN"/>
        </w:rPr>
      </w:pPr>
    </w:p>
    <w:p w14:paraId="7B1A14C4">
      <w:pPr>
        <w:pStyle w:val="11"/>
        <w:spacing w:line="360" w:lineRule="auto"/>
        <w:ind w:left="0" w:leftChars="0" w:firstLine="0" w:firstLineChars="0"/>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5.服务时间</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i w:val="0"/>
          <w:iCs w:val="0"/>
          <w:color w:val="000000"/>
          <w:kern w:val="0"/>
          <w:sz w:val="24"/>
          <w:szCs w:val="24"/>
          <w:highlight w:val="none"/>
          <w:u w:val="none"/>
          <w:lang w:val="en-US" w:eastAsia="zh-CN" w:bidi="ar"/>
        </w:rPr>
        <w:t>自合同签订之日起至2024年12月15日</w:t>
      </w:r>
      <w:r>
        <w:rPr>
          <w:rFonts w:hint="eastAsia" w:ascii="宋体" w:hAnsi="宋体" w:cs="宋体"/>
          <w:color w:val="000000"/>
          <w:kern w:val="2"/>
          <w:sz w:val="24"/>
          <w:szCs w:val="24"/>
          <w:highlight w:val="none"/>
          <w:lang w:val="en-US" w:eastAsia="zh-CN" w:bidi="ar-SA"/>
        </w:rPr>
        <w:t xml:space="preserve"> </w:t>
      </w:r>
    </w:p>
    <w:p w14:paraId="3F5FFCDB">
      <w:pPr>
        <w:pStyle w:val="11"/>
        <w:spacing w:line="360" w:lineRule="auto"/>
        <w:ind w:left="0" w:leftChars="0" w:firstLine="0" w:firstLineChars="0"/>
        <w:rPr>
          <w:rFonts w:hint="eastAsia" w:ascii="宋体" w:hAnsi="宋体" w:cs="宋体"/>
          <w:color w:val="000000"/>
          <w:sz w:val="24"/>
          <w:highlight w:val="none"/>
          <w:lang w:val="en-US" w:eastAsia="zh-CN"/>
        </w:rPr>
      </w:pPr>
      <w:r>
        <w:rPr>
          <w:rFonts w:hint="eastAsia" w:ascii="宋体" w:hAnsi="宋体" w:cs="宋体"/>
          <w:color w:val="000000"/>
          <w:kern w:val="2"/>
          <w:sz w:val="24"/>
          <w:szCs w:val="24"/>
          <w:highlight w:val="none"/>
          <w:lang w:val="en-US" w:eastAsia="zh-CN" w:bidi="ar-SA"/>
        </w:rPr>
        <w:t>6.服务地点：</w:t>
      </w:r>
      <w:r>
        <w:rPr>
          <w:rFonts w:hint="eastAsia" w:ascii="宋体" w:hAnsi="宋体" w:cs="宋体"/>
          <w:color w:val="000000"/>
          <w:sz w:val="24"/>
          <w:highlight w:val="none"/>
          <w:lang w:val="en-US" w:eastAsia="zh-CN"/>
        </w:rPr>
        <w:t>锡林郭勒超高压供电分公司</w:t>
      </w:r>
    </w:p>
    <w:p w14:paraId="3D0D70C9">
      <w:pPr>
        <w:pStyle w:val="11"/>
        <w:spacing w:line="360" w:lineRule="auto"/>
        <w:ind w:left="0" w:leftChars="0" w:firstLine="0" w:firstLineChars="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48E0755C">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43AB4DD0">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6E30CF92">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779484C0">
      <w:pPr>
        <w:spacing w:line="360" w:lineRule="auto"/>
        <w:ind w:firstLine="480" w:firstLineChars="200"/>
        <w:jc w:val="left"/>
        <w:rPr>
          <w:rFonts w:hint="eastAsia" w:ascii="宋体" w:hAnsi="宋体" w:eastAsia="宋体" w:cs="宋体"/>
          <w:bCs/>
          <w:color w:val="92D050"/>
          <w:sz w:val="24"/>
          <w:highlight w:val="none"/>
          <w:lang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w:t>
      </w:r>
      <w:r>
        <w:rPr>
          <w:rFonts w:hint="eastAsia" w:ascii="宋体" w:hAnsi="宋体" w:eastAsia="宋体" w:cs="宋体"/>
          <w:bCs/>
          <w:color w:val="000000"/>
          <w:sz w:val="24"/>
          <w:highlight w:val="none"/>
        </w:rPr>
        <w:t>；</w:t>
      </w:r>
    </w:p>
    <w:p w14:paraId="7AB60811">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22D1F666">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3F681F35">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6E09B27B">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36D02B30">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5B6E0A25">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0D059714">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5F9B52E8">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14:paraId="3BAEC69A">
      <w:pPr>
        <w:pStyle w:val="2"/>
        <w:spacing w:line="360" w:lineRule="auto"/>
        <w:ind w:firstLine="48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专用资格要求：</w:t>
      </w:r>
    </w:p>
    <w:p w14:paraId="6018E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1、供应商需具备公安部</w:t>
      </w:r>
      <w:r>
        <w:rPr>
          <w:rFonts w:hint="eastAsia"/>
          <w:sz w:val="24"/>
          <w:szCs w:val="24"/>
          <w:lang w:val="en-US" w:eastAsia="zh-CN"/>
        </w:rPr>
        <w:t>颁发</w:t>
      </w:r>
      <w:r>
        <w:rPr>
          <w:rFonts w:hint="eastAsia"/>
          <w:sz w:val="24"/>
          <w:szCs w:val="24"/>
        </w:rPr>
        <w:t>的《国家网络安全等级测评与检测评估机构服务认证证书》，提供证书扫描件及查询网址。</w:t>
      </w:r>
    </w:p>
    <w:p w14:paraId="0803ED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2、供应商需入围国家密码管理局42号公告公布的《商用密码应用安全性评估试点机构目录》，提供相关证明材料及查询网址。</w:t>
      </w:r>
    </w:p>
    <w:p w14:paraId="36D42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3、供应商需具备中国网络安全审查技术与认证中心颁发的《信息安全服务资质认证证书信息安全风险评估一级》资质证书，提供证书扫描件及查询网址。</w:t>
      </w:r>
    </w:p>
    <w:p w14:paraId="28919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4、供应商需具备中国合格评定国家认可委员会CNAS实验室认可证书，提供证书扫描件及查询网址。</w:t>
      </w:r>
    </w:p>
    <w:bookmarkEnd w:id="0"/>
    <w:p w14:paraId="2BF11A6E">
      <w:pPr>
        <w:pStyle w:val="7"/>
        <w:numPr>
          <w:ilvl w:val="0"/>
          <w:numId w:val="0"/>
        </w:numPr>
        <w:spacing w:line="360" w:lineRule="auto"/>
        <w:ind w:firstLine="241" w:firstLineChars="1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588313C4">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626D3755">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基本信息注册，然后在招标采购项目挂网公告所在的电子采购交易平台（蒙电电子商务系统）办理中招互连扫码签章，前述工作完成后方可开始竞标报名。</w:t>
      </w:r>
    </w:p>
    <w:p w14:paraId="12813A41">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10</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14</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10</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18</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http://guocai-impc.cppchina.cn</w:t>
      </w:r>
      <w:r>
        <w:rPr>
          <w:rFonts w:hint="eastAsia" w:ascii="宋体" w:hAnsi="宋体" w:eastAsia="宋体" w:cs="宋体"/>
          <w:color w:val="000000"/>
          <w:sz w:val="24"/>
          <w:szCs w:val="24"/>
          <w:highlight w:val="none"/>
        </w:rPr>
        <w:t>）在线报名和下载文件，逾期不予受理。</w:t>
      </w:r>
    </w:p>
    <w:p w14:paraId="3727C6B5">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6618A56A">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62A6940E">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72DCCB16">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1C0A4AB5">
      <w:pPr>
        <w:pStyle w:val="6"/>
        <w:numPr>
          <w:ilvl w:val="0"/>
          <w:numId w:val="2"/>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4A29ACD9">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78DD0482">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4F0A89FC">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30B44DFC">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4EF45588">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7D8CA596">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1E92EEA9">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42AFBA7D">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2782587E">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6A0E309B">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7CDFDC19">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5D8B7E0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1E787CF4">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0E20B599">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039D64D2">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10月14日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10 月 21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3718F1E3">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10月 21日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7F2DC55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10 月 21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D8C574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10月 21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18EDE52F">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1BC6F269">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2ABBC996">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5A98FBAC">
      <w:pPr>
        <w:pStyle w:val="13"/>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5442554B">
      <w:pPr>
        <w:pStyle w:val="13"/>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3DC617A4">
      <w:pPr>
        <w:pStyle w:val="13"/>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7BE278A7">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0AE39AF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12213BEE">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71C217CC">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179E21FF">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"http://www.cebpubservice.com"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www.cebpubservice.com</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"http://zbgg.nmgztb.com.cn/"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http://www.nmgztb.com.cn</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内蒙古电力集团电子采购系统</w:t>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http://guocai-impc.cppchina.cn</w:t>
      </w:r>
      <w:r>
        <w:rPr>
          <w:rStyle w:val="10"/>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19EAD383">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12BF4600">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6852D0E9">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3E2B0775">
      <w:pPr>
        <w:pStyle w:val="14"/>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3317F622">
      <w:pPr>
        <w:pStyle w:val="14"/>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49F56B30">
      <w:pPr>
        <w:pStyle w:val="7"/>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4648AFAE">
      <w:pPr>
        <w:pStyle w:val="14"/>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1B5915E2">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030E7086">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27AADB5E">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5F8A5A48">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31A45B67">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443A1C7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Times New Roman"/>
    <w:panose1 w:val="020206030504050203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12E1755A"/>
    <w:multiLevelType w:val="singleLevel"/>
    <w:tmpl w:val="12E17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0712092"/>
    <w:rsid w:val="7071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szCs w:val="20"/>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0">
    <w:name w:val="Hyperlink"/>
    <w:basedOn w:val="9"/>
    <w:qFormat/>
    <w:uiPriority w:val="99"/>
    <w:rPr>
      <w:color w:val="333333"/>
      <w:u w:val="none"/>
    </w:rPr>
  </w:style>
  <w:style w:type="paragraph" w:customStyle="1" w:styleId="11">
    <w:name w:val="BodyText1I2"/>
    <w:basedOn w:val="12"/>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2">
    <w:name w:val="BodyTextIndent"/>
    <w:basedOn w:val="1"/>
    <w:qFormat/>
    <w:uiPriority w:val="0"/>
    <w:pPr>
      <w:snapToGrid w:val="0"/>
      <w:spacing w:line="500" w:lineRule="atLeast"/>
      <w:ind w:firstLine="480"/>
    </w:pPr>
    <w:rPr>
      <w:rFonts w:ascii="宋体" w:hAnsi="CG Times"/>
      <w:sz w:val="24"/>
      <w:lang w:val="zh-CN"/>
    </w:rPr>
  </w:style>
  <w:style w:type="paragraph" w:customStyle="1" w:styleId="13">
    <w:name w:val="列出段落11"/>
    <w:basedOn w:val="1"/>
    <w:qFormat/>
    <w:uiPriority w:val="34"/>
    <w:pPr>
      <w:ind w:firstLine="420" w:firstLineChars="200"/>
    </w:pPr>
    <w:rPr>
      <w:rFonts w:ascii="Calibri" w:hAnsi="Calibri"/>
      <w:szCs w:val="20"/>
    </w:rPr>
  </w:style>
  <w:style w:type="paragraph" w:customStyle="1" w:styleId="14">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2024-10-14T03:52:00Z</dcterms:created>
  <dc:creator>WPS_1496299590</dc:creator>
  <cp:lastModifiedBy>WPS_1496299590</cp:lastModifiedBy>
  <dcterms:modified xsi:type="dcterms:W3CDTF">2024-10-14T03:52:57Z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A4D99A71F9A64AC69E5A311F68CBED65_11</vt:lpwstr>
  </property>
</Properties>
</file>