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1D209">
      <w:pPr>
        <w:pStyle w:val="2"/>
        <w:jc w:val="center"/>
        <w:rPr>
          <w:rFonts w:hint="eastAsia" w:ascii="宋体" w:hAnsi="宋体" w:eastAsia="宋体" w:cs="宋体"/>
          <w:b/>
          <w:bCs/>
          <w:sz w:val="24"/>
          <w:szCs w:val="24"/>
          <w:lang w:eastAsia="zh-CN"/>
        </w:rPr>
      </w:pPr>
      <w:bookmarkStart w:id="0" w:name="_Toc495644242"/>
      <w:r>
        <w:rPr>
          <w:rFonts w:hint="eastAsia" w:ascii="宋体" w:hAnsi="宋体" w:eastAsia="宋体" w:cs="宋体"/>
          <w:b/>
          <w:bCs/>
          <w:sz w:val="24"/>
          <w:szCs w:val="24"/>
          <w:lang w:eastAsia="zh-CN"/>
        </w:rPr>
        <w:t>锡林郭勒超高压供电分公司2024年第三批生产施工采购项目</w:t>
      </w:r>
    </w:p>
    <w:p w14:paraId="00C6CFB7">
      <w:pPr>
        <w:pStyle w:val="2"/>
        <w:jc w:val="center"/>
        <w:rPr>
          <w:rFonts w:hint="default"/>
          <w:lang w:val="en-US" w:eastAsia="zh-CN"/>
        </w:rPr>
      </w:pPr>
      <w:r>
        <w:rPr>
          <w:rFonts w:hint="eastAsia" w:ascii="宋体" w:hAnsi="宋体" w:eastAsia="宋体" w:cs="宋体"/>
          <w:b/>
          <w:bCs/>
          <w:sz w:val="24"/>
          <w:szCs w:val="24"/>
          <w:lang w:val="en-US" w:eastAsia="zh-CN"/>
        </w:rPr>
        <w:t>询比采购公告</w:t>
      </w:r>
    </w:p>
    <w:p w14:paraId="067F10F8">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项目编号: XCGS-2024-SG-0</w:t>
      </w:r>
      <w:r>
        <w:rPr>
          <w:rFonts w:hint="eastAsia" w:ascii="宋体" w:hAnsi="宋体" w:eastAsia="宋体" w:cs="宋体"/>
          <w:b/>
          <w:bCs/>
          <w:sz w:val="24"/>
          <w:szCs w:val="24"/>
          <w:lang w:val="en-US" w:eastAsia="zh-CN"/>
        </w:rPr>
        <w:t>71</w:t>
      </w:r>
      <w:r>
        <w:rPr>
          <w:rFonts w:hint="eastAsia" w:ascii="宋体" w:hAnsi="宋体" w:eastAsia="宋体" w:cs="宋体"/>
          <w:b/>
          <w:bCs/>
          <w:sz w:val="24"/>
          <w:szCs w:val="24"/>
          <w:lang w:eastAsia="zh-CN"/>
        </w:rPr>
        <w:t>（ZS-QCM</w:t>
      </w:r>
      <w:r>
        <w:rPr>
          <w:rFonts w:hint="eastAsia" w:ascii="宋体" w:hAnsi="宋体" w:eastAsia="宋体" w:cs="宋体"/>
          <w:b/>
          <w:bCs/>
          <w:sz w:val="24"/>
          <w:szCs w:val="24"/>
          <w:lang w:val="en-US" w:eastAsia="zh-CN"/>
        </w:rPr>
        <w:t>C</w:t>
      </w:r>
      <w:r>
        <w:rPr>
          <w:rFonts w:hint="eastAsia" w:ascii="宋体" w:hAnsi="宋体" w:eastAsia="宋体" w:cs="宋体"/>
          <w:b/>
          <w:bCs/>
          <w:sz w:val="24"/>
          <w:szCs w:val="24"/>
          <w:lang w:eastAsia="zh-CN"/>
        </w:rPr>
        <w:t>-H-202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-30</w:t>
      </w:r>
      <w:r>
        <w:rPr>
          <w:rFonts w:hint="eastAsia" w:ascii="宋体" w:hAnsi="宋体" w:eastAsia="宋体" w:cs="宋体"/>
          <w:b/>
          <w:bCs/>
          <w:sz w:val="24"/>
          <w:szCs w:val="24"/>
          <w:lang w:val="en-US" w:eastAsia="zh-CN"/>
        </w:rPr>
        <w:t>30）</w:t>
      </w:r>
    </w:p>
    <w:bookmarkEnd w:id="0"/>
    <w:p w14:paraId="564B06CB">
      <w:pPr>
        <w:spacing w:line="360" w:lineRule="auto"/>
        <w:ind w:left="-14" w:leftChars="-4" w:right="-54" w:firstLine="540" w:firstLineChars="225"/>
        <w:rPr>
          <w:rFonts w:hint="eastAsia" w:ascii="宋体" w:hAnsi="宋体" w:eastAsia="宋体" w:cs="宋体"/>
          <w:sz w:val="24"/>
          <w:szCs w:val="24"/>
          <w:highlight w:val="none"/>
        </w:rPr>
      </w:pPr>
      <w:r>
        <w:rPr>
          <w:rFonts w:hint="eastAsia" w:ascii="宋体" w:hAnsi="宋体" w:eastAsia="宋体" w:cs="宋体"/>
          <w:sz w:val="24"/>
          <w:szCs w:val="24"/>
        </w:rPr>
        <w:t>依据《国有企业采购操作规范》及《国有企业采购操作规范》释义等相关的规定，受</w:t>
      </w:r>
      <w:r>
        <w:rPr>
          <w:rFonts w:hint="eastAsia" w:ascii="宋体" w:hAnsi="宋体" w:eastAsia="宋体" w:cs="宋体"/>
          <w:sz w:val="24"/>
          <w:szCs w:val="24"/>
          <w:lang w:val="en-US" w:eastAsia="zh-CN"/>
        </w:rPr>
        <w:t>内蒙古电力(集团)有限责任公司锡林郭勒超高压供电分公司</w:t>
      </w:r>
      <w:r>
        <w:rPr>
          <w:rFonts w:hint="eastAsia" w:ascii="宋体" w:hAnsi="宋体" w:eastAsia="宋体" w:cs="宋体"/>
          <w:sz w:val="24"/>
          <w:szCs w:val="24"/>
          <w:highlight w:val="none"/>
        </w:rPr>
        <w:t>的委托,内蒙古中实工程招标咨询有限责任公司对</w:t>
      </w:r>
      <w:r>
        <w:rPr>
          <w:rFonts w:hint="eastAsia" w:ascii="宋体" w:hAnsi="宋体" w:eastAsia="宋体" w:cs="宋体"/>
          <w:sz w:val="24"/>
          <w:szCs w:val="24"/>
          <w:highlight w:val="none"/>
          <w:lang w:eastAsia="zh-CN"/>
        </w:rPr>
        <w:t>锡林郭勒超高压供电分公司2024年第三批生产施工采购项目</w:t>
      </w:r>
      <w:r>
        <w:rPr>
          <w:rFonts w:hint="eastAsia" w:ascii="宋体" w:hAnsi="宋体" w:eastAsia="宋体" w:cs="宋体"/>
          <w:sz w:val="24"/>
          <w:szCs w:val="24"/>
          <w:highlight w:val="none"/>
        </w:rPr>
        <w:t>进行询比采购,现发布采购公告如下:</w:t>
      </w:r>
      <w:bookmarkStart w:id="1" w:name="_Toc495644243"/>
      <w:r>
        <w:rPr>
          <w:rFonts w:hint="eastAsia" w:ascii="宋体" w:hAnsi="宋体" w:eastAsia="宋体" w:cs="宋体"/>
          <w:sz w:val="24"/>
          <w:szCs w:val="24"/>
          <w:highlight w:val="none"/>
        </w:rPr>
        <w:t xml:space="preserve"> </w:t>
      </w:r>
    </w:p>
    <w:p w14:paraId="4AE88949">
      <w:pPr>
        <w:spacing w:line="360" w:lineRule="auto"/>
        <w:ind w:right="-54"/>
        <w:rPr>
          <w:rFonts w:hint="eastAsia" w:ascii="宋体" w:hAnsi="宋体" w:eastAsia="宋体" w:cs="宋体"/>
          <w:b/>
          <w:sz w:val="24"/>
          <w:szCs w:val="24"/>
          <w:highlight w:val="none"/>
        </w:rPr>
      </w:pPr>
      <w:r>
        <w:rPr>
          <w:rFonts w:hint="eastAsia" w:ascii="宋体" w:hAnsi="宋体" w:eastAsia="宋体" w:cs="宋体"/>
          <w:b/>
          <w:sz w:val="24"/>
          <w:szCs w:val="24"/>
          <w:highlight w:val="none"/>
        </w:rPr>
        <w:t>1. 项目概况与采购范围</w:t>
      </w:r>
      <w:bookmarkEnd w:id="1"/>
      <w:r>
        <w:rPr>
          <w:rFonts w:hint="eastAsia" w:ascii="宋体" w:hAnsi="宋体" w:eastAsia="宋体" w:cs="宋体"/>
          <w:b/>
          <w:sz w:val="24"/>
          <w:szCs w:val="24"/>
          <w:highlight w:val="none"/>
        </w:rPr>
        <w:t xml:space="preserve"> </w:t>
      </w:r>
    </w:p>
    <w:p w14:paraId="6253C408">
      <w:pPr>
        <w:snapToGrid w:val="0"/>
        <w:spacing w:line="360" w:lineRule="auto"/>
        <w:ind w:right="-65" w:rightChars="-19"/>
        <w:rPr>
          <w:rFonts w:hint="eastAsia" w:ascii="宋体" w:hAnsi="宋体" w:eastAsia="宋体" w:cs="宋体"/>
          <w:sz w:val="24"/>
          <w:szCs w:val="22"/>
          <w:highlight w:val="none"/>
          <w:lang w:eastAsia="zh-CN"/>
        </w:rPr>
      </w:pPr>
      <w:bookmarkStart w:id="2" w:name="_Toc495644244"/>
      <w:r>
        <w:rPr>
          <w:rFonts w:hint="eastAsia" w:ascii="宋体" w:hAnsi="宋体" w:eastAsia="宋体" w:cs="宋体"/>
          <w:sz w:val="24"/>
          <w:szCs w:val="22"/>
          <w:highlight w:val="none"/>
        </w:rPr>
        <w:t>1.1采购项目名称：</w:t>
      </w:r>
      <w:r>
        <w:rPr>
          <w:rFonts w:hint="eastAsia" w:ascii="宋体" w:hAnsi="宋体" w:eastAsia="宋体" w:cs="宋体"/>
          <w:sz w:val="24"/>
          <w:szCs w:val="22"/>
          <w:highlight w:val="none"/>
          <w:lang w:eastAsia="zh-CN"/>
        </w:rPr>
        <w:t>锡林郭勒超高压供电分公司2024年第三批生产施工采购项目</w:t>
      </w:r>
    </w:p>
    <w:p w14:paraId="1C0504ED">
      <w:pPr>
        <w:snapToGrid w:val="0"/>
        <w:spacing w:line="360" w:lineRule="auto"/>
        <w:ind w:right="-65" w:rightChars="-19"/>
        <w:rPr>
          <w:rFonts w:hint="eastAsia" w:ascii="宋体" w:hAnsi="宋体" w:eastAsia="宋体" w:cs="宋体"/>
          <w:sz w:val="24"/>
          <w:szCs w:val="24"/>
          <w:highlight w:val="none"/>
        </w:rPr>
      </w:pPr>
      <w:r>
        <w:rPr>
          <w:rFonts w:hint="eastAsia" w:ascii="宋体" w:hAnsi="宋体" w:eastAsia="宋体" w:cs="宋体"/>
          <w:sz w:val="24"/>
          <w:szCs w:val="22"/>
          <w:highlight w:val="none"/>
        </w:rPr>
        <w:t>1.2采购内容：</w:t>
      </w:r>
      <w:r>
        <w:rPr>
          <w:rFonts w:hint="eastAsia" w:ascii="宋体" w:hAnsi="宋体" w:eastAsia="宋体" w:cs="宋体"/>
          <w:sz w:val="24"/>
          <w:szCs w:val="24"/>
          <w:highlight w:val="none"/>
        </w:rPr>
        <w:t xml:space="preserve">本项目共计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个标</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，采购内容详见采购公告附件“需求明细表”</w:t>
      </w:r>
    </w:p>
    <w:tbl>
      <w:tblPr>
        <w:tblStyle w:val="7"/>
        <w:tblW w:w="4863" w:type="pct"/>
        <w:jc w:val="center"/>
        <w:tblLayout w:type="fixed"/>
        <w:tblCellMar>
          <w:top w:w="0" w:type="dxa"/>
          <w:left w:w="108" w:type="dxa"/>
          <w:bottom w:w="0" w:type="dxa"/>
          <w:right w:w="108" w:type="dxa"/>
        </w:tblCellMar>
      </w:tblPr>
      <w:tblGrid>
        <w:gridCol w:w="733"/>
        <w:gridCol w:w="2447"/>
        <w:gridCol w:w="760"/>
        <w:gridCol w:w="716"/>
        <w:gridCol w:w="1189"/>
        <w:gridCol w:w="1234"/>
        <w:gridCol w:w="1209"/>
      </w:tblGrid>
      <w:tr w14:paraId="48CDD3D4">
        <w:tblPrEx>
          <w:tblCellMar>
            <w:top w:w="0" w:type="dxa"/>
            <w:left w:w="108" w:type="dxa"/>
            <w:bottom w:w="0" w:type="dxa"/>
            <w:right w:w="108" w:type="dxa"/>
          </w:tblCellMar>
        </w:tblPrEx>
        <w:trPr>
          <w:trHeight w:val="479" w:hRule="atLeast"/>
          <w:jc w:val="center"/>
        </w:trPr>
        <w:tc>
          <w:tcPr>
            <w:tcW w:w="442" w:type="pct"/>
            <w:vMerge w:val="restart"/>
            <w:tcBorders>
              <w:top w:val="single" w:color="auto" w:sz="4" w:space="0"/>
              <w:left w:val="single" w:color="auto" w:sz="4" w:space="0"/>
              <w:right w:val="single" w:color="auto" w:sz="4" w:space="0"/>
            </w:tcBorders>
            <w:noWrap/>
            <w:vAlign w:val="center"/>
          </w:tcPr>
          <w:p w14:paraId="7871FF6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476" w:type="pct"/>
            <w:vMerge w:val="restart"/>
            <w:tcBorders>
              <w:top w:val="single" w:color="auto" w:sz="4" w:space="0"/>
              <w:left w:val="single" w:color="auto" w:sz="4" w:space="0"/>
              <w:right w:val="single" w:color="auto" w:sz="4" w:space="0"/>
            </w:tcBorders>
            <w:noWrap/>
            <w:vAlign w:val="center"/>
          </w:tcPr>
          <w:p w14:paraId="40E570EC">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子项目名称</w:t>
            </w:r>
          </w:p>
        </w:tc>
        <w:tc>
          <w:tcPr>
            <w:tcW w:w="458" w:type="pct"/>
            <w:vMerge w:val="restart"/>
            <w:tcBorders>
              <w:top w:val="single" w:color="auto" w:sz="4" w:space="0"/>
              <w:left w:val="single" w:color="auto" w:sz="4" w:space="0"/>
              <w:right w:val="single" w:color="auto" w:sz="4" w:space="0"/>
            </w:tcBorders>
            <w:noWrap/>
            <w:vAlign w:val="center"/>
          </w:tcPr>
          <w:p w14:paraId="1D36E37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431" w:type="pct"/>
            <w:vMerge w:val="restart"/>
            <w:tcBorders>
              <w:top w:val="single" w:color="auto" w:sz="4" w:space="0"/>
              <w:left w:val="single" w:color="auto" w:sz="4" w:space="0"/>
              <w:right w:val="single" w:color="auto" w:sz="4" w:space="0"/>
            </w:tcBorders>
            <w:noWrap w:val="0"/>
            <w:vAlign w:val="center"/>
          </w:tcPr>
          <w:p w14:paraId="5A09849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采购</w:t>
            </w:r>
          </w:p>
          <w:p w14:paraId="32B31DB5">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462" w:type="pct"/>
            <w:gridSpan w:val="2"/>
            <w:tcBorders>
              <w:top w:val="single" w:color="auto" w:sz="4" w:space="0"/>
              <w:left w:val="single" w:color="auto" w:sz="4" w:space="0"/>
              <w:bottom w:val="single" w:color="auto" w:sz="4" w:space="0"/>
              <w:right w:val="single" w:color="auto" w:sz="4" w:space="0"/>
            </w:tcBorders>
            <w:noWrap/>
            <w:vAlign w:val="center"/>
          </w:tcPr>
          <w:p w14:paraId="5AFF162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最高限价（元）</w:t>
            </w:r>
          </w:p>
        </w:tc>
        <w:tc>
          <w:tcPr>
            <w:tcW w:w="729" w:type="pct"/>
            <w:vMerge w:val="restart"/>
            <w:tcBorders>
              <w:top w:val="single" w:color="auto" w:sz="4" w:space="0"/>
              <w:left w:val="single" w:color="auto" w:sz="4" w:space="0"/>
              <w:right w:val="single" w:color="auto" w:sz="4" w:space="0"/>
            </w:tcBorders>
            <w:noWrap w:val="0"/>
            <w:vAlign w:val="center"/>
          </w:tcPr>
          <w:p w14:paraId="155B633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标段划分</w:t>
            </w:r>
          </w:p>
        </w:tc>
      </w:tr>
      <w:tr w14:paraId="39742C00">
        <w:tblPrEx>
          <w:tblCellMar>
            <w:top w:w="0" w:type="dxa"/>
            <w:left w:w="108" w:type="dxa"/>
            <w:bottom w:w="0" w:type="dxa"/>
            <w:right w:w="108" w:type="dxa"/>
          </w:tblCellMar>
        </w:tblPrEx>
        <w:trPr>
          <w:trHeight w:val="266" w:hRule="atLeast"/>
          <w:jc w:val="center"/>
        </w:trPr>
        <w:tc>
          <w:tcPr>
            <w:tcW w:w="442" w:type="pct"/>
            <w:vMerge w:val="continue"/>
            <w:tcBorders>
              <w:left w:val="single" w:color="auto" w:sz="4" w:space="0"/>
              <w:bottom w:val="single" w:color="auto" w:sz="4" w:space="0"/>
              <w:right w:val="single" w:color="auto" w:sz="4" w:space="0"/>
            </w:tcBorders>
            <w:noWrap/>
            <w:vAlign w:val="center"/>
          </w:tcPr>
          <w:p w14:paraId="424E5128">
            <w:pPr>
              <w:widowControl/>
              <w:jc w:val="center"/>
              <w:rPr>
                <w:rFonts w:hint="eastAsia" w:ascii="宋体" w:hAnsi="宋体" w:eastAsia="宋体" w:cs="宋体"/>
                <w:sz w:val="24"/>
                <w:szCs w:val="24"/>
                <w:highlight w:val="none"/>
              </w:rPr>
            </w:pPr>
          </w:p>
        </w:tc>
        <w:tc>
          <w:tcPr>
            <w:tcW w:w="1476" w:type="pct"/>
            <w:vMerge w:val="continue"/>
            <w:tcBorders>
              <w:left w:val="single" w:color="auto" w:sz="4" w:space="0"/>
              <w:bottom w:val="single" w:color="auto" w:sz="4" w:space="0"/>
              <w:right w:val="single" w:color="auto" w:sz="4" w:space="0"/>
            </w:tcBorders>
            <w:noWrap/>
            <w:vAlign w:val="center"/>
          </w:tcPr>
          <w:p w14:paraId="4FBD371E">
            <w:pPr>
              <w:widowControl/>
              <w:jc w:val="center"/>
              <w:rPr>
                <w:rFonts w:hint="eastAsia" w:ascii="宋体" w:hAnsi="宋体" w:eastAsia="宋体" w:cs="宋体"/>
                <w:sz w:val="24"/>
                <w:szCs w:val="24"/>
                <w:highlight w:val="none"/>
              </w:rPr>
            </w:pPr>
          </w:p>
        </w:tc>
        <w:tc>
          <w:tcPr>
            <w:tcW w:w="458" w:type="pct"/>
            <w:vMerge w:val="continue"/>
            <w:tcBorders>
              <w:left w:val="single" w:color="auto" w:sz="4" w:space="0"/>
              <w:bottom w:val="single" w:color="auto" w:sz="4" w:space="0"/>
              <w:right w:val="single" w:color="auto" w:sz="4" w:space="0"/>
            </w:tcBorders>
            <w:noWrap/>
            <w:vAlign w:val="center"/>
          </w:tcPr>
          <w:p w14:paraId="16AB7A12">
            <w:pPr>
              <w:widowControl/>
              <w:jc w:val="center"/>
              <w:rPr>
                <w:rFonts w:hint="eastAsia" w:ascii="宋体" w:hAnsi="宋体" w:eastAsia="宋体" w:cs="宋体"/>
                <w:sz w:val="24"/>
                <w:szCs w:val="24"/>
                <w:highlight w:val="none"/>
              </w:rPr>
            </w:pPr>
          </w:p>
        </w:tc>
        <w:tc>
          <w:tcPr>
            <w:tcW w:w="431" w:type="pct"/>
            <w:vMerge w:val="continue"/>
            <w:tcBorders>
              <w:left w:val="single" w:color="auto" w:sz="4" w:space="0"/>
              <w:bottom w:val="single" w:color="auto" w:sz="4" w:space="0"/>
              <w:right w:val="single" w:color="auto" w:sz="4" w:space="0"/>
            </w:tcBorders>
            <w:noWrap w:val="0"/>
            <w:vAlign w:val="center"/>
          </w:tcPr>
          <w:p w14:paraId="1C06255F">
            <w:pPr>
              <w:widowControl/>
              <w:jc w:val="center"/>
              <w:rPr>
                <w:rFonts w:hint="eastAsia" w:ascii="宋体" w:hAnsi="宋体" w:eastAsia="宋体" w:cs="宋体"/>
                <w:sz w:val="24"/>
                <w:szCs w:val="24"/>
                <w:highlight w:val="none"/>
              </w:rPr>
            </w:pPr>
          </w:p>
        </w:tc>
        <w:tc>
          <w:tcPr>
            <w:tcW w:w="717" w:type="pct"/>
            <w:tcBorders>
              <w:top w:val="single" w:color="auto" w:sz="4" w:space="0"/>
              <w:left w:val="single" w:color="auto" w:sz="4" w:space="0"/>
              <w:bottom w:val="single" w:color="auto" w:sz="4" w:space="0"/>
              <w:right w:val="single" w:color="auto" w:sz="4" w:space="0"/>
            </w:tcBorders>
            <w:noWrap/>
            <w:vAlign w:val="center"/>
          </w:tcPr>
          <w:p w14:paraId="6965D68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单价</w:t>
            </w:r>
          </w:p>
        </w:tc>
        <w:tc>
          <w:tcPr>
            <w:tcW w:w="744" w:type="pct"/>
            <w:tcBorders>
              <w:top w:val="single" w:color="auto" w:sz="4" w:space="0"/>
              <w:left w:val="single" w:color="auto" w:sz="4" w:space="0"/>
              <w:bottom w:val="single" w:color="auto" w:sz="4" w:space="0"/>
              <w:right w:val="single" w:color="auto" w:sz="4" w:space="0"/>
            </w:tcBorders>
            <w:noWrap/>
            <w:vAlign w:val="center"/>
          </w:tcPr>
          <w:p w14:paraId="164EF5F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总价</w:t>
            </w:r>
          </w:p>
        </w:tc>
        <w:tc>
          <w:tcPr>
            <w:tcW w:w="729" w:type="pct"/>
            <w:vMerge w:val="continue"/>
            <w:tcBorders>
              <w:left w:val="single" w:color="auto" w:sz="4" w:space="0"/>
              <w:bottom w:val="single" w:color="auto" w:sz="4" w:space="0"/>
              <w:right w:val="single" w:color="auto" w:sz="4" w:space="0"/>
            </w:tcBorders>
            <w:noWrap w:val="0"/>
            <w:vAlign w:val="center"/>
          </w:tcPr>
          <w:p w14:paraId="3A353072">
            <w:pPr>
              <w:widowControl/>
              <w:jc w:val="center"/>
              <w:rPr>
                <w:rFonts w:hint="eastAsia" w:ascii="宋体" w:hAnsi="宋体" w:eastAsia="宋体" w:cs="宋体"/>
                <w:b/>
                <w:bCs/>
                <w:kern w:val="0"/>
                <w:sz w:val="24"/>
                <w:szCs w:val="24"/>
                <w:highlight w:val="none"/>
              </w:rPr>
            </w:pPr>
          </w:p>
        </w:tc>
      </w:tr>
      <w:tr w14:paraId="33CE9D5F">
        <w:tblPrEx>
          <w:tblCellMar>
            <w:top w:w="0" w:type="dxa"/>
            <w:left w:w="108" w:type="dxa"/>
            <w:bottom w:w="0" w:type="dxa"/>
            <w:right w:w="108" w:type="dxa"/>
          </w:tblCellMar>
        </w:tblPrEx>
        <w:trPr>
          <w:trHeight w:val="852"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14:paraId="349A47D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59431981">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内蒙古能源锡西90万千瓦时独立储能工程接入500kV苏尼特站220kV间隔维护、调试中小修</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5AC477E3">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431" w:type="pct"/>
            <w:tcBorders>
              <w:top w:val="single" w:color="auto" w:sz="4" w:space="0"/>
              <w:left w:val="single" w:color="auto" w:sz="4" w:space="0"/>
              <w:bottom w:val="single" w:color="auto" w:sz="4" w:space="0"/>
              <w:right w:val="single" w:color="auto" w:sz="4" w:space="0"/>
            </w:tcBorders>
            <w:noWrap/>
            <w:vAlign w:val="center"/>
          </w:tcPr>
          <w:p w14:paraId="7C0CD4ED">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4A25CA23">
            <w:pPr>
              <w:keepNext w:val="0"/>
              <w:keepLines w:val="0"/>
              <w:widowControl/>
              <w:suppressLineNumbers w:val="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184636.00</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1255AA3C">
            <w:pPr>
              <w:keepNext w:val="0"/>
              <w:keepLines w:val="0"/>
              <w:widowControl/>
              <w:suppressLineNumbers w:val="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184636.00</w:t>
            </w:r>
          </w:p>
        </w:tc>
        <w:tc>
          <w:tcPr>
            <w:tcW w:w="729" w:type="pct"/>
            <w:tcBorders>
              <w:top w:val="single" w:color="auto" w:sz="4" w:space="0"/>
              <w:left w:val="single" w:color="auto" w:sz="4" w:space="0"/>
              <w:bottom w:val="single" w:color="auto" w:sz="4" w:space="0"/>
              <w:right w:val="single" w:color="auto" w:sz="4" w:space="0"/>
            </w:tcBorders>
            <w:noWrap w:val="0"/>
            <w:vAlign w:val="center"/>
          </w:tcPr>
          <w:p w14:paraId="3D410A0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第一标段</w:t>
            </w:r>
          </w:p>
        </w:tc>
      </w:tr>
      <w:tr w14:paraId="799C91C1">
        <w:tblPrEx>
          <w:tblCellMar>
            <w:top w:w="0" w:type="dxa"/>
            <w:left w:w="108" w:type="dxa"/>
            <w:bottom w:w="0" w:type="dxa"/>
            <w:right w:w="108" w:type="dxa"/>
          </w:tblCellMar>
        </w:tblPrEx>
        <w:trPr>
          <w:trHeight w:val="69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14:paraId="77F7E8F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0ECC5539">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特种作业库保温维修</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0B4B4766">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431" w:type="pct"/>
            <w:tcBorders>
              <w:top w:val="single" w:color="auto" w:sz="4" w:space="0"/>
              <w:left w:val="single" w:color="auto" w:sz="4" w:space="0"/>
              <w:bottom w:val="single" w:color="auto" w:sz="4" w:space="0"/>
              <w:right w:val="single" w:color="auto" w:sz="4" w:space="0"/>
            </w:tcBorders>
            <w:noWrap/>
            <w:vAlign w:val="center"/>
          </w:tcPr>
          <w:p w14:paraId="2B8D1B22">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4DC5D710">
            <w:pPr>
              <w:keepNext w:val="0"/>
              <w:keepLines w:val="0"/>
              <w:widowControl/>
              <w:suppressLineNumbers w:val="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 xml:space="preserve">197520.00 </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7657F25B">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197520.00 </w:t>
            </w:r>
          </w:p>
        </w:tc>
        <w:tc>
          <w:tcPr>
            <w:tcW w:w="729" w:type="pct"/>
            <w:tcBorders>
              <w:top w:val="single" w:color="auto" w:sz="4" w:space="0"/>
              <w:left w:val="single" w:color="auto" w:sz="4" w:space="0"/>
              <w:bottom w:val="single" w:color="auto" w:sz="4" w:space="0"/>
              <w:right w:val="single" w:color="auto" w:sz="4" w:space="0"/>
            </w:tcBorders>
            <w:noWrap w:val="0"/>
            <w:vAlign w:val="center"/>
          </w:tcPr>
          <w:p w14:paraId="2822B39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第二标段</w:t>
            </w:r>
          </w:p>
        </w:tc>
      </w:tr>
      <w:tr w14:paraId="005C9223">
        <w:tblPrEx>
          <w:tblCellMar>
            <w:top w:w="0" w:type="dxa"/>
            <w:left w:w="108" w:type="dxa"/>
            <w:bottom w:w="0" w:type="dxa"/>
            <w:right w:w="108" w:type="dxa"/>
          </w:tblCellMar>
        </w:tblPrEx>
        <w:trPr>
          <w:trHeight w:val="746"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14:paraId="139AC5D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70806956">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500kV塔拉变电站主控防静电地板中小修</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55B7248C">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431" w:type="pct"/>
            <w:tcBorders>
              <w:top w:val="single" w:color="auto" w:sz="4" w:space="0"/>
              <w:left w:val="single" w:color="auto" w:sz="4" w:space="0"/>
              <w:bottom w:val="single" w:color="auto" w:sz="4" w:space="0"/>
              <w:right w:val="single" w:color="auto" w:sz="4" w:space="0"/>
            </w:tcBorders>
            <w:noWrap/>
            <w:vAlign w:val="center"/>
          </w:tcPr>
          <w:p w14:paraId="39424D36">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301DA7EF">
            <w:pPr>
              <w:keepNext w:val="0"/>
              <w:keepLines w:val="0"/>
              <w:widowControl/>
              <w:suppressLineNumbers w:val="0"/>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 xml:space="preserve">205403.00 </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4DA31427">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205403.00 </w:t>
            </w:r>
          </w:p>
        </w:tc>
        <w:tc>
          <w:tcPr>
            <w:tcW w:w="729" w:type="pct"/>
            <w:tcBorders>
              <w:top w:val="single" w:color="auto" w:sz="4" w:space="0"/>
              <w:left w:val="single" w:color="auto" w:sz="4" w:space="0"/>
              <w:bottom w:val="single" w:color="auto" w:sz="4" w:space="0"/>
              <w:right w:val="single" w:color="auto" w:sz="4" w:space="0"/>
            </w:tcBorders>
            <w:noWrap w:val="0"/>
            <w:vAlign w:val="center"/>
          </w:tcPr>
          <w:p w14:paraId="50E4612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第三标段</w:t>
            </w:r>
          </w:p>
        </w:tc>
      </w:tr>
      <w:tr w14:paraId="69554060">
        <w:tblPrEx>
          <w:tblCellMar>
            <w:top w:w="0" w:type="dxa"/>
            <w:left w:w="108" w:type="dxa"/>
            <w:bottom w:w="0" w:type="dxa"/>
            <w:right w:w="108" w:type="dxa"/>
          </w:tblCellMar>
        </w:tblPrEx>
        <w:trPr>
          <w:trHeight w:val="548"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14:paraId="137A1CC1">
            <w:pPr>
              <w:widowControl/>
              <w:jc w:val="center"/>
              <w:rPr>
                <w:rFonts w:hint="eastAsia" w:ascii="宋体" w:hAnsi="宋体" w:eastAsia="宋体" w:cs="宋体"/>
                <w:kern w:val="0"/>
                <w:sz w:val="24"/>
                <w:szCs w:val="24"/>
                <w:highlight w:val="none"/>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6C6966BA">
            <w:pPr>
              <w:widowControl/>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合计</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35EADA60">
            <w:pPr>
              <w:widowControl/>
              <w:jc w:val="center"/>
              <w:rPr>
                <w:rFonts w:hint="eastAsia" w:ascii="宋体" w:hAnsi="宋体" w:eastAsia="宋体" w:cs="宋体"/>
                <w:kern w:val="0"/>
                <w:sz w:val="24"/>
                <w:szCs w:val="24"/>
                <w:highlight w:val="none"/>
              </w:rPr>
            </w:pPr>
          </w:p>
        </w:tc>
        <w:tc>
          <w:tcPr>
            <w:tcW w:w="431" w:type="pct"/>
            <w:tcBorders>
              <w:top w:val="single" w:color="auto" w:sz="4" w:space="0"/>
              <w:left w:val="single" w:color="auto" w:sz="4" w:space="0"/>
              <w:bottom w:val="single" w:color="auto" w:sz="4" w:space="0"/>
              <w:right w:val="single" w:color="auto" w:sz="4" w:space="0"/>
            </w:tcBorders>
            <w:noWrap/>
            <w:vAlign w:val="center"/>
          </w:tcPr>
          <w:p w14:paraId="719BCA75">
            <w:pPr>
              <w:widowControl/>
              <w:jc w:val="center"/>
              <w:rPr>
                <w:rFonts w:hint="eastAsia" w:ascii="宋体" w:hAnsi="宋体" w:eastAsia="宋体" w:cs="宋体"/>
                <w:kern w:val="0"/>
                <w:sz w:val="24"/>
                <w:szCs w:val="24"/>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58FC26F9">
            <w:pPr>
              <w:widowControl/>
              <w:jc w:val="center"/>
              <w:textAlignment w:val="center"/>
              <w:rPr>
                <w:rFonts w:hint="eastAsia" w:ascii="宋体" w:hAnsi="宋体" w:eastAsia="宋体" w:cs="宋体"/>
                <w:color w:val="000000"/>
                <w:kern w:val="0"/>
                <w:sz w:val="24"/>
                <w:szCs w:val="24"/>
                <w:highlight w:val="none"/>
                <w:lang w:bidi="ar"/>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32CC8FF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587559.00</w:t>
            </w:r>
          </w:p>
        </w:tc>
        <w:tc>
          <w:tcPr>
            <w:tcW w:w="729" w:type="pct"/>
            <w:tcBorders>
              <w:top w:val="single" w:color="auto" w:sz="4" w:space="0"/>
              <w:left w:val="single" w:color="auto" w:sz="4" w:space="0"/>
              <w:bottom w:val="single" w:color="auto" w:sz="4" w:space="0"/>
              <w:right w:val="single" w:color="auto" w:sz="4" w:space="0"/>
            </w:tcBorders>
            <w:noWrap w:val="0"/>
            <w:vAlign w:val="center"/>
          </w:tcPr>
          <w:p w14:paraId="77F6340F">
            <w:pPr>
              <w:widowControl/>
              <w:jc w:val="center"/>
              <w:rPr>
                <w:rFonts w:hint="eastAsia" w:ascii="宋体" w:hAnsi="宋体" w:eastAsia="宋体" w:cs="宋体"/>
                <w:kern w:val="0"/>
                <w:sz w:val="24"/>
                <w:szCs w:val="24"/>
                <w:highlight w:val="none"/>
              </w:rPr>
            </w:pPr>
          </w:p>
        </w:tc>
      </w:tr>
    </w:tbl>
    <w:p w14:paraId="75D0CEA5">
      <w:pPr>
        <w:snapToGrid w:val="0"/>
        <w:spacing w:line="360" w:lineRule="auto"/>
        <w:ind w:right="-65" w:rightChars="-19"/>
        <w:rPr>
          <w:rFonts w:hint="eastAsia" w:ascii="宋体" w:hAnsi="宋体" w:eastAsia="宋体" w:cs="宋体"/>
          <w:sz w:val="24"/>
          <w:szCs w:val="22"/>
          <w:highlight w:val="none"/>
        </w:rPr>
      </w:pPr>
      <w:r>
        <w:rPr>
          <w:rFonts w:hint="eastAsia" w:ascii="宋体" w:hAnsi="宋体" w:eastAsia="宋体" w:cs="宋体"/>
          <w:sz w:val="24"/>
          <w:szCs w:val="22"/>
          <w:highlight w:val="none"/>
        </w:rPr>
        <w:t>1.3资金来源：自筹资金</w:t>
      </w:r>
    </w:p>
    <w:p w14:paraId="4B76F19F">
      <w:pPr>
        <w:snapToGrid w:val="0"/>
        <w:spacing w:line="360" w:lineRule="auto"/>
        <w:ind w:right="-65" w:rightChars="-19"/>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rPr>
        <w:t>1.</w:t>
      </w:r>
      <w:bookmarkEnd w:id="2"/>
      <w:bookmarkStart w:id="3" w:name="_Toc37411142"/>
      <w:bookmarkStart w:id="4" w:name="_Toc37409907"/>
      <w:bookmarkStart w:id="5" w:name="_Toc37407095"/>
      <w:r>
        <w:rPr>
          <w:rFonts w:hint="eastAsia" w:ascii="宋体" w:hAnsi="宋体" w:eastAsia="宋体" w:cs="宋体"/>
          <w:sz w:val="24"/>
          <w:szCs w:val="22"/>
          <w:highlight w:val="none"/>
        </w:rPr>
        <w:t>4工期要求：</w:t>
      </w:r>
      <w:r>
        <w:rPr>
          <w:rFonts w:hint="eastAsia" w:ascii="宋体" w:hAnsi="宋体" w:eastAsia="宋体" w:cs="宋体"/>
          <w:sz w:val="24"/>
          <w:szCs w:val="22"/>
          <w:highlight w:val="none"/>
          <w:lang w:val="en-US" w:eastAsia="zh-CN"/>
        </w:rPr>
        <w:t>自合同签订之日起至2024年11月30日</w:t>
      </w:r>
    </w:p>
    <w:p w14:paraId="4A82ABD2">
      <w:pPr>
        <w:snapToGrid w:val="0"/>
        <w:spacing w:line="360" w:lineRule="auto"/>
        <w:ind w:right="-65" w:rightChars="-19"/>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1.5工程地点：</w:t>
      </w:r>
      <w:r>
        <w:rPr>
          <w:rFonts w:hint="eastAsia" w:ascii="宋体" w:hAnsi="宋体" w:eastAsia="宋体" w:cs="宋体"/>
          <w:sz w:val="24"/>
          <w:szCs w:val="22"/>
          <w:highlight w:val="none"/>
          <w:lang w:val="en-US" w:eastAsia="zh-CN"/>
        </w:rPr>
        <w:t>第1标段：</w:t>
      </w:r>
      <w:r>
        <w:rPr>
          <w:rFonts w:hint="eastAsia" w:ascii="宋体" w:hAnsi="宋体" w:eastAsia="宋体" w:cs="宋体"/>
          <w:kern w:val="0"/>
          <w:sz w:val="24"/>
          <w:szCs w:val="24"/>
          <w:highlight w:val="none"/>
          <w:lang w:eastAsia="zh-CN"/>
        </w:rPr>
        <w:t>500kV苏尼特</w:t>
      </w:r>
      <w:r>
        <w:rPr>
          <w:rFonts w:hint="eastAsia" w:ascii="宋体" w:hAnsi="宋体" w:eastAsia="宋体" w:cs="宋体"/>
          <w:kern w:val="0"/>
          <w:sz w:val="24"/>
          <w:szCs w:val="24"/>
          <w:highlight w:val="none"/>
          <w:lang w:val="en-US" w:eastAsia="zh-CN"/>
        </w:rPr>
        <w:t>变电</w:t>
      </w:r>
      <w:r>
        <w:rPr>
          <w:rFonts w:hint="eastAsia" w:ascii="宋体" w:hAnsi="宋体" w:eastAsia="宋体" w:cs="宋体"/>
          <w:kern w:val="0"/>
          <w:sz w:val="24"/>
          <w:szCs w:val="24"/>
          <w:highlight w:val="none"/>
          <w:lang w:eastAsia="zh-CN"/>
        </w:rPr>
        <w:t>站</w:t>
      </w:r>
      <w:r>
        <w:rPr>
          <w:rFonts w:hint="eastAsia" w:ascii="宋体" w:hAnsi="宋体" w:eastAsia="宋体" w:cs="宋体"/>
          <w:sz w:val="24"/>
          <w:szCs w:val="22"/>
          <w:highlight w:val="none"/>
          <w:lang w:val="en-US" w:eastAsia="zh-CN"/>
        </w:rPr>
        <w:t xml:space="preserve"> </w:t>
      </w:r>
    </w:p>
    <w:p w14:paraId="1E7DA406">
      <w:pPr>
        <w:snapToGrid w:val="0"/>
        <w:spacing w:line="360" w:lineRule="auto"/>
        <w:ind w:right="-65" w:rightChars="-19"/>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 xml:space="preserve">              第2、3</w:t>
      </w:r>
      <w:bookmarkStart w:id="27" w:name="_GoBack"/>
      <w:bookmarkEnd w:id="27"/>
      <w:r>
        <w:rPr>
          <w:rFonts w:hint="eastAsia" w:ascii="宋体" w:hAnsi="宋体" w:eastAsia="宋体" w:cs="宋体"/>
          <w:sz w:val="24"/>
          <w:szCs w:val="22"/>
          <w:highlight w:val="none"/>
          <w:lang w:val="en-US" w:eastAsia="zh-CN"/>
        </w:rPr>
        <w:t>标段：</w:t>
      </w:r>
      <w:r>
        <w:rPr>
          <w:rFonts w:hint="eastAsia" w:ascii="宋体" w:hAnsi="宋体" w:eastAsia="宋体" w:cs="宋体"/>
          <w:sz w:val="24"/>
          <w:szCs w:val="22"/>
          <w:highlight w:val="none"/>
          <w:lang w:eastAsia="zh-CN"/>
        </w:rPr>
        <w:t>锡林郭勒超高压供电分公司</w:t>
      </w:r>
      <w:r>
        <w:rPr>
          <w:rFonts w:hint="eastAsia" w:ascii="宋体" w:hAnsi="宋体" w:eastAsia="宋体" w:cs="宋体"/>
          <w:sz w:val="24"/>
          <w:szCs w:val="22"/>
          <w:highlight w:val="none"/>
          <w:lang w:val="en-US" w:eastAsia="zh-CN"/>
        </w:rPr>
        <w:t>和</w:t>
      </w:r>
      <w:r>
        <w:rPr>
          <w:rFonts w:hint="eastAsia" w:ascii="宋体" w:hAnsi="宋体" w:eastAsia="宋体" w:cs="宋体"/>
          <w:kern w:val="0"/>
          <w:sz w:val="24"/>
          <w:szCs w:val="24"/>
          <w:highlight w:val="none"/>
          <w:lang w:eastAsia="zh-CN"/>
        </w:rPr>
        <w:t>500kV塔拉变电站</w:t>
      </w:r>
    </w:p>
    <w:p w14:paraId="43EC724B">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highlight w:val="none"/>
        </w:rPr>
        <w:t>1.6质量要求：</w:t>
      </w:r>
      <w:r>
        <w:rPr>
          <w:rFonts w:hint="eastAsia" w:ascii="宋体" w:hAnsi="宋体" w:eastAsia="宋体" w:cs="宋体"/>
          <w:bCs/>
          <w:sz w:val="24"/>
          <w:highlight w:val="none"/>
        </w:rPr>
        <w:t>符合国家工程质量验收标准及</w:t>
      </w:r>
      <w:r>
        <w:rPr>
          <w:rFonts w:hint="eastAsia" w:ascii="宋体" w:hAnsi="宋体" w:eastAsia="宋体" w:cs="宋体"/>
          <w:sz w:val="24"/>
          <w:highlight w:val="none"/>
        </w:rPr>
        <w:t>国家相</w:t>
      </w:r>
      <w:r>
        <w:rPr>
          <w:rFonts w:hint="eastAsia" w:ascii="宋体" w:hAnsi="宋体" w:eastAsia="宋体" w:cs="宋体"/>
          <w:sz w:val="24"/>
        </w:rPr>
        <w:t>关专业的其他验收标准</w:t>
      </w:r>
    </w:p>
    <w:p w14:paraId="44F8283C">
      <w:pPr>
        <w:snapToGrid w:val="0"/>
        <w:spacing w:line="360" w:lineRule="auto"/>
        <w:ind w:right="-65" w:rightChars="-19"/>
        <w:rPr>
          <w:rFonts w:hint="eastAsia" w:ascii="宋体" w:hAnsi="宋体" w:eastAsia="宋体" w:cs="宋体"/>
          <w:bCs/>
          <w:sz w:val="24"/>
        </w:rPr>
      </w:pPr>
      <w:r>
        <w:rPr>
          <w:rFonts w:hint="eastAsia" w:ascii="宋体" w:hAnsi="宋体" w:eastAsia="宋体" w:cs="宋体"/>
          <w:sz w:val="24"/>
          <w:szCs w:val="22"/>
        </w:rPr>
        <w:t>1.7安全要求：</w:t>
      </w:r>
      <w:r>
        <w:rPr>
          <w:rFonts w:hint="eastAsia" w:ascii="宋体" w:hAnsi="宋体" w:eastAsia="宋体" w:cs="宋体"/>
          <w:bCs/>
          <w:sz w:val="24"/>
        </w:rPr>
        <w:t>符合国家工程安全验收标准及合同要求</w:t>
      </w:r>
    </w:p>
    <w:p w14:paraId="633CB9FE">
      <w:pPr>
        <w:snapToGrid w:val="0"/>
        <w:spacing w:line="360" w:lineRule="auto"/>
        <w:ind w:right="-65" w:rightChars="-19"/>
        <w:rPr>
          <w:rFonts w:hint="eastAsia" w:ascii="宋体" w:hAnsi="宋体" w:eastAsia="宋体" w:cs="宋体"/>
          <w:bCs/>
          <w:sz w:val="24"/>
          <w:lang w:val="en-US" w:eastAsia="zh-CN"/>
        </w:rPr>
      </w:pPr>
      <w:r>
        <w:rPr>
          <w:rFonts w:hint="eastAsia" w:ascii="宋体" w:hAnsi="宋体" w:eastAsia="宋体" w:cs="宋体"/>
          <w:bCs/>
          <w:sz w:val="24"/>
          <w:lang w:val="en-US" w:eastAsia="zh-CN"/>
        </w:rPr>
        <w:t>1.8限中要求：本项目2、3标段限中（即同一供应商可同时参与本项目多个标段的投标，但只能中2、3标段其中1个标段，当某一供应商在多个标段中同时评标综合得分最高时（即综合排名第一时），则依次选择标段预估金额（详见招标公告中的预估分配金额）最高的标段予以推荐为第一名中标候选人，供应商被推荐中标候选人第一名后，则该供应商在剩余标段的投标只参与评审，不参加排序（排序为空）和推荐中标候选人。）</w:t>
      </w:r>
    </w:p>
    <w:p w14:paraId="7D7A9CEE">
      <w:pPr>
        <w:snapToGrid w:val="0"/>
        <w:spacing w:line="360" w:lineRule="auto"/>
        <w:ind w:right="-65" w:rightChars="-19"/>
        <w:rPr>
          <w:rFonts w:hint="default" w:ascii="宋体" w:hAnsi="宋体" w:eastAsia="宋体" w:cs="宋体"/>
          <w:bCs/>
          <w:sz w:val="24"/>
          <w:lang w:val="en-US" w:eastAsia="zh-CN"/>
        </w:rPr>
      </w:pPr>
    </w:p>
    <w:bookmarkEnd w:id="3"/>
    <w:bookmarkEnd w:id="4"/>
    <w:bookmarkEnd w:id="5"/>
    <w:p w14:paraId="6936CF31">
      <w:pPr>
        <w:snapToGrid w:val="0"/>
        <w:spacing w:line="360" w:lineRule="auto"/>
        <w:ind w:right="-65" w:rightChars="-19"/>
        <w:rPr>
          <w:rFonts w:hint="eastAsia" w:ascii="宋体" w:hAnsi="宋体" w:eastAsia="宋体" w:cs="宋体"/>
          <w:sz w:val="24"/>
          <w:szCs w:val="24"/>
        </w:rPr>
      </w:pPr>
      <w:r>
        <w:rPr>
          <w:rFonts w:hint="eastAsia" w:ascii="宋体" w:hAnsi="宋体" w:eastAsia="宋体" w:cs="宋体"/>
          <w:b/>
          <w:sz w:val="24"/>
          <w:szCs w:val="24"/>
        </w:rPr>
        <w:t>2.供应商资格要求</w:t>
      </w:r>
    </w:p>
    <w:p w14:paraId="3E16DDDE">
      <w:pPr>
        <w:spacing w:line="360" w:lineRule="auto"/>
        <w:ind w:right="-65" w:rightChars="-19"/>
        <w:rPr>
          <w:rFonts w:hint="eastAsia" w:ascii="宋体" w:hAnsi="宋体" w:eastAsia="宋体" w:cs="宋体"/>
          <w:b/>
          <w:sz w:val="24"/>
          <w:szCs w:val="24"/>
        </w:rPr>
      </w:pPr>
      <w:r>
        <w:rPr>
          <w:rFonts w:hint="eastAsia" w:ascii="宋体" w:hAnsi="宋体" w:eastAsia="宋体" w:cs="宋体"/>
          <w:b/>
          <w:sz w:val="24"/>
          <w:szCs w:val="24"/>
        </w:rPr>
        <w:t>2.1通用资格要求：</w:t>
      </w:r>
    </w:p>
    <w:p w14:paraId="4D54F817">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本次招标要求投标人具有中华人民共和国企业法人资格和独立订立合同的权利，须具备相应服务能力，并在人员、设备、资金等方面具有保障如期完成招标项目的能力</w:t>
      </w:r>
      <w:r>
        <w:rPr>
          <w:rFonts w:hint="eastAsia" w:ascii="宋体" w:hAnsi="宋体" w:eastAsia="宋体" w:cs="宋体"/>
          <w:b w:val="0"/>
          <w:bCs/>
          <w:sz w:val="24"/>
          <w:szCs w:val="24"/>
          <w:lang w:eastAsia="zh-CN"/>
        </w:rPr>
        <w:t>。</w:t>
      </w:r>
    </w:p>
    <w:p w14:paraId="5706CE00">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2.单位负责人为同一人或者存在控股、管理关系的不同单位，不得参加同一标段投标或者未划分标段的同一招标项目投标。母子公司不能互用资质、业绩。</w:t>
      </w:r>
    </w:p>
    <w:p w14:paraId="6141D6EA">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投标人具有有效的营业执照</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企业如有信息变更，需有</w:t>
      </w:r>
      <w:r>
        <w:rPr>
          <w:rFonts w:hint="eastAsia" w:ascii="宋体" w:hAnsi="宋体" w:eastAsia="宋体" w:cs="宋体"/>
          <w:b w:val="0"/>
          <w:bCs/>
          <w:sz w:val="24"/>
          <w:szCs w:val="24"/>
          <w:lang w:val="en-US" w:eastAsia="zh-CN"/>
        </w:rPr>
        <w:t>行政主管部门</w:t>
      </w:r>
      <w:r>
        <w:rPr>
          <w:rFonts w:hint="eastAsia" w:ascii="宋体" w:hAnsi="宋体" w:eastAsia="宋体" w:cs="宋体"/>
          <w:b w:val="0"/>
          <w:bCs/>
          <w:sz w:val="24"/>
          <w:szCs w:val="24"/>
        </w:rPr>
        <w:t>变更说明</w:t>
      </w:r>
      <w:r>
        <w:rPr>
          <w:rFonts w:hint="eastAsia" w:ascii="宋体" w:hAnsi="宋体" w:eastAsia="宋体" w:cs="宋体"/>
          <w:b w:val="0"/>
          <w:bCs/>
          <w:sz w:val="24"/>
          <w:szCs w:val="24"/>
          <w:lang w:eastAsia="zh-CN"/>
        </w:rPr>
        <w:t>。</w:t>
      </w:r>
    </w:p>
    <w:p w14:paraId="29F3BB5D">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.供应商须具有开具增值税</w:t>
      </w:r>
      <w:r>
        <w:rPr>
          <w:rFonts w:hint="eastAsia" w:ascii="宋体" w:hAnsi="宋体" w:eastAsia="宋体" w:cs="宋体"/>
          <w:b w:val="0"/>
          <w:bCs/>
          <w:sz w:val="24"/>
          <w:szCs w:val="24"/>
          <w:lang w:val="en-US" w:eastAsia="zh-CN"/>
        </w:rPr>
        <w:t>专用</w:t>
      </w:r>
      <w:r>
        <w:rPr>
          <w:rFonts w:hint="eastAsia" w:ascii="宋体" w:hAnsi="宋体" w:eastAsia="宋体" w:cs="宋体"/>
          <w:b w:val="0"/>
          <w:bCs/>
          <w:sz w:val="24"/>
          <w:szCs w:val="24"/>
        </w:rPr>
        <w:t>发票的能力</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提供开具增值税发票的证明材料或一般纳税人证明）</w:t>
      </w:r>
    </w:p>
    <w:p w14:paraId="32A2D433">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投标企业及其法定代表人在中国裁判文书网（http://wenshu.court.gov.cn/Index）显示</w:t>
      </w:r>
      <w:r>
        <w:rPr>
          <w:rFonts w:hint="eastAsia" w:ascii="宋体" w:hAnsi="宋体" w:eastAsia="宋体" w:cs="宋体"/>
          <w:b w:val="0"/>
          <w:bCs/>
          <w:sz w:val="24"/>
          <w:szCs w:val="24"/>
          <w:lang w:val="en-US" w:eastAsia="zh-CN"/>
        </w:rPr>
        <w:t>近三年</w:t>
      </w:r>
      <w:r>
        <w:rPr>
          <w:rFonts w:hint="eastAsia" w:ascii="宋体" w:hAnsi="宋体" w:eastAsia="宋体" w:cs="宋体"/>
          <w:b w:val="0"/>
          <w:bCs/>
          <w:sz w:val="24"/>
          <w:szCs w:val="24"/>
        </w:rPr>
        <w:t>没有行贿犯罪记录</w:t>
      </w:r>
      <w:r>
        <w:rPr>
          <w:rFonts w:hint="eastAsia" w:ascii="宋体" w:hAnsi="宋体" w:eastAsia="宋体" w:cs="宋体"/>
          <w:b w:val="0"/>
          <w:bCs/>
          <w:sz w:val="24"/>
          <w:szCs w:val="24"/>
          <w:lang w:eastAsia="zh-CN"/>
        </w:rPr>
        <w:t>。</w:t>
      </w:r>
    </w:p>
    <w:p w14:paraId="6FD30A1C">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投标人在国家企业信用信息公示系统（http://www.gsxt.gov.cn）中未被列入严重违法失信企业名单</w:t>
      </w:r>
      <w:r>
        <w:rPr>
          <w:rFonts w:hint="eastAsia" w:ascii="宋体" w:hAnsi="宋体" w:eastAsia="宋体" w:cs="宋体"/>
          <w:b w:val="0"/>
          <w:bCs/>
          <w:sz w:val="24"/>
          <w:szCs w:val="24"/>
          <w:lang w:eastAsia="zh-CN"/>
        </w:rPr>
        <w:t>。</w:t>
      </w:r>
    </w:p>
    <w:p w14:paraId="5B4FDEF2">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7.投标人在“中国执行信息公开网”网站（http://zxgk.court.gov.cn/）未被列入失信被执行人名单</w:t>
      </w:r>
      <w:r>
        <w:rPr>
          <w:rFonts w:hint="eastAsia" w:ascii="宋体" w:hAnsi="宋体" w:eastAsia="宋体" w:cs="宋体"/>
          <w:b w:val="0"/>
          <w:bCs/>
          <w:sz w:val="24"/>
          <w:szCs w:val="24"/>
          <w:lang w:eastAsia="zh-CN"/>
        </w:rPr>
        <w:t>。</w:t>
      </w:r>
    </w:p>
    <w:p w14:paraId="51A048D5">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投标人未被列入中电联发布的涉电力领域失信联合惩戒对象名单及涉电力领域重点关注对象名单（截止到最新所有名单</w:t>
      </w:r>
      <w:r>
        <w:rPr>
          <w:rFonts w:hint="eastAsia" w:ascii="宋体" w:hAnsi="宋体" w:eastAsia="宋体" w:cs="宋体"/>
          <w:b w:val="0"/>
          <w:bCs/>
          <w:sz w:val="24"/>
          <w:szCs w:val="24"/>
          <w:lang w:eastAsia="zh-CN"/>
        </w:rPr>
        <w:t>）。</w:t>
      </w:r>
    </w:p>
    <w:p w14:paraId="5162D9BC">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投标人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eastAsia="宋体" w:cs="宋体"/>
          <w:b w:val="0"/>
          <w:bCs/>
          <w:sz w:val="24"/>
          <w:szCs w:val="24"/>
          <w:lang w:eastAsia="zh-CN"/>
        </w:rPr>
        <w:t>投标人不良行</w:t>
      </w:r>
      <w:r>
        <w:rPr>
          <w:rFonts w:hint="eastAsia" w:ascii="宋体" w:hAnsi="宋体" w:eastAsia="宋体" w:cs="宋体"/>
          <w:b w:val="0"/>
          <w:bCs/>
          <w:sz w:val="24"/>
          <w:szCs w:val="24"/>
        </w:rPr>
        <w:t>为处理的通知》的规定，未列入最新发布的不良</w:t>
      </w:r>
      <w:r>
        <w:rPr>
          <w:rFonts w:hint="eastAsia" w:ascii="宋体" w:hAnsi="宋体" w:eastAsia="宋体" w:cs="宋体"/>
          <w:b w:val="0"/>
          <w:bCs/>
          <w:sz w:val="24"/>
          <w:szCs w:val="24"/>
          <w:lang w:eastAsia="zh-CN"/>
        </w:rPr>
        <w:t>投标人</w:t>
      </w:r>
      <w:r>
        <w:rPr>
          <w:rFonts w:hint="eastAsia" w:ascii="宋体" w:hAnsi="宋体" w:eastAsia="宋体" w:cs="宋体"/>
          <w:b w:val="0"/>
          <w:bCs/>
          <w:sz w:val="24"/>
          <w:szCs w:val="24"/>
        </w:rPr>
        <w:t>名单</w:t>
      </w:r>
      <w:r>
        <w:rPr>
          <w:rFonts w:hint="eastAsia" w:ascii="宋体" w:hAnsi="宋体" w:eastAsia="宋体" w:cs="宋体"/>
          <w:b w:val="0"/>
          <w:bCs/>
          <w:sz w:val="24"/>
          <w:szCs w:val="24"/>
          <w:lang w:eastAsia="zh-CN"/>
        </w:rPr>
        <w:t>。</w:t>
      </w:r>
    </w:p>
    <w:p w14:paraId="09F0FC26">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信誉要求：</w:t>
      </w:r>
    </w:p>
    <w:p w14:paraId="0A77E126">
      <w:pPr>
        <w:spacing w:line="360" w:lineRule="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① 开标日前一年内未在招标人其他工程中因投标人的原因导致工程无法实现工程建设的质量目标。</w:t>
      </w:r>
    </w:p>
    <w:p w14:paraId="3A600591">
      <w:pPr>
        <w:spacing w:line="360" w:lineRule="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② 开标日前两年内无违反国家有关法律、规定分包工程的行为。</w:t>
      </w:r>
    </w:p>
    <w:p w14:paraId="76E79CCD">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③ 开标日前三年内无骗取中标或严重违约问题。</w:t>
      </w:r>
    </w:p>
    <w:p w14:paraId="07776AD2">
      <w:pPr>
        <w:spacing w:line="360" w:lineRule="auto"/>
        <w:rPr>
          <w:rFonts w:hint="eastAsia" w:ascii="宋体" w:hAnsi="宋体" w:eastAsia="宋体" w:cs="宋体"/>
          <w:b/>
          <w:sz w:val="24"/>
          <w:szCs w:val="24"/>
          <w:lang w:eastAsia="zh-CN"/>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本项目不接受联合体投标</w:t>
      </w:r>
      <w:r>
        <w:rPr>
          <w:rFonts w:hint="eastAsia" w:ascii="宋体" w:hAnsi="宋体" w:eastAsia="宋体" w:cs="宋体"/>
          <w:b/>
          <w:sz w:val="24"/>
          <w:szCs w:val="24"/>
          <w:lang w:eastAsia="zh-CN"/>
        </w:rPr>
        <w:t>。</w:t>
      </w:r>
    </w:p>
    <w:p w14:paraId="2C20B14B">
      <w:pPr>
        <w:spacing w:line="360" w:lineRule="auto"/>
        <w:rPr>
          <w:rFonts w:hint="eastAsia" w:ascii="宋体" w:hAnsi="宋体" w:eastAsia="宋体" w:cs="宋体"/>
          <w:b/>
          <w:sz w:val="24"/>
          <w:szCs w:val="24"/>
        </w:rPr>
      </w:pPr>
      <w:r>
        <w:rPr>
          <w:rFonts w:hint="eastAsia" w:ascii="宋体" w:hAnsi="宋体" w:eastAsia="宋体" w:cs="宋体"/>
          <w:b/>
          <w:sz w:val="24"/>
          <w:szCs w:val="24"/>
        </w:rPr>
        <w:t>2.2专用资格要求：</w:t>
      </w:r>
    </w:p>
    <w:p w14:paraId="466F4958">
      <w:pPr>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第1标段</w:t>
      </w:r>
    </w:p>
    <w:p w14:paraId="4856CA34">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49"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须具有建设主管部门颁发的电力工程施工总承包乙级及以上资质或输变电工程专业承包乙级及以上资质，证书在有效期内(上述资质为住建部最新资质要求(2020年11月30日建市(2020)94号《住房和城乡建设部关于印发建设工程企业资质管理制度改革方案的通知》)；如供应商还未申办上述资质，则“供应商须具有建设主管部门颁发的电力工程施工总承包</w:t>
      </w:r>
      <w:r>
        <w:rPr>
          <w:rFonts w:hint="eastAsia" w:ascii="宋体" w:hAnsi="宋体" w:eastAsia="宋体" w:cs="宋体"/>
          <w:sz w:val="24"/>
          <w:szCs w:val="24"/>
          <w:lang w:val="en-US" w:eastAsia="zh-CN"/>
        </w:rPr>
        <w:t>二</w:t>
      </w:r>
      <w:r>
        <w:rPr>
          <w:rFonts w:hint="eastAsia" w:ascii="宋体" w:hAnsi="宋体" w:eastAsia="宋体" w:cs="宋体"/>
          <w:sz w:val="24"/>
          <w:szCs w:val="24"/>
        </w:rPr>
        <w:t>级及以上资质或输变电工程专业承包</w:t>
      </w:r>
      <w:r>
        <w:rPr>
          <w:rFonts w:hint="eastAsia" w:ascii="宋体" w:hAnsi="宋体" w:eastAsia="宋体" w:cs="宋体"/>
          <w:sz w:val="24"/>
          <w:szCs w:val="24"/>
          <w:lang w:val="en-US" w:eastAsia="zh-CN"/>
        </w:rPr>
        <w:t>二</w:t>
      </w:r>
      <w:r>
        <w:rPr>
          <w:rFonts w:hint="eastAsia" w:ascii="宋体" w:hAnsi="宋体" w:eastAsia="宋体" w:cs="宋体"/>
          <w:sz w:val="24"/>
          <w:szCs w:val="24"/>
        </w:rPr>
        <w:t>级及以上资质，证书在有效期内”；</w:t>
      </w:r>
    </w:p>
    <w:p w14:paraId="371079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9"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供应商须具有国家能源局（国家电力监管委员会）颁发的承装（修、试）设施许可证承装、承修、承试</w:t>
      </w:r>
      <w:r>
        <w:rPr>
          <w:rFonts w:hint="eastAsia" w:ascii="宋体" w:hAnsi="宋体" w:eastAsia="宋体" w:cs="宋体"/>
          <w:sz w:val="24"/>
          <w:szCs w:val="24"/>
          <w:lang w:val="en-US" w:eastAsia="zh-CN"/>
        </w:rPr>
        <w:t>二级</w:t>
      </w:r>
      <w:r>
        <w:rPr>
          <w:rFonts w:hint="eastAsia" w:ascii="宋体" w:hAnsi="宋体" w:eastAsia="宋体" w:cs="宋体"/>
          <w:sz w:val="24"/>
          <w:szCs w:val="24"/>
        </w:rPr>
        <w:t>及以上资质证书，证书在有效期内</w:t>
      </w:r>
      <w:r>
        <w:rPr>
          <w:rFonts w:hint="eastAsia" w:ascii="宋体" w:hAnsi="宋体" w:eastAsia="宋体" w:cs="宋体"/>
          <w:sz w:val="24"/>
          <w:szCs w:val="24"/>
          <w:lang w:eastAsia="zh-CN"/>
        </w:rPr>
        <w:t>；</w:t>
      </w:r>
    </w:p>
    <w:p w14:paraId="429DD4E0">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49"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供应商须具有建设行政主管部门颁发的有效期内的安全生产许可证；</w:t>
      </w:r>
    </w:p>
    <w:p w14:paraId="34C95300">
      <w:pPr>
        <w:widowControl/>
        <w:numPr>
          <w:ilvl w:val="0"/>
          <w:numId w:val="0"/>
        </w:numPr>
        <w:shd w:val="clear" w:color="auto" w:fill="FFFFFF"/>
        <w:spacing w:line="360" w:lineRule="auto"/>
        <w:ind w:left="371" w:leftChars="0"/>
        <w:jc w:val="left"/>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第2、3标段：</w:t>
      </w:r>
    </w:p>
    <w:p w14:paraId="4E1CAFE2">
      <w:pPr>
        <w:widowControl/>
        <w:numPr>
          <w:ilvl w:val="0"/>
          <w:numId w:val="2"/>
        </w:numPr>
        <w:shd w:val="clear" w:color="auto" w:fill="FFFFFF"/>
        <w:spacing w:line="360" w:lineRule="auto"/>
        <w:ind w:left="371" w:leftChars="0"/>
        <w:jc w:val="left"/>
        <w:rPr>
          <w:rFonts w:hint="default" w:ascii="宋体" w:hAnsi="宋体" w:eastAsia="宋体" w:cs="宋体"/>
          <w:b w:val="0"/>
          <w:bCs w:val="0"/>
          <w:color w:val="000000"/>
          <w:sz w:val="24"/>
          <w:lang w:val="en-US" w:eastAsia="zh-CN"/>
        </w:rPr>
      </w:pPr>
      <w:r>
        <w:rPr>
          <w:rFonts w:hint="default" w:ascii="宋体" w:hAnsi="宋体" w:eastAsia="宋体" w:cs="宋体"/>
          <w:b w:val="0"/>
          <w:bCs w:val="0"/>
          <w:color w:val="000000"/>
          <w:sz w:val="24"/>
          <w:lang w:val="en-US" w:eastAsia="zh-CN"/>
        </w:rPr>
        <w:t>具有建筑工程施工总承包乙级及以上资质</w:t>
      </w:r>
      <w:r>
        <w:rPr>
          <w:rFonts w:hint="eastAsia" w:ascii="宋体" w:hAnsi="宋体" w:eastAsia="宋体" w:cs="宋体"/>
          <w:b w:val="0"/>
          <w:bCs w:val="0"/>
          <w:color w:val="000000"/>
          <w:sz w:val="24"/>
          <w:lang w:val="en-US" w:eastAsia="zh-CN"/>
        </w:rPr>
        <w:t>，</w:t>
      </w:r>
      <w:r>
        <w:rPr>
          <w:rFonts w:hint="eastAsia" w:ascii="宋体" w:hAnsi="宋体" w:eastAsia="宋体" w:cs="宋体"/>
          <w:sz w:val="24"/>
          <w:szCs w:val="24"/>
        </w:rPr>
        <w:t>证书在有效期内(上述资质为住建部最新资质要求(2020年11月30日建市(2020)94号《住房和城乡建设部关于印发建设工程企业资质管理制度改革方案的通知》)；如供应商还未申办上述资质，则“供应商须具有建设主管部门颁发的</w:t>
      </w:r>
      <w:r>
        <w:rPr>
          <w:rFonts w:hint="default" w:ascii="宋体" w:hAnsi="宋体" w:eastAsia="宋体" w:cs="宋体"/>
          <w:b w:val="0"/>
          <w:bCs w:val="0"/>
          <w:color w:val="000000"/>
          <w:sz w:val="24"/>
          <w:lang w:val="en-US" w:eastAsia="zh-CN"/>
        </w:rPr>
        <w:t>建筑工程施工总承包</w:t>
      </w:r>
      <w:r>
        <w:rPr>
          <w:rFonts w:hint="eastAsia" w:ascii="宋体" w:hAnsi="宋体" w:eastAsia="宋体" w:cs="宋体"/>
          <w:b w:val="0"/>
          <w:bCs w:val="0"/>
          <w:color w:val="000000"/>
          <w:sz w:val="24"/>
          <w:lang w:val="en-US" w:eastAsia="zh-CN"/>
        </w:rPr>
        <w:t>三级</w:t>
      </w:r>
      <w:r>
        <w:rPr>
          <w:rFonts w:hint="eastAsia" w:ascii="宋体" w:hAnsi="宋体" w:eastAsia="宋体" w:cs="宋体"/>
          <w:sz w:val="24"/>
          <w:szCs w:val="24"/>
        </w:rPr>
        <w:t>及以上资质，证书在有效期内</w:t>
      </w:r>
      <w:r>
        <w:rPr>
          <w:rFonts w:hint="eastAsia" w:ascii="宋体" w:hAnsi="宋体" w:eastAsia="宋体" w:cs="宋体"/>
          <w:sz w:val="24"/>
          <w:szCs w:val="24"/>
          <w:lang w:eastAsia="zh-CN"/>
        </w:rPr>
        <w:t>。”</w:t>
      </w:r>
    </w:p>
    <w:p w14:paraId="48E0B815">
      <w:pPr>
        <w:widowControl/>
        <w:numPr>
          <w:ilvl w:val="0"/>
          <w:numId w:val="2"/>
        </w:numPr>
        <w:shd w:val="clear" w:color="auto" w:fill="FFFFFF"/>
        <w:spacing w:line="360" w:lineRule="auto"/>
        <w:ind w:left="371" w:leftChars="0"/>
        <w:jc w:val="left"/>
        <w:rPr>
          <w:rFonts w:hint="default" w:ascii="宋体" w:hAnsi="宋体" w:eastAsia="宋体" w:cs="宋体"/>
          <w:b w:val="0"/>
          <w:bCs w:val="0"/>
          <w:color w:val="000000"/>
          <w:sz w:val="24"/>
          <w:highlight w:val="none"/>
          <w:lang w:val="en-US" w:eastAsia="zh-CN"/>
        </w:rPr>
      </w:pPr>
      <w:r>
        <w:rPr>
          <w:rFonts w:hint="default" w:ascii="宋体" w:hAnsi="宋体" w:eastAsia="宋体" w:cs="宋体"/>
          <w:b w:val="0"/>
          <w:bCs w:val="0"/>
          <w:color w:val="000000"/>
          <w:sz w:val="24"/>
          <w:lang w:val="en-US" w:eastAsia="zh-CN"/>
        </w:rPr>
        <w:t>供应商须具有建设行政主管部门颁发的有效期内的安全生产许可证；</w:t>
      </w:r>
    </w:p>
    <w:p w14:paraId="6C013EFC">
      <w:pPr>
        <w:spacing w:line="360" w:lineRule="auto"/>
        <w:ind w:right="-65" w:rightChars="-19"/>
        <w:rPr>
          <w:rFonts w:hint="eastAsia" w:ascii="宋体" w:hAnsi="宋体" w:eastAsia="宋体" w:cs="宋体"/>
          <w:b/>
          <w:sz w:val="24"/>
        </w:rPr>
      </w:pPr>
      <w:r>
        <w:rPr>
          <w:rFonts w:hint="eastAsia" w:ascii="宋体" w:hAnsi="宋体" w:eastAsia="宋体" w:cs="宋体"/>
          <w:b/>
          <w:sz w:val="24"/>
        </w:rPr>
        <w:t>3.报名及采购文件的获取：</w:t>
      </w:r>
    </w:p>
    <w:p w14:paraId="7C4EB4A0">
      <w:pPr>
        <w:spacing w:line="360" w:lineRule="auto"/>
        <w:rPr>
          <w:rFonts w:hint="eastAsia" w:ascii="宋体" w:hAnsi="宋体" w:eastAsia="宋体" w:cs="宋体"/>
          <w:b/>
          <w:sz w:val="24"/>
        </w:rPr>
      </w:pPr>
      <w:bookmarkStart w:id="6" w:name="_Toc495644245"/>
      <w:r>
        <w:rPr>
          <w:rFonts w:hint="eastAsia" w:ascii="宋体" w:hAnsi="宋体" w:eastAsia="宋体" w:cs="宋体"/>
          <w:b/>
          <w:sz w:val="24"/>
        </w:rPr>
        <w:t>3.1本项目实行在线报名和下载采购文件。凡有意参加竞标者，请于</w:t>
      </w:r>
      <w:r>
        <w:rPr>
          <w:rFonts w:hint="eastAsia" w:ascii="宋体" w:hAnsi="宋体" w:eastAsia="宋体" w:cs="宋体"/>
          <w:b/>
          <w:color w:val="0000FF"/>
          <w:sz w:val="24"/>
          <w:highlight w:val="none"/>
        </w:rPr>
        <w:t>202</w:t>
      </w:r>
      <w:r>
        <w:rPr>
          <w:rFonts w:hint="eastAsia" w:ascii="宋体" w:hAnsi="宋体" w:eastAsia="宋体" w:cs="宋体"/>
          <w:b/>
          <w:color w:val="0000FF"/>
          <w:sz w:val="24"/>
          <w:highlight w:val="none"/>
          <w:lang w:val="en-US" w:eastAsia="zh-CN"/>
        </w:rPr>
        <w:t>4</w:t>
      </w:r>
      <w:r>
        <w:rPr>
          <w:rFonts w:hint="eastAsia" w:ascii="宋体" w:hAnsi="宋体" w:eastAsia="宋体" w:cs="宋体"/>
          <w:b/>
          <w:color w:val="0000FF"/>
          <w:sz w:val="24"/>
          <w:highlight w:val="none"/>
        </w:rPr>
        <w:t>年</w:t>
      </w:r>
      <w:r>
        <w:rPr>
          <w:rFonts w:hint="eastAsia" w:ascii="宋体" w:hAnsi="宋体" w:eastAsia="宋体" w:cs="宋体"/>
          <w:b/>
          <w:color w:val="0000FF"/>
          <w:sz w:val="24"/>
          <w:highlight w:val="none"/>
          <w:lang w:val="en-US" w:eastAsia="zh-CN"/>
        </w:rPr>
        <w:t>10</w:t>
      </w:r>
      <w:r>
        <w:rPr>
          <w:rFonts w:hint="eastAsia" w:ascii="宋体" w:hAnsi="宋体" w:eastAsia="宋体" w:cs="宋体"/>
          <w:b/>
          <w:color w:val="0000FF"/>
          <w:sz w:val="24"/>
          <w:highlight w:val="none"/>
        </w:rPr>
        <w:t>月</w:t>
      </w:r>
      <w:r>
        <w:rPr>
          <w:rFonts w:hint="eastAsia" w:ascii="宋体" w:hAnsi="宋体" w:eastAsia="宋体" w:cs="宋体"/>
          <w:b/>
          <w:color w:val="0000FF"/>
          <w:sz w:val="24"/>
          <w:highlight w:val="none"/>
          <w:lang w:val="en-US" w:eastAsia="zh-CN"/>
        </w:rPr>
        <w:t xml:space="preserve">14 </w:t>
      </w:r>
      <w:r>
        <w:rPr>
          <w:rFonts w:hint="eastAsia" w:ascii="宋体" w:hAnsi="宋体" w:eastAsia="宋体" w:cs="宋体"/>
          <w:b/>
          <w:color w:val="0000FF"/>
          <w:sz w:val="24"/>
          <w:highlight w:val="none"/>
        </w:rPr>
        <w:t>日至202</w:t>
      </w:r>
      <w:r>
        <w:rPr>
          <w:rFonts w:hint="eastAsia" w:ascii="宋体" w:hAnsi="宋体" w:eastAsia="宋体" w:cs="宋体"/>
          <w:b/>
          <w:color w:val="0000FF"/>
          <w:sz w:val="24"/>
          <w:highlight w:val="none"/>
          <w:lang w:val="en-US" w:eastAsia="zh-CN"/>
        </w:rPr>
        <w:t>4</w:t>
      </w:r>
      <w:r>
        <w:rPr>
          <w:rFonts w:hint="eastAsia" w:ascii="宋体" w:hAnsi="宋体" w:eastAsia="宋体" w:cs="宋体"/>
          <w:b/>
          <w:color w:val="0000FF"/>
          <w:sz w:val="24"/>
          <w:highlight w:val="none"/>
        </w:rPr>
        <w:t>年</w:t>
      </w:r>
      <w:r>
        <w:rPr>
          <w:rFonts w:hint="eastAsia" w:ascii="宋体" w:hAnsi="宋体" w:eastAsia="宋体" w:cs="宋体"/>
          <w:b/>
          <w:color w:val="0000FF"/>
          <w:sz w:val="24"/>
          <w:highlight w:val="none"/>
          <w:lang w:val="en-US" w:eastAsia="zh-CN"/>
        </w:rPr>
        <w:t>10</w:t>
      </w:r>
      <w:r>
        <w:rPr>
          <w:rFonts w:hint="eastAsia" w:ascii="宋体" w:hAnsi="宋体" w:eastAsia="宋体" w:cs="宋体"/>
          <w:b/>
          <w:color w:val="0000FF"/>
          <w:sz w:val="24"/>
          <w:highlight w:val="none"/>
        </w:rPr>
        <w:t>月</w:t>
      </w:r>
      <w:r>
        <w:rPr>
          <w:rFonts w:hint="eastAsia" w:ascii="宋体" w:hAnsi="宋体" w:eastAsia="宋体" w:cs="宋体"/>
          <w:b/>
          <w:color w:val="0000FF"/>
          <w:sz w:val="24"/>
          <w:highlight w:val="none"/>
          <w:lang w:val="en-US" w:eastAsia="zh-CN"/>
        </w:rPr>
        <w:t xml:space="preserve"> 18 </w:t>
      </w:r>
      <w:r>
        <w:rPr>
          <w:rFonts w:hint="eastAsia" w:ascii="宋体" w:hAnsi="宋体" w:eastAsia="宋体" w:cs="宋体"/>
          <w:b/>
          <w:color w:val="0000FF"/>
          <w:sz w:val="24"/>
          <w:highlight w:val="none"/>
        </w:rPr>
        <w:t>日下午17:</w:t>
      </w:r>
      <w:r>
        <w:rPr>
          <w:rFonts w:hint="eastAsia" w:ascii="宋体" w:hAnsi="宋体" w:eastAsia="宋体" w:cs="宋体"/>
          <w:b/>
          <w:color w:val="0000FF"/>
          <w:sz w:val="24"/>
          <w:highlight w:val="none"/>
          <w:lang w:val="en-US" w:eastAsia="zh-CN"/>
        </w:rPr>
        <w:t>0</w:t>
      </w:r>
      <w:r>
        <w:rPr>
          <w:rFonts w:hint="eastAsia" w:ascii="宋体" w:hAnsi="宋体" w:eastAsia="宋体" w:cs="宋体"/>
          <w:b/>
          <w:color w:val="0000FF"/>
          <w:sz w:val="24"/>
          <w:highlight w:val="none"/>
        </w:rPr>
        <w:t>0，</w:t>
      </w:r>
      <w:r>
        <w:rPr>
          <w:rFonts w:hint="eastAsia" w:ascii="宋体" w:hAnsi="宋体" w:eastAsia="宋体" w:cs="宋体"/>
          <w:b/>
          <w:sz w:val="24"/>
        </w:rPr>
        <w:t>进入《</w:t>
      </w:r>
      <w:r>
        <w:rPr>
          <w:rFonts w:hint="eastAsia" w:ascii="宋体" w:hAnsi="宋体" w:eastAsia="宋体" w:cs="宋体"/>
          <w:b/>
          <w:sz w:val="24"/>
          <w:lang w:eastAsia="zh-CN"/>
        </w:rPr>
        <w:t>内蒙古电力集团电子采购系统</w:t>
      </w:r>
      <w:r>
        <w:rPr>
          <w:rFonts w:hint="eastAsia" w:ascii="宋体" w:hAnsi="宋体" w:eastAsia="宋体" w:cs="宋体"/>
          <w:b/>
          <w:sz w:val="24"/>
        </w:rPr>
        <w:t>》（</w:t>
      </w:r>
      <w:r>
        <w:rPr>
          <w:rFonts w:hint="eastAsia" w:ascii="宋体" w:hAnsi="宋体" w:eastAsia="宋体" w:cs="宋体"/>
          <w:b/>
          <w:sz w:val="24"/>
          <w:lang w:eastAsia="zh-CN"/>
        </w:rPr>
        <w:t>http://guocai-impc.cppchina.cn</w:t>
      </w:r>
      <w:r>
        <w:rPr>
          <w:rFonts w:hint="eastAsia" w:ascii="宋体" w:hAnsi="宋体" w:eastAsia="宋体" w:cs="宋体"/>
          <w:b/>
          <w:sz w:val="24"/>
        </w:rPr>
        <w:t>）在线报名和下载文件，逾期不予受理。</w:t>
      </w:r>
    </w:p>
    <w:bookmarkEnd w:id="6"/>
    <w:p w14:paraId="1D71F604">
      <w:pPr>
        <w:numPr>
          <w:ilvl w:val="0"/>
          <w:numId w:val="3"/>
        </w:numPr>
        <w:spacing w:line="360" w:lineRule="auto"/>
        <w:ind w:firstLine="480" w:firstLineChars="200"/>
        <w:jc w:val="left"/>
        <w:rPr>
          <w:rFonts w:hint="eastAsia" w:ascii="宋体" w:hAnsi="宋体" w:eastAsia="宋体" w:cs="宋体"/>
          <w:sz w:val="24"/>
        </w:rPr>
      </w:pPr>
      <w:bookmarkStart w:id="7" w:name="_Toc37409913"/>
      <w:bookmarkStart w:id="8" w:name="_Toc37407101"/>
      <w:bookmarkStart w:id="9" w:name="_Toc37411148"/>
      <w:bookmarkStart w:id="10" w:name="_Toc495645075"/>
      <w:r>
        <w:rPr>
          <w:rFonts w:hint="eastAsia" w:ascii="宋体" w:hAnsi="宋体" w:eastAsia="宋体" w:cs="宋体"/>
          <w:sz w:val="24"/>
        </w:rPr>
        <w:t>具体流程为：登录</w:t>
      </w:r>
      <w:r>
        <w:rPr>
          <w:rFonts w:hint="eastAsia" w:ascii="宋体" w:hAnsi="宋体" w:eastAsia="宋体" w:cs="宋体"/>
          <w:sz w:val="24"/>
          <w:lang w:eastAsia="zh-CN"/>
        </w:rPr>
        <w:t>内蒙古电力集团电子采购系统</w:t>
      </w:r>
      <w:r>
        <w:rPr>
          <w:rFonts w:hint="eastAsia" w:ascii="宋体" w:hAnsi="宋体" w:eastAsia="宋体" w:cs="宋体"/>
          <w:sz w:val="24"/>
        </w:rPr>
        <w:t>（未注册用户请先免费注册）→查看采购信息→我要报名【请务必按要求填写对应信息，并上传资料文件（扫描件加盖公章）、需开具发票的应同时提供开票信息】→</w:t>
      </w:r>
      <w:r>
        <w:rPr>
          <w:rFonts w:hint="eastAsia" w:ascii="宋体" w:hAnsi="宋体" w:eastAsia="宋体" w:cs="宋体"/>
          <w:sz w:val="24"/>
          <w:lang w:val="en-US" w:eastAsia="zh-CN"/>
        </w:rPr>
        <w:t>报名成功</w:t>
      </w:r>
      <w:r>
        <w:rPr>
          <w:rFonts w:hint="eastAsia" w:ascii="宋体" w:hAnsi="宋体" w:eastAsia="宋体" w:cs="宋体"/>
          <w:sz w:val="24"/>
        </w:rPr>
        <w:t>后→供应商下载采购文件。</w:t>
      </w:r>
    </w:p>
    <w:p w14:paraId="78B0E353">
      <w:pPr>
        <w:numPr>
          <w:ilvl w:val="0"/>
          <w:numId w:val="3"/>
        </w:num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报名单位须凭【中招互连】APP办理项目后续电子投标事宜，之前未进行注册【中招互连】APP的企业需要登录</w:t>
      </w:r>
      <w:r>
        <w:rPr>
          <w:rFonts w:hint="eastAsia" w:ascii="宋体" w:hAnsi="宋体" w:eastAsia="宋体" w:cs="宋体"/>
          <w:sz w:val="24"/>
          <w:lang w:eastAsia="zh-CN"/>
        </w:rPr>
        <w:t>内蒙古电力集团电子采购系统</w:t>
      </w:r>
      <w:r>
        <w:rPr>
          <w:rFonts w:hint="eastAsia" w:ascii="宋体" w:hAnsi="宋体" w:eastAsia="宋体" w:cs="宋体"/>
          <w:sz w:val="24"/>
        </w:rPr>
        <w:t>，点击首页扫码下载【中招互连】APP，根据提示即可在线办理相关事宜，后续所有流程全部扫码登录，扫码签章，扫码加密，扫码解密。</w:t>
      </w:r>
    </w:p>
    <w:p w14:paraId="2FF7455B">
      <w:pPr>
        <w:pStyle w:val="5"/>
        <w:shd w:val="clear" w:color="auto" w:fill="FFFFFF"/>
        <w:spacing w:before="0" w:beforeAutospacing="0" w:after="0" w:afterAutospacing="0" w:line="360" w:lineRule="auto"/>
        <w:rPr>
          <w:rFonts w:hint="eastAsia" w:ascii="宋体" w:hAnsi="宋体" w:eastAsia="宋体" w:cs="宋体"/>
          <w:b/>
        </w:rPr>
      </w:pPr>
      <w:r>
        <w:rPr>
          <w:rFonts w:hint="eastAsia" w:ascii="宋体" w:hAnsi="宋体" w:eastAsia="宋体" w:cs="宋体"/>
          <w:b/>
          <w:bCs/>
        </w:rPr>
        <w:t>3.2报名资料</w:t>
      </w:r>
    </w:p>
    <w:p w14:paraId="24CD3CFD">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（1）供应商信息表（详见采购公告附件）；</w:t>
      </w:r>
    </w:p>
    <w:p w14:paraId="18AEBAC4">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（2）法定代表人身份证明或法定代表人授权委托书（详见采购公告附件）；</w:t>
      </w:r>
    </w:p>
    <w:p w14:paraId="482D966E">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（3）有效的营业执照，企业名称如有变更，需提供有关行政机关提供的变更证明；</w:t>
      </w:r>
    </w:p>
    <w:p w14:paraId="563AB1F7">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（4）竞标真实性承诺书；</w:t>
      </w:r>
    </w:p>
    <w:p w14:paraId="7E2028C8">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（5）</w:t>
      </w:r>
      <w:r>
        <w:rPr>
          <w:rFonts w:hint="eastAsia" w:ascii="宋体" w:hAnsi="宋体" w:eastAsia="宋体" w:cs="宋体"/>
          <w:sz w:val="24"/>
          <w:szCs w:val="24"/>
        </w:rPr>
        <w:t>资质证书及人员证书等</w:t>
      </w:r>
      <w:r>
        <w:rPr>
          <w:rFonts w:hint="eastAsia" w:ascii="宋体" w:hAnsi="宋体" w:eastAsia="宋体" w:cs="宋体"/>
          <w:kern w:val="24"/>
          <w:sz w:val="24"/>
          <w:szCs w:val="24"/>
        </w:rPr>
        <w:t>；</w:t>
      </w:r>
    </w:p>
    <w:p w14:paraId="5469E9EF">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w:t>
      </w:r>
      <w:r>
        <w:rPr>
          <w:rFonts w:hint="eastAsia" w:ascii="宋体" w:hAnsi="宋体" w:eastAsia="宋体" w:cs="宋体"/>
          <w:kern w:val="24"/>
          <w:sz w:val="24"/>
          <w:szCs w:val="24"/>
          <w:lang w:val="en-US" w:eastAsia="zh-CN"/>
        </w:rPr>
        <w:t>6</w:t>
      </w:r>
      <w:r>
        <w:rPr>
          <w:rFonts w:hint="eastAsia" w:ascii="宋体" w:hAnsi="宋体" w:eastAsia="宋体" w:cs="宋体"/>
          <w:kern w:val="24"/>
          <w:sz w:val="24"/>
          <w:szCs w:val="24"/>
        </w:rPr>
        <w:t>）采购公告要求的其他证明材料；</w:t>
      </w:r>
      <w:r>
        <w:rPr>
          <w:rFonts w:hint="eastAsia" w:ascii="宋体" w:hAnsi="宋体" w:eastAsia="宋体" w:cs="宋体"/>
          <w:b/>
          <w:szCs w:val="24"/>
        </w:rPr>
        <w:t xml:space="preserve">                                                                                                                                                                                                                                                                                                                                                                         </w:t>
      </w:r>
    </w:p>
    <w:p w14:paraId="06BA8BC2">
      <w:pPr>
        <w:pStyle w:val="5"/>
        <w:shd w:val="clear" w:color="auto" w:fill="FFFFFF"/>
        <w:spacing w:before="0" w:beforeAutospacing="0" w:after="0" w:afterAutospacing="0" w:line="360" w:lineRule="auto"/>
        <w:ind w:firstLine="482" w:firstLineChars="200"/>
        <w:rPr>
          <w:rFonts w:hint="eastAsia" w:ascii="宋体" w:hAnsi="宋体" w:eastAsia="宋体" w:cs="宋体"/>
        </w:rPr>
      </w:pPr>
      <w:bookmarkStart w:id="11" w:name="_Toc495645074"/>
      <w:r>
        <w:rPr>
          <w:rFonts w:hint="eastAsia" w:ascii="宋体" w:hAnsi="宋体" w:eastAsia="宋体" w:cs="宋体"/>
          <w:b/>
        </w:rPr>
        <w:t>注：</w:t>
      </w:r>
      <w:r>
        <w:rPr>
          <w:rFonts w:hint="eastAsia" w:ascii="宋体" w:hAnsi="宋体" w:eastAsia="宋体" w:cs="宋体"/>
        </w:rPr>
        <w:t>A、上述要求是对供应商的基本要求，如按照行业及相关部门另有规定的遵循其规定，供应商应提供相应的证明或资信材料；</w:t>
      </w:r>
    </w:p>
    <w:p w14:paraId="71D4FABD">
      <w:pPr>
        <w:widowControl/>
        <w:numPr>
          <w:ilvl w:val="0"/>
          <w:numId w:val="4"/>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如发现存在虚假资料，采购人取消其竞标/中标资格，由此造成的后果由成交/中标单位自负，并承担相应的法律责任;</w:t>
      </w:r>
    </w:p>
    <w:p w14:paraId="4ACE5BE1">
      <w:pPr>
        <w:widowControl/>
        <w:numPr>
          <w:ilvl w:val="0"/>
          <w:numId w:val="4"/>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bCs/>
          <w:color w:val="000000"/>
          <w:sz w:val="24"/>
        </w:rPr>
        <w:t>为保证供应商顺利报名成功，请供应商充分考虑上传时间，供应商不能及时上传报名资料，导致的报名不成功，后果由供应商自负；</w:t>
      </w:r>
      <w:r>
        <w:rPr>
          <w:rFonts w:hint="eastAsia" w:ascii="宋体" w:hAnsi="宋体" w:eastAsia="宋体" w:cs="宋体"/>
          <w:sz w:val="24"/>
        </w:rPr>
        <w:t xml:space="preserve"> </w:t>
      </w:r>
    </w:p>
    <w:p w14:paraId="3A5C6D83">
      <w:pPr>
        <w:widowControl/>
        <w:numPr>
          <w:ilvl w:val="0"/>
          <w:numId w:val="4"/>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为提高报名工作效率，投多个包的请供应商按包分别对应上传相应报名资料，严禁上传与本包无关资料，否则，采购人有权拒绝。</w:t>
      </w:r>
      <w:bookmarkStart w:id="12" w:name="_Toc37407096"/>
      <w:bookmarkStart w:id="13" w:name="_Toc37409908"/>
      <w:bookmarkStart w:id="14" w:name="_Toc37411143"/>
    </w:p>
    <w:p w14:paraId="43685C95">
      <w:pPr>
        <w:widowControl/>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szCs w:val="24"/>
        </w:rPr>
        <w:t>4. 响应文件的递交</w:t>
      </w:r>
      <w:bookmarkEnd w:id="11"/>
      <w:bookmarkEnd w:id="12"/>
      <w:bookmarkEnd w:id="13"/>
      <w:bookmarkEnd w:id="14"/>
      <w:r>
        <w:rPr>
          <w:rFonts w:hint="eastAsia" w:ascii="宋体" w:hAnsi="宋体" w:eastAsia="宋体" w:cs="宋体"/>
          <w:b/>
          <w:sz w:val="24"/>
          <w:szCs w:val="24"/>
        </w:rPr>
        <w:t xml:space="preserve"> </w:t>
      </w:r>
    </w:p>
    <w:p w14:paraId="7A84E893">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4.1 本项目采用电子开评标方式，电子响应文件请于询比截止时间之前上传到“</w:t>
      </w:r>
      <w:r>
        <w:rPr>
          <w:rFonts w:hint="eastAsia" w:ascii="宋体" w:hAnsi="宋体" w:eastAsia="宋体" w:cs="宋体"/>
          <w:sz w:val="24"/>
          <w:szCs w:val="24"/>
          <w:lang w:eastAsia="zh-CN"/>
        </w:rPr>
        <w:t>内蒙古电力集团电子采购系统</w:t>
      </w:r>
      <w:r>
        <w:rPr>
          <w:rFonts w:hint="eastAsia" w:ascii="宋体" w:hAnsi="宋体" w:eastAsia="宋体" w:cs="宋体"/>
          <w:sz w:val="24"/>
          <w:szCs w:val="24"/>
        </w:rPr>
        <w:t>”，竞标截止时间后上传的响应文件恕不接收。本项目采用远程开标方式，不接收纸质响应文件，逾期送达的响应文件，“</w:t>
      </w:r>
      <w:r>
        <w:rPr>
          <w:rFonts w:hint="eastAsia" w:ascii="宋体" w:hAnsi="宋体" w:eastAsia="宋体" w:cs="宋体"/>
          <w:sz w:val="24"/>
          <w:szCs w:val="24"/>
          <w:lang w:eastAsia="zh-CN"/>
        </w:rPr>
        <w:t>内蒙古电力集团电子采购系统</w:t>
      </w:r>
      <w:r>
        <w:rPr>
          <w:rFonts w:hint="eastAsia" w:ascii="宋体" w:hAnsi="宋体" w:eastAsia="宋体" w:cs="宋体"/>
          <w:sz w:val="24"/>
          <w:szCs w:val="24"/>
        </w:rPr>
        <w:t>”将不予接收。</w:t>
      </w:r>
    </w:p>
    <w:p w14:paraId="1057DF8F">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4.2 供应商对网上递交的响应文件应加密。登录【中招互连】APP对响应文件进行加密功能（如果供应商使用A手机号码对响应文件进行了扫码加密，必须需要使用A手机号码进行扫码解密，才能读取或导入响应文件）。</w:t>
      </w:r>
      <w:bookmarkStart w:id="15" w:name="_Toc37411144"/>
      <w:bookmarkStart w:id="16" w:name="_Toc37407097"/>
      <w:bookmarkStart w:id="17" w:name="_Toc37409909"/>
    </w:p>
    <w:p w14:paraId="745C3A34">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5、资格审查：</w:t>
      </w:r>
      <w:bookmarkEnd w:id="15"/>
      <w:bookmarkEnd w:id="16"/>
      <w:bookmarkEnd w:id="17"/>
    </w:p>
    <w:p w14:paraId="726BFAC8">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本次采购采取资格后审方式，开标后由询比评审小组统一进行资格审查，详见采购文件。资格审查时，供应商提供的资料不全或不合格的或模糊不清无法辨认，均不能通过资格审查，其响应文件将被否决。</w:t>
      </w:r>
      <w:bookmarkStart w:id="18" w:name="_Toc37409910"/>
      <w:bookmarkStart w:id="19" w:name="_Toc37407098"/>
      <w:bookmarkStart w:id="20" w:name="_Toc37411145"/>
    </w:p>
    <w:p w14:paraId="486F05B0">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6. 竞标截止时间及地点：</w:t>
      </w:r>
      <w:bookmarkEnd w:id="18"/>
      <w:bookmarkEnd w:id="19"/>
      <w:bookmarkEnd w:id="20"/>
    </w:p>
    <w:p w14:paraId="2CA0B12E">
      <w:pPr>
        <w:spacing w:line="360" w:lineRule="auto"/>
        <w:ind w:right="103" w:firstLine="482" w:firstLineChars="200"/>
        <w:rPr>
          <w:rFonts w:hint="eastAsia" w:ascii="宋体" w:hAnsi="宋体" w:eastAsia="宋体" w:cs="宋体"/>
          <w:b/>
          <w:bCs/>
          <w:color w:val="0000FF"/>
          <w:sz w:val="24"/>
          <w:szCs w:val="24"/>
        </w:rPr>
      </w:pPr>
      <w:bookmarkStart w:id="21" w:name="_Toc37411146"/>
      <w:bookmarkStart w:id="22" w:name="_Toc37409911"/>
      <w:bookmarkStart w:id="23" w:name="_Toc37407099"/>
      <w:r>
        <w:rPr>
          <w:rFonts w:hint="eastAsia" w:ascii="宋体" w:hAnsi="宋体" w:eastAsia="宋体" w:cs="宋体"/>
          <w:b/>
          <w:bCs/>
          <w:color w:val="0000FF"/>
          <w:sz w:val="24"/>
          <w:szCs w:val="24"/>
        </w:rPr>
        <w:t>响应文件上传时间：</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10</w:t>
      </w:r>
      <w:r>
        <w:rPr>
          <w:rFonts w:hint="eastAsia" w:ascii="宋体" w:hAnsi="宋体" w:eastAsia="宋体" w:cs="宋体"/>
          <w:b/>
          <w:bCs/>
          <w:color w:val="0000FF"/>
          <w:sz w:val="24"/>
          <w:szCs w:val="24"/>
        </w:rPr>
        <w:t xml:space="preserve"> 月</w:t>
      </w:r>
      <w:r>
        <w:rPr>
          <w:rFonts w:hint="eastAsia" w:ascii="宋体" w:hAnsi="宋体" w:eastAsia="宋体" w:cs="宋体"/>
          <w:b/>
          <w:bCs/>
          <w:color w:val="0000FF"/>
          <w:sz w:val="24"/>
          <w:szCs w:val="24"/>
          <w:lang w:val="en-US" w:eastAsia="zh-CN"/>
        </w:rPr>
        <w:t xml:space="preserve"> 14</w:t>
      </w:r>
      <w:r>
        <w:rPr>
          <w:rFonts w:hint="eastAsia" w:ascii="宋体" w:hAnsi="宋体" w:eastAsia="宋体" w:cs="宋体"/>
          <w:b/>
          <w:bCs/>
          <w:color w:val="0000FF"/>
          <w:sz w:val="24"/>
          <w:szCs w:val="24"/>
        </w:rPr>
        <w:t xml:space="preserve"> 日～</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10</w:t>
      </w:r>
      <w:r>
        <w:rPr>
          <w:rFonts w:hint="eastAsia" w:ascii="宋体" w:hAnsi="宋体" w:eastAsia="宋体" w:cs="宋体"/>
          <w:b/>
          <w:bCs/>
          <w:color w:val="0000FF"/>
          <w:sz w:val="24"/>
          <w:szCs w:val="24"/>
        </w:rPr>
        <w:t xml:space="preserve"> 月</w:t>
      </w:r>
      <w:r>
        <w:rPr>
          <w:rFonts w:hint="eastAsia" w:ascii="宋体" w:hAnsi="宋体" w:eastAsia="宋体" w:cs="宋体"/>
          <w:b/>
          <w:bCs/>
          <w:color w:val="0000FF"/>
          <w:sz w:val="24"/>
          <w:szCs w:val="24"/>
          <w:lang w:val="en-US" w:eastAsia="zh-CN"/>
        </w:rPr>
        <w:t xml:space="preserve"> 21</w:t>
      </w:r>
      <w:r>
        <w:rPr>
          <w:rFonts w:hint="eastAsia" w:ascii="宋体" w:hAnsi="宋体" w:eastAsia="宋体" w:cs="宋体"/>
          <w:b/>
          <w:bCs/>
          <w:color w:val="0000FF"/>
          <w:sz w:val="24"/>
          <w:szCs w:val="24"/>
        </w:rPr>
        <w:t xml:space="preserve"> 日上午9:00</w:t>
      </w:r>
    </w:p>
    <w:p w14:paraId="0409D88E">
      <w:pPr>
        <w:spacing w:line="360" w:lineRule="auto"/>
        <w:ind w:right="103"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询比截止时间：</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10</w:t>
      </w:r>
      <w:r>
        <w:rPr>
          <w:rFonts w:hint="eastAsia" w:ascii="宋体" w:hAnsi="宋体" w:eastAsia="宋体" w:cs="宋体"/>
          <w:b/>
          <w:bCs/>
          <w:color w:val="0000FF"/>
          <w:sz w:val="24"/>
          <w:szCs w:val="24"/>
        </w:rPr>
        <w:t xml:space="preserve"> 月</w:t>
      </w:r>
      <w:r>
        <w:rPr>
          <w:rFonts w:hint="eastAsia" w:ascii="宋体" w:hAnsi="宋体" w:eastAsia="宋体" w:cs="宋体"/>
          <w:b/>
          <w:bCs/>
          <w:color w:val="0000FF"/>
          <w:sz w:val="24"/>
          <w:szCs w:val="24"/>
          <w:lang w:val="en-US" w:eastAsia="zh-CN"/>
        </w:rPr>
        <w:t xml:space="preserve"> 21</w:t>
      </w:r>
      <w:r>
        <w:rPr>
          <w:rFonts w:hint="eastAsia" w:ascii="宋体" w:hAnsi="宋体" w:eastAsia="宋体" w:cs="宋体"/>
          <w:b/>
          <w:bCs/>
          <w:color w:val="0000FF"/>
          <w:sz w:val="24"/>
          <w:szCs w:val="24"/>
        </w:rPr>
        <w:t>日上午9:00</w:t>
      </w:r>
    </w:p>
    <w:p w14:paraId="7AE4721C">
      <w:pPr>
        <w:spacing w:line="360" w:lineRule="auto"/>
        <w:ind w:right="103"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商务技术经济标开标时间：</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10</w:t>
      </w:r>
      <w:r>
        <w:rPr>
          <w:rFonts w:hint="eastAsia" w:ascii="宋体" w:hAnsi="宋体" w:eastAsia="宋体" w:cs="宋体"/>
          <w:b/>
          <w:bCs/>
          <w:color w:val="0000FF"/>
          <w:sz w:val="24"/>
          <w:szCs w:val="24"/>
        </w:rPr>
        <w:t>月</w:t>
      </w:r>
      <w:r>
        <w:rPr>
          <w:rFonts w:hint="eastAsia" w:ascii="宋体" w:hAnsi="宋体" w:eastAsia="宋体" w:cs="宋体"/>
          <w:b/>
          <w:bCs/>
          <w:color w:val="0000FF"/>
          <w:sz w:val="24"/>
          <w:szCs w:val="24"/>
          <w:lang w:val="en-US" w:eastAsia="zh-CN"/>
        </w:rPr>
        <w:t xml:space="preserve"> 21</w:t>
      </w:r>
      <w:r>
        <w:rPr>
          <w:rFonts w:hint="eastAsia" w:ascii="宋体" w:hAnsi="宋体" w:eastAsia="宋体" w:cs="宋体"/>
          <w:b/>
          <w:bCs/>
          <w:color w:val="0000FF"/>
          <w:sz w:val="24"/>
          <w:szCs w:val="24"/>
        </w:rPr>
        <w:t xml:space="preserve"> 日上午9:00</w:t>
      </w:r>
    </w:p>
    <w:p w14:paraId="29E64FD4">
      <w:pPr>
        <w:spacing w:line="360" w:lineRule="auto"/>
        <w:ind w:right="102"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商务技术经济标解密时间：</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10</w:t>
      </w:r>
      <w:r>
        <w:rPr>
          <w:rFonts w:hint="eastAsia" w:ascii="宋体" w:hAnsi="宋体" w:eastAsia="宋体" w:cs="宋体"/>
          <w:b/>
          <w:bCs/>
          <w:color w:val="0000FF"/>
          <w:sz w:val="24"/>
          <w:szCs w:val="24"/>
        </w:rPr>
        <w:t>月</w:t>
      </w:r>
      <w:r>
        <w:rPr>
          <w:rFonts w:hint="eastAsia" w:ascii="宋体" w:hAnsi="宋体" w:eastAsia="宋体" w:cs="宋体"/>
          <w:b/>
          <w:bCs/>
          <w:color w:val="0000FF"/>
          <w:sz w:val="24"/>
          <w:szCs w:val="24"/>
          <w:lang w:val="en-US" w:eastAsia="zh-CN"/>
        </w:rPr>
        <w:t xml:space="preserve"> 21</w:t>
      </w:r>
      <w:r>
        <w:rPr>
          <w:rFonts w:hint="eastAsia" w:ascii="宋体" w:hAnsi="宋体" w:eastAsia="宋体" w:cs="宋体"/>
          <w:b/>
          <w:bCs/>
          <w:color w:val="0000FF"/>
          <w:sz w:val="24"/>
          <w:szCs w:val="24"/>
        </w:rPr>
        <w:t>日上午9:00～上午9:30</w:t>
      </w:r>
    </w:p>
    <w:p w14:paraId="77505A54">
      <w:pPr>
        <w:spacing w:line="360" w:lineRule="auto"/>
        <w:ind w:firstLine="241" w:firstLineChars="1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 xml:space="preserve"> </w:t>
      </w:r>
      <w:r>
        <w:rPr>
          <w:rFonts w:hint="eastAsia" w:ascii="宋体" w:hAnsi="宋体" w:eastAsia="宋体" w:cs="宋体"/>
          <w:b/>
          <w:bCs/>
          <w:color w:val="0000FF"/>
          <w:sz w:val="24"/>
          <w:szCs w:val="24"/>
          <w:lang w:val="en-US" w:eastAsia="zh-CN"/>
        </w:rPr>
        <w:t xml:space="preserve"> </w:t>
      </w:r>
      <w:r>
        <w:rPr>
          <w:rFonts w:hint="eastAsia" w:ascii="宋体" w:hAnsi="宋体" w:eastAsia="宋体" w:cs="宋体"/>
          <w:b/>
          <w:bCs/>
          <w:color w:val="0000FF"/>
          <w:sz w:val="24"/>
          <w:szCs w:val="24"/>
        </w:rPr>
        <w:t>开标地点： 内蒙古中实工程招标咨询有限责任公司</w:t>
      </w:r>
    </w:p>
    <w:p w14:paraId="457C6962">
      <w:pPr>
        <w:spacing w:line="360" w:lineRule="auto"/>
        <w:ind w:firstLine="482" w:firstLineChars="200"/>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rPr>
        <w:t>开标地址： 锡林浩特市宝石根街与东一环路交叉处唐舒格家苑</w:t>
      </w:r>
      <w:r>
        <w:rPr>
          <w:rFonts w:hint="eastAsia" w:ascii="宋体" w:hAnsi="宋体" w:eastAsia="宋体" w:cs="宋体"/>
          <w:b/>
          <w:bCs/>
          <w:color w:val="0000FF"/>
          <w:sz w:val="24"/>
          <w:szCs w:val="24"/>
          <w:lang w:val="en-US" w:eastAsia="zh-CN"/>
        </w:rPr>
        <w:t>写字楼</w:t>
      </w:r>
      <w:r>
        <w:rPr>
          <w:rFonts w:hint="eastAsia" w:ascii="宋体" w:hAnsi="宋体" w:eastAsia="宋体" w:cs="宋体"/>
          <w:b/>
          <w:bCs/>
          <w:color w:val="0000FF"/>
          <w:sz w:val="24"/>
          <w:szCs w:val="24"/>
        </w:rPr>
        <w:t>13楼</w:t>
      </w:r>
    </w:p>
    <w:p w14:paraId="0E9619E5">
      <w:pPr>
        <w:spacing w:line="360" w:lineRule="auto"/>
        <w:rPr>
          <w:rFonts w:hint="eastAsia" w:ascii="宋体" w:hAnsi="宋体" w:eastAsia="宋体" w:cs="宋体"/>
          <w:b/>
          <w:sz w:val="24"/>
          <w:szCs w:val="24"/>
        </w:rPr>
      </w:pPr>
      <w:r>
        <w:rPr>
          <w:rFonts w:hint="eastAsia" w:ascii="宋体" w:hAnsi="宋体" w:eastAsia="宋体" w:cs="宋体"/>
          <w:b/>
          <w:sz w:val="24"/>
          <w:szCs w:val="24"/>
        </w:rPr>
        <w:t>7.解密方式 ：</w:t>
      </w:r>
      <w:bookmarkEnd w:id="21"/>
      <w:bookmarkEnd w:id="22"/>
      <w:bookmarkEnd w:id="23"/>
    </w:p>
    <w:p w14:paraId="37E6F462">
      <w:pPr>
        <w:spacing w:line="360" w:lineRule="auto"/>
        <w:ind w:left="340" w:leftChars="100" w:right="103" w:firstLine="482" w:firstLineChars="200"/>
        <w:rPr>
          <w:rFonts w:hint="eastAsia" w:ascii="宋体" w:hAnsi="宋体" w:eastAsia="宋体" w:cs="宋体"/>
          <w:sz w:val="24"/>
          <w:szCs w:val="24"/>
        </w:rPr>
      </w:pPr>
      <w:r>
        <w:rPr>
          <w:rFonts w:hint="eastAsia" w:ascii="宋体" w:hAnsi="宋体" w:eastAsia="宋体" w:cs="宋体"/>
          <w:b/>
          <w:sz w:val="24"/>
          <w:szCs w:val="24"/>
        </w:rPr>
        <w:t>远程解密：</w:t>
      </w:r>
      <w:r>
        <w:rPr>
          <w:rFonts w:hint="eastAsia" w:ascii="宋体" w:hAnsi="宋体" w:eastAsia="宋体" w:cs="宋体"/>
          <w:sz w:val="24"/>
          <w:szCs w:val="24"/>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119EC599">
      <w:pPr>
        <w:spacing w:line="360" w:lineRule="auto"/>
        <w:ind w:left="340" w:leftChars="100" w:right="103" w:firstLine="482" w:firstLineChars="200"/>
        <w:rPr>
          <w:rFonts w:hint="eastAsia" w:ascii="宋体" w:hAnsi="宋体" w:eastAsia="宋体" w:cs="宋体"/>
          <w:sz w:val="24"/>
          <w:szCs w:val="24"/>
        </w:rPr>
      </w:pPr>
      <w:r>
        <w:rPr>
          <w:rFonts w:hint="eastAsia" w:ascii="宋体" w:hAnsi="宋体" w:eastAsia="宋体" w:cs="宋体"/>
          <w:b/>
          <w:sz w:val="24"/>
          <w:szCs w:val="24"/>
        </w:rPr>
        <w:t>远程协商：</w:t>
      </w:r>
      <w:r>
        <w:rPr>
          <w:rFonts w:hint="eastAsia" w:ascii="宋体" w:hAnsi="宋体" w:eastAsia="宋体" w:cs="宋体"/>
          <w:sz w:val="24"/>
          <w:szCs w:val="24"/>
        </w:rPr>
        <w:t>供应商不需到达评审现场，专家通过远程与各供应商进行视频</w:t>
      </w:r>
      <w:bookmarkStart w:id="24" w:name="_Toc37407100"/>
      <w:bookmarkStart w:id="25" w:name="_Toc37409912"/>
      <w:bookmarkStart w:id="26" w:name="_Toc37411147"/>
      <w:r>
        <w:rPr>
          <w:rFonts w:hint="eastAsia" w:ascii="宋体" w:hAnsi="宋体" w:eastAsia="宋体" w:cs="宋体"/>
          <w:sz w:val="24"/>
          <w:szCs w:val="24"/>
        </w:rPr>
        <w:t>协商。详见《</w:t>
      </w:r>
      <w:r>
        <w:rPr>
          <w:rFonts w:hint="eastAsia" w:ascii="宋体" w:hAnsi="宋体" w:eastAsia="宋体" w:cs="宋体"/>
          <w:sz w:val="24"/>
          <w:szCs w:val="24"/>
          <w:lang w:eastAsia="zh-CN"/>
        </w:rPr>
        <w:t>内蒙古电力集团电子采购系统</w:t>
      </w:r>
      <w:r>
        <w:rPr>
          <w:rFonts w:hint="eastAsia" w:ascii="宋体" w:hAnsi="宋体" w:eastAsia="宋体" w:cs="宋体"/>
          <w:sz w:val="24"/>
          <w:szCs w:val="24"/>
        </w:rPr>
        <w:t>》首页操作手册及采购文件。</w:t>
      </w:r>
    </w:p>
    <w:p w14:paraId="748C850D">
      <w:pPr>
        <w:spacing w:line="360" w:lineRule="auto"/>
        <w:ind w:left="340" w:leftChars="100" w:right="103" w:firstLine="480" w:firstLineChars="200"/>
        <w:rPr>
          <w:rFonts w:hint="eastAsia" w:ascii="宋体" w:hAnsi="宋体" w:eastAsia="宋体" w:cs="宋体"/>
          <w:sz w:val="24"/>
          <w:szCs w:val="24"/>
        </w:rPr>
      </w:pPr>
      <w:r>
        <w:rPr>
          <w:rFonts w:hint="eastAsia" w:ascii="宋体" w:hAnsi="宋体" w:eastAsia="宋体" w:cs="宋体"/>
          <w:sz w:val="24"/>
          <w:szCs w:val="24"/>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4FAC4AB1">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8.竞标及采购费用：</w:t>
      </w:r>
      <w:bookmarkEnd w:id="24"/>
      <w:bookmarkEnd w:id="25"/>
      <w:bookmarkEnd w:id="26"/>
    </w:p>
    <w:p w14:paraId="13FC4068">
      <w:pPr>
        <w:spacing w:line="360" w:lineRule="auto"/>
        <w:ind w:right="102" w:firstLine="480" w:firstLineChars="200"/>
        <w:rPr>
          <w:rFonts w:hint="eastAsia" w:ascii="宋体" w:hAnsi="宋体" w:eastAsia="宋体" w:cs="宋体"/>
          <w:sz w:val="24"/>
          <w:szCs w:val="24"/>
        </w:rPr>
      </w:pPr>
      <w:r>
        <w:rPr>
          <w:rFonts w:hint="eastAsia" w:ascii="宋体" w:hAnsi="宋体" w:eastAsia="宋体" w:cs="宋体"/>
          <w:sz w:val="24"/>
          <w:szCs w:val="24"/>
        </w:rPr>
        <w:t>8.1 中标服务费：中标服务费由成交供应商支付。</w:t>
      </w:r>
    </w:p>
    <w:p w14:paraId="043467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平台使用费：本项目采用全流程电子采购，供应商需（在线下载采购文件后，上传响应文件前）在线向电子交易平台缴纳电子采购服务费，具体收费标准为：</w:t>
      </w:r>
    </w:p>
    <w:p w14:paraId="6519AE0F">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（1）公开招标项目中电子投标服务费：400元/包/次；</w:t>
      </w:r>
    </w:p>
    <w:p w14:paraId="63EEB7EA">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（2）非招标采购项目中电子采购服务费：300元/包/次；</w:t>
      </w:r>
    </w:p>
    <w:p w14:paraId="216E132E">
      <w:pPr>
        <w:spacing w:line="360" w:lineRule="auto"/>
        <w:rPr>
          <w:rFonts w:hint="eastAsia" w:ascii="宋体" w:hAnsi="宋体" w:eastAsia="宋体" w:cs="宋体"/>
          <w:b/>
          <w:sz w:val="24"/>
          <w:szCs w:val="24"/>
        </w:rPr>
      </w:pPr>
      <w:r>
        <w:rPr>
          <w:rFonts w:hint="eastAsia" w:ascii="宋体" w:hAnsi="宋体" w:eastAsia="宋体" w:cs="宋体"/>
          <w:b/>
          <w:sz w:val="24"/>
          <w:szCs w:val="24"/>
        </w:rPr>
        <w:t>9. 发布公告的媒介</w:t>
      </w:r>
      <w:bookmarkEnd w:id="7"/>
      <w:bookmarkEnd w:id="8"/>
      <w:bookmarkEnd w:id="9"/>
      <w:bookmarkEnd w:id="10"/>
      <w:r>
        <w:rPr>
          <w:rFonts w:hint="eastAsia" w:ascii="宋体" w:hAnsi="宋体" w:eastAsia="宋体" w:cs="宋体"/>
          <w:b/>
          <w:sz w:val="24"/>
          <w:szCs w:val="24"/>
        </w:rPr>
        <w:t xml:space="preserve"> </w:t>
      </w:r>
    </w:p>
    <w:p w14:paraId="343F13D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本次公告在《中国招标投标公共服务平台》（</w:t>
      </w:r>
      <w:r>
        <w:rPr>
          <w:rFonts w:hint="eastAsia" w:ascii="宋体" w:hAnsi="宋体" w:eastAsia="宋体" w:cs="宋体"/>
        </w:rPr>
        <w:fldChar w:fldCharType="begin"/>
      </w:r>
      <w:r>
        <w:rPr>
          <w:rFonts w:hint="eastAsia" w:ascii="宋体" w:hAnsi="宋体" w:eastAsia="宋体" w:cs="宋体"/>
        </w:rPr>
        <w:instrText xml:space="preserve"> HYPERLINK "http://www.cebpubservice.com" </w:instrText>
      </w:r>
      <w:r>
        <w:rPr>
          <w:rFonts w:hint="eastAsia" w:ascii="宋体" w:hAnsi="宋体" w:eastAsia="宋体" w:cs="宋体"/>
        </w:rPr>
        <w:fldChar w:fldCharType="separate"/>
      </w:r>
      <w:r>
        <w:rPr>
          <w:rFonts w:hint="eastAsia" w:ascii="宋体" w:hAnsi="宋体" w:eastAsia="宋体" w:cs="宋体"/>
          <w:sz w:val="24"/>
        </w:rPr>
        <w:t>www.cebpubservice.com</w:t>
      </w:r>
      <w:r>
        <w:rPr>
          <w:rFonts w:hint="eastAsia" w:ascii="宋体" w:hAnsi="宋体" w:eastAsia="宋体" w:cs="宋体"/>
          <w:sz w:val="24"/>
        </w:rPr>
        <w:fldChar w:fldCharType="end"/>
      </w:r>
      <w:r>
        <w:rPr>
          <w:rFonts w:hint="eastAsia" w:ascii="宋体" w:hAnsi="宋体" w:eastAsia="宋体" w:cs="宋体"/>
          <w:sz w:val="24"/>
        </w:rPr>
        <w:t>）、《内蒙古招标投标公共服务平台》（</w:t>
      </w:r>
      <w:r>
        <w:rPr>
          <w:rFonts w:hint="eastAsia" w:ascii="宋体" w:hAnsi="宋体" w:eastAsia="宋体" w:cs="宋体"/>
        </w:rPr>
        <w:fldChar w:fldCharType="begin"/>
      </w:r>
      <w:r>
        <w:rPr>
          <w:rFonts w:hint="eastAsia" w:ascii="宋体" w:hAnsi="宋体" w:eastAsia="宋体" w:cs="宋体"/>
        </w:rPr>
        <w:instrText xml:space="preserve"> HYPERLINK "http://zbgg.nmgztb.com.cn/" </w:instrText>
      </w:r>
      <w:r>
        <w:rPr>
          <w:rFonts w:hint="eastAsia" w:ascii="宋体" w:hAnsi="宋体" w:eastAsia="宋体" w:cs="宋体"/>
        </w:rPr>
        <w:fldChar w:fldCharType="separate"/>
      </w:r>
      <w:r>
        <w:rPr>
          <w:rFonts w:hint="eastAsia" w:ascii="宋体" w:hAnsi="宋体" w:eastAsia="宋体" w:cs="宋体"/>
          <w:sz w:val="24"/>
        </w:rPr>
        <w:t>http://www.nmgztb.com.cn</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rPr>
        <w:fldChar w:fldCharType="begin"/>
      </w:r>
      <w:r>
        <w:rPr>
          <w:rFonts w:hint="eastAsia" w:ascii="宋体" w:hAnsi="宋体" w:eastAsia="宋体" w:cs="宋体"/>
        </w:rPr>
        <w:instrText xml:space="preserve"> HYPERLINK "http://nmgcqjy.e-jy.com.cn、《内蒙古电力集团电子商务系统》impc.e-bidding.org" </w:instrText>
      </w:r>
      <w:r>
        <w:rPr>
          <w:rFonts w:hint="eastAsia" w:ascii="宋体" w:hAnsi="宋体" w:eastAsia="宋体" w:cs="宋体"/>
        </w:rPr>
        <w:fldChar w:fldCharType="separate"/>
      </w:r>
      <w:r>
        <w:rPr>
          <w:rFonts w:hint="eastAsia" w:ascii="宋体" w:hAnsi="宋体" w:eastAsia="宋体" w:cs="宋体"/>
          <w:sz w:val="24"/>
        </w:rPr>
        <w:t>、《</w:t>
      </w:r>
      <w:r>
        <w:rPr>
          <w:rFonts w:hint="eastAsia" w:ascii="宋体" w:hAnsi="宋体" w:eastAsia="宋体" w:cs="宋体"/>
          <w:sz w:val="24"/>
          <w:lang w:eastAsia="zh-CN"/>
        </w:rPr>
        <w:t>内蒙古电力集团电子采购系统</w:t>
      </w:r>
      <w:r>
        <w:rPr>
          <w:rFonts w:hint="eastAsia" w:ascii="宋体" w:hAnsi="宋体" w:eastAsia="宋体" w:cs="宋体"/>
          <w:sz w:val="24"/>
        </w:rPr>
        <w:t>》（</w:t>
      </w:r>
      <w:r>
        <w:rPr>
          <w:rFonts w:hint="eastAsia" w:ascii="宋体" w:hAnsi="宋体" w:eastAsia="宋体" w:cs="宋体"/>
          <w:sz w:val="24"/>
          <w:lang w:eastAsia="zh-CN"/>
        </w:rPr>
        <w:t>http://guocai-impc.cppchina.cn</w:t>
      </w:r>
      <w:r>
        <w:rPr>
          <w:rFonts w:hint="eastAsia" w:ascii="宋体" w:hAnsi="宋体" w:eastAsia="宋体" w:cs="宋体"/>
          <w:sz w:val="24"/>
        </w:rPr>
        <w:t>）</w:t>
      </w:r>
      <w:r>
        <w:rPr>
          <w:rFonts w:hint="eastAsia" w:ascii="宋体" w:hAnsi="宋体" w:eastAsia="宋体" w:cs="宋体"/>
          <w:sz w:val="24"/>
        </w:rPr>
        <w:fldChar w:fldCharType="end"/>
      </w:r>
      <w:r>
        <w:rPr>
          <w:rFonts w:hint="eastAsia" w:ascii="宋体" w:hAnsi="宋体" w:eastAsia="宋体" w:cs="宋体"/>
          <w:sz w:val="24"/>
        </w:rPr>
        <w:t>同时发布，其它媒介转发无效。</w:t>
      </w:r>
    </w:p>
    <w:p w14:paraId="75EA0A2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10.联系方式</w:t>
      </w:r>
    </w:p>
    <w:p w14:paraId="1D005BC3">
      <w:pPr>
        <w:pStyle w:val="9"/>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55808666">
      <w:pPr>
        <w:pStyle w:val="9"/>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57FBABBF">
      <w:pPr>
        <w:pStyle w:val="9"/>
        <w:adjustRightInd w:val="0"/>
        <w:snapToGrid w:val="0"/>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005C2CEB">
      <w:pPr>
        <w:pStyle w:val="9"/>
        <w:adjustRightInd w:val="0"/>
        <w:snapToGrid w:val="0"/>
        <w:spacing w:line="360" w:lineRule="auto"/>
        <w:ind w:firstLine="480"/>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000000"/>
          <w:sz w:val="24"/>
          <w:szCs w:val="24"/>
          <w:highlight w:val="none"/>
        </w:rPr>
        <w:t>联系电话：0479-812556</w:t>
      </w:r>
      <w:r>
        <w:rPr>
          <w:rFonts w:hint="eastAsia" w:ascii="宋体" w:hAnsi="宋体" w:eastAsia="宋体" w:cs="宋体"/>
          <w:b w:val="0"/>
          <w:bCs w:val="0"/>
          <w:color w:val="000000"/>
          <w:sz w:val="24"/>
          <w:szCs w:val="24"/>
          <w:highlight w:val="none"/>
          <w:lang w:val="en-US" w:eastAsia="zh-CN"/>
        </w:rPr>
        <w:t>3</w:t>
      </w:r>
    </w:p>
    <w:p w14:paraId="47B5CB3A">
      <w:pPr>
        <w:pStyle w:val="6"/>
        <w:ind w:left="0" w:leftChars="0"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监督人：杨阳</w:t>
      </w:r>
    </w:p>
    <w:p w14:paraId="1377142F">
      <w:pPr>
        <w:pStyle w:val="9"/>
        <w:adjustRightInd w:val="0"/>
        <w:snapToGrid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w:t>
      </w:r>
      <w:r>
        <w:rPr>
          <w:rFonts w:hint="eastAsia" w:ascii="宋体" w:hAnsi="宋体" w:eastAsia="宋体" w:cs="宋体"/>
          <w:color w:val="000000"/>
          <w:sz w:val="24"/>
          <w:szCs w:val="24"/>
          <w:highlight w:val="none"/>
          <w:lang w:eastAsia="zh-CN"/>
        </w:rPr>
        <w:t>0479-8125561</w:t>
      </w:r>
    </w:p>
    <w:p w14:paraId="32AA38E6">
      <w:pPr>
        <w:widowControl/>
        <w:tabs>
          <w:tab w:val="left" w:pos="2625"/>
        </w:tabs>
        <w:spacing w:line="520" w:lineRule="exact"/>
        <w:ind w:firstLine="480" w:firstLineChars="200"/>
        <w:rPr>
          <w:rFonts w:hint="eastAsia" w:ascii="宋体" w:hAnsi="宋体" w:eastAsia="宋体" w:cs="宋体"/>
          <w:bCs/>
          <w:kern w:val="0"/>
          <w:position w:val="-6"/>
          <w:sz w:val="24"/>
          <w:szCs w:val="24"/>
          <w:highlight w:val="none"/>
        </w:rPr>
      </w:pPr>
      <w:r>
        <w:rPr>
          <w:rFonts w:hint="eastAsia" w:ascii="宋体" w:hAnsi="宋体" w:eastAsia="宋体" w:cs="宋体"/>
          <w:bCs/>
          <w:kern w:val="0"/>
          <w:position w:val="-6"/>
          <w:sz w:val="24"/>
          <w:szCs w:val="24"/>
          <w:highlight w:val="none"/>
          <w:lang w:val="en-US" w:eastAsia="zh-CN"/>
        </w:rPr>
        <w:t>采购</w:t>
      </w:r>
      <w:r>
        <w:rPr>
          <w:rFonts w:hint="eastAsia" w:ascii="宋体" w:hAnsi="宋体" w:eastAsia="宋体" w:cs="宋体"/>
          <w:bCs/>
          <w:kern w:val="0"/>
          <w:position w:val="-6"/>
          <w:sz w:val="24"/>
          <w:szCs w:val="24"/>
          <w:highlight w:val="none"/>
        </w:rPr>
        <w:t>代理机构名称：</w:t>
      </w:r>
      <w:r>
        <w:rPr>
          <w:rFonts w:hint="eastAsia" w:ascii="宋体" w:hAnsi="宋体" w:eastAsia="宋体" w:cs="宋体"/>
          <w:bCs/>
          <w:kern w:val="0"/>
          <w:position w:val="-6"/>
          <w:sz w:val="24"/>
          <w:szCs w:val="24"/>
          <w:highlight w:val="none"/>
          <w:lang w:eastAsia="zh-CN"/>
        </w:rPr>
        <w:t>内蒙古中实工程招标咨询有限责任公司</w:t>
      </w:r>
      <w:r>
        <w:rPr>
          <w:rFonts w:hint="eastAsia" w:ascii="宋体" w:hAnsi="宋体" w:eastAsia="宋体" w:cs="宋体"/>
          <w:bCs/>
          <w:kern w:val="0"/>
          <w:position w:val="-6"/>
          <w:sz w:val="24"/>
          <w:szCs w:val="24"/>
          <w:highlight w:val="none"/>
        </w:rPr>
        <w:t xml:space="preserve"> </w:t>
      </w:r>
    </w:p>
    <w:p w14:paraId="757A1CA8">
      <w:pPr>
        <w:widowControl/>
        <w:tabs>
          <w:tab w:val="left" w:pos="2625"/>
        </w:tabs>
        <w:spacing w:line="520" w:lineRule="exact"/>
        <w:ind w:left="476" w:leftChars="140" w:firstLine="0" w:firstLineChars="0"/>
        <w:rPr>
          <w:rFonts w:hint="eastAsia" w:ascii="宋体" w:hAnsi="宋体" w:eastAsia="宋体" w:cs="宋体"/>
          <w:bCs/>
          <w:kern w:val="0"/>
          <w:position w:val="-6"/>
          <w:sz w:val="24"/>
          <w:szCs w:val="24"/>
          <w:highlight w:val="none"/>
        </w:rPr>
      </w:pPr>
      <w:r>
        <w:rPr>
          <w:rFonts w:hint="eastAsia" w:ascii="宋体" w:hAnsi="宋体" w:eastAsia="宋体" w:cs="宋体"/>
          <w:bCs/>
          <w:kern w:val="0"/>
          <w:position w:val="-6"/>
          <w:sz w:val="24"/>
          <w:szCs w:val="24"/>
          <w:highlight w:val="none"/>
        </w:rPr>
        <w:t>地址：呼和浩特市赛罕区鄂尔多斯东街12号银联大厦10层</w:t>
      </w:r>
      <w:r>
        <w:rPr>
          <w:rFonts w:hint="eastAsia" w:ascii="宋体" w:hAnsi="宋体" w:eastAsia="宋体" w:cs="宋体"/>
          <w:bCs/>
          <w:kern w:val="0"/>
          <w:position w:val="-6"/>
          <w:sz w:val="24"/>
          <w:szCs w:val="24"/>
          <w:highlight w:val="none"/>
          <w:lang w:eastAsia="zh-CN"/>
        </w:rPr>
        <w:t>（</w:t>
      </w:r>
      <w:r>
        <w:rPr>
          <w:rFonts w:hint="eastAsia" w:ascii="宋体" w:hAnsi="宋体" w:eastAsia="宋体" w:cs="宋体"/>
          <w:bCs/>
          <w:kern w:val="0"/>
          <w:position w:val="-6"/>
          <w:sz w:val="24"/>
          <w:szCs w:val="24"/>
          <w:highlight w:val="none"/>
        </w:rPr>
        <w:t>锡林浩特</w:t>
      </w:r>
      <w:r>
        <w:rPr>
          <w:rFonts w:hint="eastAsia" w:ascii="宋体" w:hAnsi="宋体" w:eastAsia="宋体" w:cs="宋体"/>
          <w:bCs/>
          <w:kern w:val="0"/>
          <w:position w:val="-6"/>
          <w:sz w:val="24"/>
          <w:szCs w:val="24"/>
          <w:highlight w:val="none"/>
          <w:lang w:val="en-US" w:eastAsia="zh-CN"/>
        </w:rPr>
        <w:t>分公司</w:t>
      </w:r>
      <w:r>
        <w:rPr>
          <w:rFonts w:hint="eastAsia" w:ascii="宋体" w:hAnsi="宋体" w:eastAsia="宋体" w:cs="宋体"/>
          <w:bCs/>
          <w:kern w:val="0"/>
          <w:position w:val="-6"/>
          <w:sz w:val="24"/>
          <w:szCs w:val="24"/>
          <w:highlight w:val="none"/>
        </w:rPr>
        <w:t>：锡林浩特市宝石根街与东一环路交叉处唐舒格家苑售楼部13楼</w:t>
      </w:r>
      <w:r>
        <w:rPr>
          <w:rFonts w:hint="eastAsia" w:ascii="宋体" w:hAnsi="宋体" w:eastAsia="宋体" w:cs="宋体"/>
          <w:bCs/>
          <w:kern w:val="0"/>
          <w:position w:val="-6"/>
          <w:sz w:val="24"/>
          <w:szCs w:val="24"/>
          <w:highlight w:val="none"/>
          <w:lang w:eastAsia="zh-CN"/>
        </w:rPr>
        <w:t>）</w:t>
      </w:r>
    </w:p>
    <w:p w14:paraId="43C1B1A2">
      <w:pPr>
        <w:widowControl/>
        <w:tabs>
          <w:tab w:val="left" w:pos="2625"/>
        </w:tabs>
        <w:spacing w:line="520" w:lineRule="exact"/>
        <w:ind w:firstLine="480" w:firstLineChars="200"/>
        <w:rPr>
          <w:rFonts w:hint="eastAsia" w:ascii="宋体" w:hAnsi="宋体" w:eastAsia="宋体" w:cs="宋体"/>
          <w:bCs/>
          <w:kern w:val="0"/>
          <w:position w:val="-6"/>
          <w:sz w:val="24"/>
          <w:szCs w:val="24"/>
          <w:highlight w:val="none"/>
          <w:lang w:val="en-US" w:eastAsia="zh-CN"/>
        </w:rPr>
      </w:pPr>
      <w:r>
        <w:rPr>
          <w:rFonts w:hint="eastAsia" w:ascii="宋体" w:hAnsi="宋体" w:eastAsia="宋体" w:cs="宋体"/>
          <w:bCs/>
          <w:kern w:val="0"/>
          <w:position w:val="-6"/>
          <w:sz w:val="24"/>
          <w:szCs w:val="24"/>
          <w:highlight w:val="none"/>
          <w:lang w:val="en-US" w:eastAsia="zh-CN"/>
        </w:rPr>
        <w:t>联系人：施颖、杨淑红、池金秀</w:t>
      </w:r>
    </w:p>
    <w:p w14:paraId="2B716DB5">
      <w:pPr>
        <w:widowControl/>
        <w:tabs>
          <w:tab w:val="left" w:pos="2625"/>
        </w:tabs>
        <w:spacing w:line="520" w:lineRule="exact"/>
        <w:ind w:firstLine="480" w:firstLineChars="200"/>
        <w:rPr>
          <w:rFonts w:hint="eastAsia" w:ascii="宋体" w:hAnsi="宋体" w:eastAsia="宋体" w:cs="宋体"/>
          <w:bCs/>
          <w:kern w:val="0"/>
          <w:position w:val="-6"/>
          <w:sz w:val="24"/>
          <w:szCs w:val="24"/>
          <w:highlight w:val="none"/>
          <w:lang w:val="en-US" w:eastAsia="zh-CN"/>
        </w:rPr>
      </w:pPr>
      <w:r>
        <w:rPr>
          <w:rFonts w:hint="eastAsia" w:ascii="宋体" w:hAnsi="宋体" w:eastAsia="宋体" w:cs="宋体"/>
          <w:bCs/>
          <w:kern w:val="0"/>
          <w:position w:val="-6"/>
          <w:sz w:val="24"/>
          <w:szCs w:val="24"/>
          <w:highlight w:val="none"/>
          <w:lang w:val="en-US" w:eastAsia="zh-CN"/>
        </w:rPr>
        <w:t>联系电话： 0479-8218958</w:t>
      </w:r>
    </w:p>
    <w:p w14:paraId="4C05AC3D">
      <w:pPr>
        <w:widowControl/>
        <w:tabs>
          <w:tab w:val="left" w:pos="2625"/>
        </w:tabs>
        <w:spacing w:line="520" w:lineRule="exact"/>
        <w:ind w:firstLine="480" w:firstLineChars="200"/>
        <w:rPr>
          <w:rFonts w:hint="eastAsia" w:ascii="宋体" w:hAnsi="宋体" w:eastAsia="宋体" w:cs="宋体"/>
          <w:bCs/>
          <w:kern w:val="0"/>
          <w:position w:val="-6"/>
          <w:sz w:val="24"/>
          <w:szCs w:val="24"/>
          <w:highlight w:val="none"/>
          <w:lang w:val="en-US" w:eastAsia="zh-CN"/>
        </w:rPr>
      </w:pPr>
      <w:r>
        <w:rPr>
          <w:rFonts w:hint="eastAsia" w:ascii="宋体" w:hAnsi="宋体" w:eastAsia="宋体" w:cs="宋体"/>
          <w:bCs/>
          <w:kern w:val="0"/>
          <w:position w:val="-6"/>
          <w:sz w:val="24"/>
          <w:szCs w:val="24"/>
          <w:highlight w:val="none"/>
          <w:lang w:val="en-US" w:eastAsia="zh-CN"/>
        </w:rPr>
        <w:t xml:space="preserve">邮箱：zszbsfgs@126.com </w:t>
      </w:r>
    </w:p>
    <w:p w14:paraId="36C9D9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CBA6C"/>
    <w:multiLevelType w:val="singleLevel"/>
    <w:tmpl w:val="868CBA6C"/>
    <w:lvl w:ilvl="0" w:tentative="0">
      <w:start w:val="1"/>
      <w:numFmt w:val="decimal"/>
      <w:suff w:val="nothing"/>
      <w:lvlText w:val="%1、"/>
      <w:lvlJc w:val="left"/>
    </w:lvl>
  </w:abstractNum>
  <w:abstractNum w:abstractNumId="1">
    <w:nsid w:val="FD8497DB"/>
    <w:multiLevelType w:val="singleLevel"/>
    <w:tmpl w:val="FD8497DB"/>
    <w:lvl w:ilvl="0" w:tentative="0">
      <w:start w:val="1"/>
      <w:numFmt w:val="decimal"/>
      <w:suff w:val="nothing"/>
      <w:lvlText w:val="%1、"/>
      <w:lvlJc w:val="left"/>
      <w:pPr>
        <w:ind w:left="-49"/>
      </w:pPr>
    </w:lvl>
  </w:abstractNum>
  <w:abstractNum w:abstractNumId="2">
    <w:nsid w:val="0000001D"/>
    <w:multiLevelType w:val="singleLevel"/>
    <w:tmpl w:val="0000001D"/>
    <w:lvl w:ilvl="0" w:tentative="0">
      <w:start w:val="2"/>
      <w:numFmt w:val="upperLetter"/>
      <w:suff w:val="nothing"/>
      <w:lvlText w:val="%1、"/>
      <w:lvlJc w:val="left"/>
    </w:lvl>
  </w:abstractNum>
  <w:abstractNum w:abstractNumId="3">
    <w:nsid w:val="0000001E"/>
    <w:multiLevelType w:val="singleLevel"/>
    <w:tmpl w:val="0000001E"/>
    <w:lvl w:ilvl="0" w:tentative="0">
      <w:start w:val="1"/>
      <w:numFmt w:val="decimal"/>
      <w:suff w:val="nothing"/>
      <w:lvlText w:val="（%1）"/>
      <w:lvlJc w:val="left"/>
    </w:lvl>
  </w:abstractNum>
  <w:num w:numId="1">
    <w:abstractNumId w:val="1"/>
  </w:num>
  <w:num w:numId="2">
    <w:abstractNumId w:val="0"/>
  </w:num>
  <w:num w:numId="3">
    <w:abstractNumId w:val="3"/>
  </w:num>
  <w:num w:numId="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6B1C35C2"/>
    <w:rsid w:val="441A16E0"/>
    <w:rsid w:val="6B1C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name="Body Text First Indent"/>
    <w:lsdException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semiHidden/>
    <w:uiPriority w:val="0"/>
    <w:pPr>
      <w:ind w:firstLine="420"/>
    </w:pPr>
    <w:rPr>
      <w:sz w:val="28"/>
    </w:rPr>
  </w:style>
  <w:style w:type="paragraph" w:styleId="3">
    <w:name w:val="Body Text"/>
    <w:basedOn w:val="1"/>
    <w:uiPriority w:val="0"/>
    <w:pPr>
      <w:spacing w:after="120"/>
    </w:pPr>
  </w:style>
  <w:style w:type="paragraph" w:styleId="4">
    <w:name w:val="Body Text Indent"/>
    <w:basedOn w:val="1"/>
    <w:next w:val="1"/>
    <w:qFormat/>
    <w:uiPriority w:val="0"/>
    <w:pPr>
      <w:ind w:firstLine="830" w:firstLineChars="352"/>
    </w:pPr>
    <w:rPr>
      <w:rFonts w:ascii="仿宋_GB2312" w:eastAsia="仿宋_GB2312"/>
      <w:sz w:val="32"/>
      <w:szCs w:val="20"/>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paragraph" w:styleId="6">
    <w:name w:val="Body Text First Indent 2"/>
    <w:basedOn w:val="4"/>
    <w:next w:val="2"/>
    <w:semiHidden/>
    <w:uiPriority w:val="0"/>
    <w:pPr>
      <w:spacing w:after="120"/>
      <w:ind w:left="420" w:firstLine="420" w:firstLineChars="0"/>
    </w:pPr>
    <w:rPr>
      <w:rFonts w:ascii="Calibri" w:hAnsi="Calibri" w:eastAsia="宋体"/>
      <w:b/>
      <w:bCs/>
      <w:kern w:val="44"/>
      <w:sz w:val="44"/>
      <w:szCs w:val="44"/>
    </w:rPr>
  </w:style>
  <w:style w:type="paragraph" w:customStyle="1" w:styleId="9">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3672</Words>
  <Characters>4195</Characters>
  <Lines>0</Lines>
  <Paragraphs>0</Paragraphs>
  <TotalTime>0</TotalTime>
  <ScaleCrop>false</ScaleCrop>
  <LinksUpToDate>false</LinksUpToDate>
  <CharactersWithSpaces>4623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2024-10-14T03:48:00Z</dcterms:created>
  <dc:creator>WPS_1496299590</dc:creator>
  <cp:lastModifiedBy>WPS_1496299590</cp:lastModifiedBy>
  <dcterms:modified xsi:type="dcterms:W3CDTF">2024-10-21T07:47:45Z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A6F82DC1F6FC468A9713235641C6F4CD_11</vt:lpwstr>
  </property>
</Properties>
</file>