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26BC0">
      <w:pPr>
        <w:spacing w:line="360" w:lineRule="auto"/>
        <w:jc w:val="center"/>
        <w:rPr>
          <w:rFonts w:hint="eastAsia" w:ascii="宋体" w:hAnsi="宋体" w:eastAsia="宋体" w:cs="宋体"/>
          <w:b/>
          <w:bCs/>
          <w:sz w:val="24"/>
          <w:szCs w:val="24"/>
          <w:lang w:val="en-US" w:eastAsia="zh-CN"/>
        </w:rPr>
      </w:pPr>
      <w:bookmarkStart w:id="0" w:name="_Toc495644242"/>
      <w:r>
        <w:rPr>
          <w:rFonts w:hint="eastAsia" w:ascii="宋体" w:hAnsi="宋体" w:eastAsia="宋体" w:cs="宋体"/>
          <w:b/>
          <w:bCs/>
          <w:sz w:val="24"/>
          <w:szCs w:val="24"/>
          <w:lang w:eastAsia="zh-CN"/>
        </w:rPr>
        <w:t>锡林郭勒超高压供电分公司2024年白音高勒500千伏变电站35千伏3号干式电抗器改造工程施工采购</w:t>
      </w:r>
      <w:r>
        <w:rPr>
          <w:rFonts w:hint="eastAsia" w:ascii="宋体" w:hAnsi="宋体" w:eastAsia="宋体" w:cs="宋体"/>
          <w:b/>
          <w:bCs/>
          <w:sz w:val="24"/>
          <w:szCs w:val="24"/>
          <w:lang w:val="en-US" w:eastAsia="zh-CN"/>
        </w:rPr>
        <w:t>项目</w:t>
      </w:r>
    </w:p>
    <w:p w14:paraId="335EDADA">
      <w:pPr>
        <w:pStyle w:val="7"/>
        <w:jc w:val="center"/>
        <w:rPr>
          <w:rFonts w:hint="default"/>
          <w:lang w:val="en-US" w:eastAsia="zh-CN"/>
        </w:rPr>
      </w:pPr>
      <w:r>
        <w:rPr>
          <w:rFonts w:hint="eastAsia" w:ascii="宋体" w:hAnsi="宋体" w:eastAsia="宋体" w:cs="宋体"/>
          <w:b/>
          <w:bCs/>
          <w:sz w:val="24"/>
          <w:szCs w:val="24"/>
          <w:lang w:val="en-US" w:eastAsia="zh-CN"/>
        </w:rPr>
        <w:t>询比采购公告</w:t>
      </w:r>
    </w:p>
    <w:p w14:paraId="38CC2263">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rPr>
        <w:t>项目编号: XCGS-2024-SG-059</w:t>
      </w:r>
      <w:r>
        <w:rPr>
          <w:rFonts w:hint="eastAsia" w:ascii="宋体" w:hAnsi="宋体" w:eastAsia="宋体" w:cs="宋体"/>
          <w:b/>
          <w:bCs/>
          <w:sz w:val="24"/>
          <w:szCs w:val="24"/>
          <w:lang w:eastAsia="zh-CN"/>
        </w:rPr>
        <w:t>（ZS-QCM</w:t>
      </w:r>
      <w:r>
        <w:rPr>
          <w:rFonts w:hint="eastAsia" w:ascii="宋体" w:hAnsi="宋体" w:eastAsia="宋体" w:cs="宋体"/>
          <w:b/>
          <w:bCs/>
          <w:sz w:val="24"/>
          <w:szCs w:val="24"/>
          <w:lang w:val="en-US" w:eastAsia="zh-CN"/>
        </w:rPr>
        <w:t>C</w:t>
      </w:r>
      <w:r>
        <w:rPr>
          <w:rFonts w:hint="eastAsia" w:ascii="宋体" w:hAnsi="宋体" w:eastAsia="宋体" w:cs="宋体"/>
          <w:b/>
          <w:bCs/>
          <w:sz w:val="24"/>
          <w:szCs w:val="24"/>
          <w:lang w:eastAsia="zh-CN"/>
        </w:rPr>
        <w:t>-H-202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-30</w:t>
      </w:r>
      <w:r>
        <w:rPr>
          <w:rFonts w:hint="eastAsia" w:ascii="宋体" w:hAnsi="宋体" w:eastAsia="宋体" w:cs="宋体"/>
          <w:b/>
          <w:bCs/>
          <w:sz w:val="24"/>
          <w:szCs w:val="24"/>
          <w:lang w:val="en-US" w:eastAsia="zh-CN"/>
        </w:rPr>
        <w:t>21）</w:t>
      </w:r>
    </w:p>
    <w:bookmarkEnd w:id="0"/>
    <w:p w14:paraId="3810EC80">
      <w:pPr>
        <w:spacing w:line="360" w:lineRule="auto"/>
        <w:ind w:left="-14" w:leftChars="-4" w:right="-54" w:firstLine="540" w:firstLineChars="225"/>
        <w:rPr>
          <w:rFonts w:hint="eastAsia" w:ascii="宋体" w:hAnsi="宋体" w:eastAsia="宋体" w:cs="宋体"/>
          <w:sz w:val="24"/>
          <w:szCs w:val="24"/>
          <w:highlight w:val="none"/>
        </w:rPr>
      </w:pPr>
      <w:r>
        <w:rPr>
          <w:rFonts w:hint="eastAsia" w:ascii="宋体" w:hAnsi="宋体" w:eastAsia="宋体" w:cs="宋体"/>
          <w:sz w:val="24"/>
          <w:szCs w:val="24"/>
        </w:rPr>
        <w:t>依据《国有企业采购操作规范》及《国有企业采购操作规范》释义等相关的规定，受</w:t>
      </w:r>
      <w:r>
        <w:rPr>
          <w:rFonts w:hint="eastAsia" w:ascii="宋体" w:hAnsi="宋体" w:eastAsia="宋体" w:cs="宋体"/>
          <w:sz w:val="24"/>
          <w:szCs w:val="24"/>
          <w:lang w:val="en-US" w:eastAsia="zh-CN"/>
        </w:rPr>
        <w:t>内蒙古电力(集团)有限责任公司锡林郭勒超高压供电分公司</w:t>
      </w:r>
      <w:r>
        <w:rPr>
          <w:rFonts w:hint="eastAsia" w:ascii="宋体" w:hAnsi="宋体" w:eastAsia="宋体" w:cs="宋体"/>
          <w:sz w:val="24"/>
          <w:szCs w:val="24"/>
          <w:highlight w:val="none"/>
        </w:rPr>
        <w:t>的委托,内蒙古中实工程招标咨询有限责任公司对锡林郭勒超高压供电分公司2024年白音高勒500千伏变电站35千伏3号干式电抗器改造工程施工采购项目进行询比采购,现发布采购公告如下:</w:t>
      </w:r>
      <w:bookmarkStart w:id="1" w:name="_Toc495644243"/>
      <w:r>
        <w:rPr>
          <w:rFonts w:hint="eastAsia" w:ascii="宋体" w:hAnsi="宋体" w:eastAsia="宋体" w:cs="宋体"/>
          <w:sz w:val="24"/>
          <w:szCs w:val="24"/>
          <w:highlight w:val="none"/>
        </w:rPr>
        <w:t xml:space="preserve"> </w:t>
      </w:r>
    </w:p>
    <w:p w14:paraId="4AF4E392">
      <w:pPr>
        <w:spacing w:line="360" w:lineRule="auto"/>
        <w:ind w:right="-54"/>
        <w:rPr>
          <w:rFonts w:hint="eastAsia" w:ascii="宋体" w:hAnsi="宋体" w:eastAsia="宋体" w:cs="宋体"/>
          <w:b/>
          <w:sz w:val="24"/>
          <w:szCs w:val="24"/>
          <w:highlight w:val="none"/>
        </w:rPr>
      </w:pPr>
      <w:r>
        <w:rPr>
          <w:rFonts w:hint="eastAsia" w:ascii="宋体" w:hAnsi="宋体" w:eastAsia="宋体" w:cs="宋体"/>
          <w:b/>
          <w:sz w:val="24"/>
          <w:szCs w:val="24"/>
          <w:highlight w:val="none"/>
        </w:rPr>
        <w:t>1. 项目概况与采购范围</w:t>
      </w:r>
      <w:bookmarkEnd w:id="1"/>
      <w:r>
        <w:rPr>
          <w:rFonts w:hint="eastAsia" w:ascii="宋体" w:hAnsi="宋体" w:eastAsia="宋体" w:cs="宋体"/>
          <w:b/>
          <w:sz w:val="24"/>
          <w:szCs w:val="24"/>
          <w:highlight w:val="none"/>
        </w:rPr>
        <w:t xml:space="preserve"> </w:t>
      </w:r>
    </w:p>
    <w:p w14:paraId="7E98A237">
      <w:pPr>
        <w:snapToGrid w:val="0"/>
        <w:spacing w:line="360" w:lineRule="auto"/>
        <w:ind w:right="-65" w:rightChars="-19"/>
        <w:rPr>
          <w:rFonts w:hint="eastAsia" w:ascii="宋体" w:hAnsi="宋体" w:eastAsia="宋体" w:cs="宋体"/>
          <w:sz w:val="24"/>
          <w:szCs w:val="22"/>
          <w:highlight w:val="none"/>
          <w:lang w:eastAsia="zh-CN"/>
        </w:rPr>
      </w:pPr>
      <w:bookmarkStart w:id="2" w:name="_Toc495644244"/>
      <w:r>
        <w:rPr>
          <w:rFonts w:hint="eastAsia" w:ascii="宋体" w:hAnsi="宋体" w:eastAsia="宋体" w:cs="宋体"/>
          <w:sz w:val="24"/>
          <w:szCs w:val="22"/>
          <w:highlight w:val="none"/>
        </w:rPr>
        <w:t>1.1采购项目名称：</w:t>
      </w:r>
      <w:r>
        <w:rPr>
          <w:rFonts w:hint="eastAsia" w:ascii="宋体" w:hAnsi="宋体" w:eastAsia="宋体" w:cs="宋体"/>
          <w:sz w:val="24"/>
          <w:szCs w:val="22"/>
          <w:highlight w:val="none"/>
          <w:lang w:eastAsia="zh-CN"/>
        </w:rPr>
        <w:t>锡林郭勒超高压供电分公司2024年白音高勒500千伏变电站35千伏3号干式电抗器改造工程施工采购</w:t>
      </w:r>
    </w:p>
    <w:p w14:paraId="51A995EE">
      <w:pPr>
        <w:snapToGrid w:val="0"/>
        <w:spacing w:line="360" w:lineRule="auto"/>
        <w:ind w:right="-65" w:rightChars="-19"/>
        <w:rPr>
          <w:rFonts w:hint="eastAsia" w:ascii="宋体" w:hAnsi="宋体" w:eastAsia="宋体" w:cs="宋体"/>
          <w:sz w:val="24"/>
          <w:szCs w:val="24"/>
          <w:highlight w:val="none"/>
        </w:rPr>
      </w:pPr>
      <w:r>
        <w:rPr>
          <w:rFonts w:hint="eastAsia" w:ascii="宋体" w:hAnsi="宋体" w:eastAsia="宋体" w:cs="宋体"/>
          <w:sz w:val="24"/>
          <w:szCs w:val="22"/>
          <w:highlight w:val="none"/>
        </w:rPr>
        <w:t>1.2采购内容：</w:t>
      </w:r>
      <w:r>
        <w:rPr>
          <w:rFonts w:hint="eastAsia" w:ascii="宋体" w:hAnsi="宋体" w:eastAsia="宋体" w:cs="宋体"/>
          <w:sz w:val="24"/>
          <w:szCs w:val="24"/>
          <w:highlight w:val="none"/>
        </w:rPr>
        <w:t xml:space="preserve">本项目共计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 个标</w:t>
      </w:r>
      <w:r>
        <w:rPr>
          <w:rFonts w:hint="eastAsia" w:ascii="宋体" w:hAnsi="宋体" w:eastAsia="宋体" w:cs="宋体"/>
          <w:sz w:val="24"/>
          <w:szCs w:val="24"/>
          <w:highlight w:val="none"/>
          <w:lang w:val="en-US" w:eastAsia="zh-CN"/>
        </w:rPr>
        <w:t>包</w:t>
      </w:r>
      <w:r>
        <w:rPr>
          <w:rFonts w:hint="eastAsia" w:ascii="宋体" w:hAnsi="宋体" w:eastAsia="宋体" w:cs="宋体"/>
          <w:sz w:val="24"/>
          <w:szCs w:val="24"/>
          <w:highlight w:val="none"/>
        </w:rPr>
        <w:t>，采购内容详见采购公告附件“需求明细表”</w:t>
      </w:r>
    </w:p>
    <w:tbl>
      <w:tblPr>
        <w:tblStyle w:val="9"/>
        <w:tblW w:w="5178" w:type="pct"/>
        <w:jc w:val="center"/>
        <w:tblLayout w:type="fixed"/>
        <w:tblCellMar>
          <w:top w:w="0" w:type="dxa"/>
          <w:left w:w="108" w:type="dxa"/>
          <w:bottom w:w="0" w:type="dxa"/>
          <w:right w:w="108" w:type="dxa"/>
        </w:tblCellMar>
      </w:tblPr>
      <w:tblGrid>
        <w:gridCol w:w="675"/>
        <w:gridCol w:w="3379"/>
        <w:gridCol w:w="662"/>
        <w:gridCol w:w="722"/>
        <w:gridCol w:w="1128"/>
        <w:gridCol w:w="1227"/>
        <w:gridCol w:w="1032"/>
      </w:tblGrid>
      <w:tr w14:paraId="4D6ABEE2">
        <w:tblPrEx>
          <w:tblCellMar>
            <w:top w:w="0" w:type="dxa"/>
            <w:left w:w="108" w:type="dxa"/>
            <w:bottom w:w="0" w:type="dxa"/>
            <w:right w:w="108" w:type="dxa"/>
          </w:tblCellMar>
        </w:tblPrEx>
        <w:trPr>
          <w:trHeight w:val="479" w:hRule="atLeast"/>
          <w:jc w:val="center"/>
        </w:trPr>
        <w:tc>
          <w:tcPr>
            <w:tcW w:w="382" w:type="pct"/>
            <w:vMerge w:val="restart"/>
            <w:tcBorders>
              <w:top w:val="single" w:color="auto" w:sz="4" w:space="0"/>
              <w:left w:val="single" w:color="auto" w:sz="4" w:space="0"/>
              <w:right w:val="single" w:color="auto" w:sz="4" w:space="0"/>
            </w:tcBorders>
            <w:noWrap/>
            <w:vAlign w:val="center"/>
          </w:tcPr>
          <w:p w14:paraId="0E5123DC">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序号</w:t>
            </w:r>
          </w:p>
        </w:tc>
        <w:tc>
          <w:tcPr>
            <w:tcW w:w="1914" w:type="pct"/>
            <w:vMerge w:val="restart"/>
            <w:tcBorders>
              <w:top w:val="single" w:color="auto" w:sz="4" w:space="0"/>
              <w:left w:val="single" w:color="auto" w:sz="4" w:space="0"/>
              <w:right w:val="single" w:color="auto" w:sz="4" w:space="0"/>
            </w:tcBorders>
            <w:noWrap/>
            <w:vAlign w:val="center"/>
          </w:tcPr>
          <w:p w14:paraId="5D943F47">
            <w:pPr>
              <w:widowControl/>
              <w:jc w:val="center"/>
              <w:rPr>
                <w:rFonts w:hint="default" w:ascii="宋体" w:hAnsi="宋体" w:eastAsia="宋体" w:cs="宋体"/>
                <w:b/>
                <w:bCs/>
                <w:kern w:val="0"/>
                <w:sz w:val="22"/>
                <w:szCs w:val="24"/>
                <w:highlight w:val="none"/>
                <w:lang w:val="en-US" w:eastAsia="zh-CN"/>
              </w:rPr>
            </w:pPr>
            <w:r>
              <w:rPr>
                <w:rFonts w:hint="eastAsia" w:ascii="宋体" w:hAnsi="宋体" w:eastAsia="宋体" w:cs="宋体"/>
                <w:b/>
                <w:bCs/>
                <w:kern w:val="0"/>
                <w:sz w:val="22"/>
                <w:szCs w:val="24"/>
                <w:highlight w:val="none"/>
                <w:lang w:val="en-US" w:eastAsia="zh-CN"/>
              </w:rPr>
              <w:t>项目名称</w:t>
            </w:r>
          </w:p>
        </w:tc>
        <w:tc>
          <w:tcPr>
            <w:tcW w:w="374" w:type="pct"/>
            <w:vMerge w:val="restart"/>
            <w:tcBorders>
              <w:top w:val="single" w:color="auto" w:sz="4" w:space="0"/>
              <w:left w:val="single" w:color="auto" w:sz="4" w:space="0"/>
              <w:right w:val="single" w:color="auto" w:sz="4" w:space="0"/>
            </w:tcBorders>
            <w:noWrap/>
            <w:vAlign w:val="center"/>
          </w:tcPr>
          <w:p w14:paraId="0C8770B7">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单位</w:t>
            </w:r>
          </w:p>
        </w:tc>
        <w:tc>
          <w:tcPr>
            <w:tcW w:w="409" w:type="pct"/>
            <w:vMerge w:val="restart"/>
            <w:tcBorders>
              <w:top w:val="single" w:color="auto" w:sz="4" w:space="0"/>
              <w:left w:val="single" w:color="auto" w:sz="4" w:space="0"/>
              <w:right w:val="single" w:color="auto" w:sz="4" w:space="0"/>
            </w:tcBorders>
            <w:noWrap w:val="0"/>
            <w:vAlign w:val="center"/>
          </w:tcPr>
          <w:p w14:paraId="34055630">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采购</w:t>
            </w:r>
          </w:p>
          <w:p w14:paraId="15E7D25B">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数量</w:t>
            </w:r>
          </w:p>
        </w:tc>
        <w:tc>
          <w:tcPr>
            <w:tcW w:w="1333" w:type="pct"/>
            <w:gridSpan w:val="2"/>
            <w:tcBorders>
              <w:top w:val="single" w:color="auto" w:sz="4" w:space="0"/>
              <w:left w:val="single" w:color="auto" w:sz="4" w:space="0"/>
              <w:bottom w:val="single" w:color="auto" w:sz="4" w:space="0"/>
              <w:right w:val="single" w:color="auto" w:sz="4" w:space="0"/>
            </w:tcBorders>
            <w:noWrap/>
            <w:vAlign w:val="center"/>
          </w:tcPr>
          <w:p w14:paraId="45AD855F">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最高限价（元）</w:t>
            </w:r>
          </w:p>
        </w:tc>
        <w:tc>
          <w:tcPr>
            <w:tcW w:w="584" w:type="pct"/>
            <w:vMerge w:val="restart"/>
            <w:tcBorders>
              <w:top w:val="single" w:color="auto" w:sz="4" w:space="0"/>
              <w:left w:val="single" w:color="auto" w:sz="4" w:space="0"/>
              <w:right w:val="single" w:color="auto" w:sz="4" w:space="0"/>
            </w:tcBorders>
            <w:noWrap w:val="0"/>
            <w:vAlign w:val="center"/>
          </w:tcPr>
          <w:p w14:paraId="4722F7D6">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标段划分</w:t>
            </w:r>
          </w:p>
        </w:tc>
      </w:tr>
      <w:tr w14:paraId="5689DE44">
        <w:tblPrEx>
          <w:tblCellMar>
            <w:top w:w="0" w:type="dxa"/>
            <w:left w:w="108" w:type="dxa"/>
            <w:bottom w:w="0" w:type="dxa"/>
            <w:right w:w="108" w:type="dxa"/>
          </w:tblCellMar>
        </w:tblPrEx>
        <w:trPr>
          <w:trHeight w:val="466" w:hRule="atLeast"/>
          <w:jc w:val="center"/>
        </w:trPr>
        <w:tc>
          <w:tcPr>
            <w:tcW w:w="382" w:type="pct"/>
            <w:vMerge w:val="continue"/>
            <w:tcBorders>
              <w:left w:val="single" w:color="auto" w:sz="4" w:space="0"/>
              <w:bottom w:val="single" w:color="auto" w:sz="4" w:space="0"/>
              <w:right w:val="single" w:color="auto" w:sz="4" w:space="0"/>
            </w:tcBorders>
            <w:noWrap/>
            <w:vAlign w:val="center"/>
          </w:tcPr>
          <w:p w14:paraId="5D2F57B2">
            <w:pPr>
              <w:widowControl/>
              <w:jc w:val="center"/>
              <w:rPr>
                <w:rFonts w:hint="eastAsia" w:ascii="宋体" w:hAnsi="宋体" w:eastAsia="宋体" w:cs="宋体"/>
                <w:highlight w:val="none"/>
              </w:rPr>
            </w:pPr>
          </w:p>
        </w:tc>
        <w:tc>
          <w:tcPr>
            <w:tcW w:w="1914" w:type="pct"/>
            <w:vMerge w:val="continue"/>
            <w:tcBorders>
              <w:left w:val="single" w:color="auto" w:sz="4" w:space="0"/>
              <w:bottom w:val="single" w:color="auto" w:sz="4" w:space="0"/>
              <w:right w:val="single" w:color="auto" w:sz="4" w:space="0"/>
            </w:tcBorders>
            <w:noWrap/>
            <w:vAlign w:val="center"/>
          </w:tcPr>
          <w:p w14:paraId="1D025AF1">
            <w:pPr>
              <w:widowControl/>
              <w:jc w:val="center"/>
              <w:rPr>
                <w:rFonts w:hint="eastAsia" w:ascii="宋体" w:hAnsi="宋体" w:eastAsia="宋体" w:cs="宋体"/>
                <w:highlight w:val="none"/>
              </w:rPr>
            </w:pPr>
          </w:p>
        </w:tc>
        <w:tc>
          <w:tcPr>
            <w:tcW w:w="374" w:type="pct"/>
            <w:vMerge w:val="continue"/>
            <w:tcBorders>
              <w:left w:val="single" w:color="auto" w:sz="4" w:space="0"/>
              <w:bottom w:val="single" w:color="auto" w:sz="4" w:space="0"/>
              <w:right w:val="single" w:color="auto" w:sz="4" w:space="0"/>
            </w:tcBorders>
            <w:noWrap/>
            <w:vAlign w:val="center"/>
          </w:tcPr>
          <w:p w14:paraId="45804E38">
            <w:pPr>
              <w:widowControl/>
              <w:jc w:val="center"/>
              <w:rPr>
                <w:rFonts w:hint="eastAsia" w:ascii="宋体" w:hAnsi="宋体" w:eastAsia="宋体" w:cs="宋体"/>
                <w:highlight w:val="none"/>
              </w:rPr>
            </w:pPr>
          </w:p>
        </w:tc>
        <w:tc>
          <w:tcPr>
            <w:tcW w:w="409" w:type="pct"/>
            <w:vMerge w:val="continue"/>
            <w:tcBorders>
              <w:left w:val="single" w:color="auto" w:sz="4" w:space="0"/>
              <w:bottom w:val="single" w:color="auto" w:sz="4" w:space="0"/>
              <w:right w:val="single" w:color="auto" w:sz="4" w:space="0"/>
            </w:tcBorders>
            <w:noWrap w:val="0"/>
            <w:vAlign w:val="center"/>
          </w:tcPr>
          <w:p w14:paraId="7D962A1C">
            <w:pPr>
              <w:widowControl/>
              <w:jc w:val="center"/>
              <w:rPr>
                <w:rFonts w:hint="eastAsia" w:ascii="宋体" w:hAnsi="宋体" w:eastAsia="宋体" w:cs="宋体"/>
                <w:highlight w:val="none"/>
              </w:rPr>
            </w:pPr>
          </w:p>
        </w:tc>
        <w:tc>
          <w:tcPr>
            <w:tcW w:w="638" w:type="pct"/>
            <w:tcBorders>
              <w:top w:val="single" w:color="auto" w:sz="4" w:space="0"/>
              <w:left w:val="single" w:color="auto" w:sz="4" w:space="0"/>
              <w:bottom w:val="single" w:color="auto" w:sz="4" w:space="0"/>
              <w:right w:val="single" w:color="auto" w:sz="4" w:space="0"/>
            </w:tcBorders>
            <w:noWrap/>
            <w:vAlign w:val="center"/>
          </w:tcPr>
          <w:p w14:paraId="55EE6470">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单价</w:t>
            </w:r>
          </w:p>
        </w:tc>
        <w:tc>
          <w:tcPr>
            <w:tcW w:w="695" w:type="pct"/>
            <w:tcBorders>
              <w:top w:val="single" w:color="auto" w:sz="4" w:space="0"/>
              <w:left w:val="single" w:color="auto" w:sz="4" w:space="0"/>
              <w:bottom w:val="single" w:color="auto" w:sz="4" w:space="0"/>
              <w:right w:val="single" w:color="auto" w:sz="4" w:space="0"/>
            </w:tcBorders>
            <w:noWrap/>
            <w:vAlign w:val="center"/>
          </w:tcPr>
          <w:p w14:paraId="2D27B3DB">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总价</w:t>
            </w:r>
          </w:p>
        </w:tc>
        <w:tc>
          <w:tcPr>
            <w:tcW w:w="584" w:type="pct"/>
            <w:vMerge w:val="continue"/>
            <w:tcBorders>
              <w:left w:val="single" w:color="auto" w:sz="4" w:space="0"/>
              <w:bottom w:val="single" w:color="auto" w:sz="4" w:space="0"/>
              <w:right w:val="single" w:color="auto" w:sz="4" w:space="0"/>
            </w:tcBorders>
            <w:noWrap w:val="0"/>
            <w:vAlign w:val="center"/>
          </w:tcPr>
          <w:p w14:paraId="7AABFDEF">
            <w:pPr>
              <w:widowControl/>
              <w:jc w:val="center"/>
              <w:rPr>
                <w:rFonts w:hint="eastAsia" w:ascii="宋体" w:hAnsi="宋体" w:eastAsia="宋体" w:cs="宋体"/>
                <w:b/>
                <w:bCs/>
                <w:kern w:val="0"/>
                <w:sz w:val="22"/>
                <w:szCs w:val="24"/>
                <w:highlight w:val="none"/>
              </w:rPr>
            </w:pPr>
          </w:p>
        </w:tc>
      </w:tr>
      <w:tr w14:paraId="2DB53790">
        <w:tblPrEx>
          <w:tblCellMar>
            <w:top w:w="0" w:type="dxa"/>
            <w:left w:w="108" w:type="dxa"/>
            <w:bottom w:w="0" w:type="dxa"/>
            <w:right w:w="108" w:type="dxa"/>
          </w:tblCellMar>
        </w:tblPrEx>
        <w:trPr>
          <w:trHeight w:val="852" w:hRule="atLeast"/>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14:paraId="7F6A5A3D">
            <w:pPr>
              <w:widowControl/>
              <w:jc w:val="center"/>
              <w:rPr>
                <w:rFonts w:hint="eastAsia" w:ascii="宋体" w:hAnsi="宋体" w:eastAsia="宋体" w:cs="宋体"/>
                <w:kern w:val="0"/>
                <w:sz w:val="22"/>
                <w:szCs w:val="24"/>
                <w:highlight w:val="none"/>
              </w:rPr>
            </w:pPr>
            <w:r>
              <w:rPr>
                <w:rFonts w:hint="eastAsia" w:ascii="宋体" w:hAnsi="宋体" w:eastAsia="宋体" w:cs="宋体"/>
                <w:kern w:val="0"/>
                <w:sz w:val="22"/>
                <w:szCs w:val="24"/>
                <w:highlight w:val="none"/>
              </w:rPr>
              <w:t>1</w:t>
            </w:r>
          </w:p>
        </w:tc>
        <w:tc>
          <w:tcPr>
            <w:tcW w:w="1914" w:type="pct"/>
            <w:tcBorders>
              <w:top w:val="single" w:color="auto" w:sz="4" w:space="0"/>
              <w:left w:val="single" w:color="auto" w:sz="4" w:space="0"/>
              <w:bottom w:val="single" w:color="auto" w:sz="4" w:space="0"/>
              <w:right w:val="single" w:color="auto" w:sz="4" w:space="0"/>
            </w:tcBorders>
            <w:noWrap w:val="0"/>
            <w:vAlign w:val="center"/>
          </w:tcPr>
          <w:p w14:paraId="0C3D0FCD">
            <w:pPr>
              <w:widowControl/>
              <w:jc w:val="center"/>
              <w:rPr>
                <w:rFonts w:hint="eastAsia" w:ascii="宋体" w:hAnsi="宋体" w:eastAsia="宋体" w:cs="宋体"/>
                <w:kern w:val="0"/>
                <w:sz w:val="22"/>
                <w:szCs w:val="24"/>
                <w:highlight w:val="none"/>
                <w:lang w:eastAsia="zh-CN"/>
              </w:rPr>
            </w:pPr>
            <w:r>
              <w:rPr>
                <w:rFonts w:hint="eastAsia" w:ascii="宋体" w:hAnsi="宋体" w:eastAsia="宋体" w:cs="宋体"/>
                <w:kern w:val="0"/>
                <w:sz w:val="22"/>
                <w:szCs w:val="24"/>
                <w:highlight w:val="none"/>
                <w:lang w:eastAsia="zh-CN"/>
              </w:rPr>
              <w:t>2024年白音高勒500千伏变电站35千伏3号干式电抗器改造工程施工</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5E5E311F">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项</w:t>
            </w:r>
          </w:p>
        </w:tc>
        <w:tc>
          <w:tcPr>
            <w:tcW w:w="409" w:type="pct"/>
            <w:tcBorders>
              <w:top w:val="single" w:color="auto" w:sz="4" w:space="0"/>
              <w:left w:val="single" w:color="auto" w:sz="4" w:space="0"/>
              <w:bottom w:val="single" w:color="auto" w:sz="4" w:space="0"/>
              <w:right w:val="single" w:color="auto" w:sz="4" w:space="0"/>
            </w:tcBorders>
            <w:noWrap/>
            <w:vAlign w:val="center"/>
          </w:tcPr>
          <w:p w14:paraId="75115556">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1</w:t>
            </w:r>
          </w:p>
        </w:tc>
        <w:tc>
          <w:tcPr>
            <w:tcW w:w="638" w:type="pct"/>
            <w:tcBorders>
              <w:top w:val="single" w:color="auto" w:sz="4" w:space="0"/>
              <w:left w:val="single" w:color="auto" w:sz="4" w:space="0"/>
              <w:bottom w:val="single" w:color="auto" w:sz="4" w:space="0"/>
              <w:right w:val="single" w:color="auto" w:sz="4" w:space="0"/>
            </w:tcBorders>
            <w:noWrap w:val="0"/>
            <w:vAlign w:val="center"/>
          </w:tcPr>
          <w:p w14:paraId="372A6E2A">
            <w:pPr>
              <w:widowControl/>
              <w:jc w:val="center"/>
              <w:textAlignment w:val="center"/>
              <w:rPr>
                <w:rFonts w:hint="default" w:ascii="宋体" w:hAnsi="宋体" w:eastAsia="宋体" w:cs="宋体"/>
                <w:kern w:val="0"/>
                <w:sz w:val="22"/>
                <w:szCs w:val="24"/>
                <w:highlight w:val="none"/>
                <w:lang w:val="en-US" w:eastAsia="zh-CN"/>
              </w:rPr>
            </w:pPr>
            <w:r>
              <w:rPr>
                <w:rFonts w:hint="default" w:ascii="宋体" w:hAnsi="宋体" w:eastAsia="宋体" w:cs="宋体"/>
                <w:kern w:val="0"/>
                <w:sz w:val="22"/>
                <w:szCs w:val="24"/>
                <w:highlight w:val="none"/>
                <w:lang w:val="en-US" w:eastAsia="zh-CN"/>
              </w:rPr>
              <w:t>714701</w:t>
            </w:r>
            <w:r>
              <w:rPr>
                <w:rFonts w:hint="eastAsia" w:ascii="宋体" w:hAnsi="宋体" w:eastAsia="宋体" w:cs="宋体"/>
                <w:kern w:val="0"/>
                <w:sz w:val="22"/>
                <w:szCs w:val="24"/>
                <w:highlight w:val="none"/>
                <w:lang w:val="en-US" w:eastAsia="zh-CN"/>
              </w:rPr>
              <w:t>.00</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FBC3EC1">
            <w:pPr>
              <w:widowControl/>
              <w:jc w:val="center"/>
              <w:textAlignment w:val="center"/>
              <w:rPr>
                <w:rFonts w:hint="default"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rPr>
              <w:t>714701</w:t>
            </w:r>
            <w:r>
              <w:rPr>
                <w:rFonts w:hint="eastAsia" w:ascii="宋体" w:hAnsi="宋体" w:eastAsia="宋体" w:cs="宋体"/>
                <w:kern w:val="0"/>
                <w:sz w:val="22"/>
                <w:szCs w:val="24"/>
                <w:highlight w:val="none"/>
                <w:lang w:val="en-US" w:eastAsia="zh-CN"/>
              </w:rPr>
              <w:t>.00</w:t>
            </w:r>
          </w:p>
        </w:tc>
        <w:tc>
          <w:tcPr>
            <w:tcW w:w="584" w:type="pct"/>
            <w:tcBorders>
              <w:top w:val="single" w:color="auto" w:sz="4" w:space="0"/>
              <w:left w:val="single" w:color="auto" w:sz="4" w:space="0"/>
              <w:right w:val="single" w:color="auto" w:sz="4" w:space="0"/>
            </w:tcBorders>
            <w:noWrap w:val="0"/>
            <w:vAlign w:val="center"/>
          </w:tcPr>
          <w:p w14:paraId="0E1C88C8">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第一标段</w:t>
            </w:r>
          </w:p>
        </w:tc>
      </w:tr>
      <w:tr w14:paraId="4BA94C13">
        <w:tblPrEx>
          <w:tblCellMar>
            <w:top w:w="0" w:type="dxa"/>
            <w:left w:w="108" w:type="dxa"/>
            <w:bottom w:w="0" w:type="dxa"/>
            <w:right w:w="108" w:type="dxa"/>
          </w:tblCellMar>
        </w:tblPrEx>
        <w:trPr>
          <w:trHeight w:val="548" w:hRule="atLeast"/>
          <w:jc w:val="center"/>
        </w:trPr>
        <w:tc>
          <w:tcPr>
            <w:tcW w:w="382" w:type="pct"/>
            <w:tcBorders>
              <w:top w:val="single" w:color="auto" w:sz="4" w:space="0"/>
              <w:left w:val="single" w:color="auto" w:sz="4" w:space="0"/>
              <w:bottom w:val="single" w:color="auto" w:sz="4" w:space="0"/>
              <w:right w:val="single" w:color="auto" w:sz="4" w:space="0"/>
            </w:tcBorders>
            <w:noWrap w:val="0"/>
            <w:vAlign w:val="center"/>
          </w:tcPr>
          <w:p w14:paraId="11DF0C9A">
            <w:pPr>
              <w:widowControl/>
              <w:jc w:val="center"/>
              <w:rPr>
                <w:rFonts w:hint="eastAsia" w:ascii="宋体" w:hAnsi="宋体" w:eastAsia="宋体" w:cs="宋体"/>
                <w:kern w:val="0"/>
                <w:sz w:val="22"/>
                <w:szCs w:val="24"/>
                <w:highlight w:val="none"/>
              </w:rPr>
            </w:pPr>
          </w:p>
        </w:tc>
        <w:tc>
          <w:tcPr>
            <w:tcW w:w="1914" w:type="pct"/>
            <w:tcBorders>
              <w:top w:val="single" w:color="auto" w:sz="4" w:space="0"/>
              <w:left w:val="single" w:color="auto" w:sz="4" w:space="0"/>
              <w:bottom w:val="single" w:color="auto" w:sz="4" w:space="0"/>
              <w:right w:val="single" w:color="auto" w:sz="4" w:space="0"/>
            </w:tcBorders>
            <w:noWrap w:val="0"/>
            <w:vAlign w:val="center"/>
          </w:tcPr>
          <w:p w14:paraId="1CC83095">
            <w:pPr>
              <w:widowControl/>
              <w:jc w:val="center"/>
              <w:rPr>
                <w:rFonts w:hint="eastAsia" w:ascii="宋体" w:hAnsi="宋体" w:eastAsia="宋体" w:cs="宋体"/>
                <w:kern w:val="0"/>
                <w:sz w:val="22"/>
                <w:szCs w:val="24"/>
                <w:highlight w:val="none"/>
              </w:rPr>
            </w:pPr>
            <w:r>
              <w:rPr>
                <w:rFonts w:hint="eastAsia" w:ascii="宋体" w:hAnsi="宋体" w:eastAsia="宋体" w:cs="宋体"/>
                <w:b/>
                <w:bCs/>
                <w:kern w:val="0"/>
                <w:sz w:val="22"/>
                <w:szCs w:val="24"/>
                <w:highlight w:val="none"/>
              </w:rPr>
              <w:t>合计</w:t>
            </w:r>
          </w:p>
        </w:tc>
        <w:tc>
          <w:tcPr>
            <w:tcW w:w="374" w:type="pct"/>
            <w:tcBorders>
              <w:top w:val="single" w:color="auto" w:sz="4" w:space="0"/>
              <w:left w:val="single" w:color="auto" w:sz="4" w:space="0"/>
              <w:bottom w:val="single" w:color="auto" w:sz="4" w:space="0"/>
              <w:right w:val="single" w:color="auto" w:sz="4" w:space="0"/>
            </w:tcBorders>
            <w:noWrap w:val="0"/>
            <w:vAlign w:val="center"/>
          </w:tcPr>
          <w:p w14:paraId="2FAB2915">
            <w:pPr>
              <w:widowControl/>
              <w:jc w:val="center"/>
              <w:rPr>
                <w:rFonts w:hint="eastAsia" w:ascii="宋体" w:hAnsi="宋体" w:eastAsia="宋体" w:cs="宋体"/>
                <w:kern w:val="0"/>
                <w:sz w:val="22"/>
                <w:szCs w:val="24"/>
                <w:highlight w:val="none"/>
              </w:rPr>
            </w:pPr>
          </w:p>
        </w:tc>
        <w:tc>
          <w:tcPr>
            <w:tcW w:w="409" w:type="pct"/>
            <w:tcBorders>
              <w:top w:val="single" w:color="auto" w:sz="4" w:space="0"/>
              <w:left w:val="single" w:color="auto" w:sz="4" w:space="0"/>
              <w:bottom w:val="single" w:color="auto" w:sz="4" w:space="0"/>
              <w:right w:val="single" w:color="auto" w:sz="4" w:space="0"/>
            </w:tcBorders>
            <w:noWrap/>
            <w:vAlign w:val="center"/>
          </w:tcPr>
          <w:p w14:paraId="5A9DFBE2">
            <w:pPr>
              <w:widowControl/>
              <w:jc w:val="center"/>
              <w:rPr>
                <w:rFonts w:hint="eastAsia" w:ascii="宋体" w:hAnsi="宋体" w:eastAsia="宋体" w:cs="宋体"/>
                <w:kern w:val="0"/>
                <w:sz w:val="22"/>
                <w:szCs w:val="24"/>
                <w:highlight w:val="none"/>
              </w:rPr>
            </w:pPr>
          </w:p>
        </w:tc>
        <w:tc>
          <w:tcPr>
            <w:tcW w:w="638" w:type="pct"/>
            <w:tcBorders>
              <w:top w:val="single" w:color="auto" w:sz="4" w:space="0"/>
              <w:left w:val="single" w:color="auto" w:sz="4" w:space="0"/>
              <w:bottom w:val="single" w:color="auto" w:sz="4" w:space="0"/>
              <w:right w:val="single" w:color="auto" w:sz="4" w:space="0"/>
            </w:tcBorders>
            <w:noWrap w:val="0"/>
            <w:vAlign w:val="center"/>
          </w:tcPr>
          <w:p w14:paraId="404066C9">
            <w:pPr>
              <w:widowControl/>
              <w:jc w:val="center"/>
              <w:textAlignment w:val="center"/>
              <w:rPr>
                <w:rFonts w:hint="eastAsia" w:ascii="宋体" w:hAnsi="宋体" w:eastAsia="宋体" w:cs="宋体"/>
                <w:color w:val="000000"/>
                <w:kern w:val="0"/>
                <w:sz w:val="20"/>
                <w:highlight w:val="none"/>
                <w:lang w:bidi="ar"/>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19FEFF93">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714701</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val="en-US" w:eastAsia="zh-CN" w:bidi="ar"/>
              </w:rPr>
              <w:t>00</w:t>
            </w:r>
          </w:p>
        </w:tc>
        <w:tc>
          <w:tcPr>
            <w:tcW w:w="584" w:type="pct"/>
            <w:tcBorders>
              <w:top w:val="single" w:color="auto" w:sz="4" w:space="0"/>
              <w:left w:val="single" w:color="auto" w:sz="4" w:space="0"/>
              <w:bottom w:val="single" w:color="auto" w:sz="4" w:space="0"/>
              <w:right w:val="single" w:color="auto" w:sz="4" w:space="0"/>
            </w:tcBorders>
            <w:noWrap w:val="0"/>
            <w:vAlign w:val="center"/>
          </w:tcPr>
          <w:p w14:paraId="2BE094F3">
            <w:pPr>
              <w:widowControl/>
              <w:jc w:val="center"/>
              <w:rPr>
                <w:rFonts w:hint="eastAsia" w:ascii="宋体" w:hAnsi="宋体" w:eastAsia="宋体" w:cs="宋体"/>
                <w:kern w:val="0"/>
                <w:sz w:val="22"/>
                <w:szCs w:val="24"/>
                <w:highlight w:val="none"/>
              </w:rPr>
            </w:pPr>
          </w:p>
        </w:tc>
      </w:tr>
    </w:tbl>
    <w:p w14:paraId="14363B1D">
      <w:pPr>
        <w:snapToGrid w:val="0"/>
        <w:spacing w:line="360" w:lineRule="auto"/>
        <w:ind w:right="-65" w:rightChars="-19"/>
        <w:rPr>
          <w:rFonts w:hint="eastAsia" w:ascii="宋体" w:hAnsi="宋体" w:eastAsia="宋体" w:cs="宋体"/>
          <w:sz w:val="24"/>
          <w:szCs w:val="22"/>
          <w:highlight w:val="none"/>
        </w:rPr>
      </w:pPr>
      <w:r>
        <w:rPr>
          <w:rFonts w:hint="eastAsia" w:ascii="宋体" w:hAnsi="宋体" w:eastAsia="宋体" w:cs="宋体"/>
          <w:sz w:val="24"/>
          <w:szCs w:val="22"/>
          <w:highlight w:val="none"/>
        </w:rPr>
        <w:t>1.3资金来源：自筹资金</w:t>
      </w:r>
    </w:p>
    <w:p w14:paraId="7C0660C1">
      <w:pPr>
        <w:snapToGrid w:val="0"/>
        <w:spacing w:line="360" w:lineRule="auto"/>
        <w:ind w:right="-65" w:rightChars="-19"/>
        <w:rPr>
          <w:rFonts w:hint="default" w:ascii="宋体" w:hAnsi="宋体" w:eastAsia="宋体" w:cs="宋体"/>
          <w:sz w:val="24"/>
          <w:szCs w:val="22"/>
          <w:highlight w:val="none"/>
          <w:lang w:val="en-US" w:eastAsia="zh-CN"/>
        </w:rPr>
      </w:pPr>
      <w:r>
        <w:rPr>
          <w:rFonts w:hint="eastAsia" w:ascii="宋体" w:hAnsi="宋体" w:eastAsia="宋体" w:cs="宋体"/>
          <w:sz w:val="24"/>
          <w:szCs w:val="22"/>
          <w:highlight w:val="none"/>
        </w:rPr>
        <w:t>1.</w:t>
      </w:r>
      <w:bookmarkEnd w:id="2"/>
      <w:bookmarkStart w:id="3" w:name="_Toc37407095"/>
      <w:bookmarkStart w:id="4" w:name="_Toc37409907"/>
      <w:bookmarkStart w:id="5" w:name="_Toc37411142"/>
      <w:r>
        <w:rPr>
          <w:rFonts w:hint="eastAsia" w:ascii="宋体" w:hAnsi="宋体" w:eastAsia="宋体" w:cs="宋体"/>
          <w:sz w:val="24"/>
          <w:szCs w:val="22"/>
          <w:highlight w:val="none"/>
        </w:rPr>
        <w:t>4工期要求：</w:t>
      </w:r>
      <w:r>
        <w:rPr>
          <w:rFonts w:hint="eastAsia" w:ascii="宋体" w:hAnsi="宋体" w:eastAsia="宋体" w:cs="宋体"/>
          <w:sz w:val="24"/>
          <w:szCs w:val="22"/>
          <w:highlight w:val="none"/>
          <w:lang w:val="en-US" w:eastAsia="zh-CN"/>
        </w:rPr>
        <w:t>自合同签订之日起至2024年12月15日前</w:t>
      </w:r>
    </w:p>
    <w:p w14:paraId="135F2539">
      <w:pPr>
        <w:snapToGrid w:val="0"/>
        <w:spacing w:line="360" w:lineRule="auto"/>
        <w:ind w:right="-65" w:rightChars="-19"/>
        <w:rPr>
          <w:rFonts w:hint="default" w:ascii="宋体" w:hAnsi="宋体" w:eastAsia="宋体" w:cs="宋体"/>
          <w:color w:val="0070C0"/>
          <w:sz w:val="24"/>
          <w:szCs w:val="22"/>
          <w:highlight w:val="none"/>
          <w:lang w:val="en-US" w:eastAsia="zh-CN"/>
        </w:rPr>
      </w:pPr>
      <w:r>
        <w:rPr>
          <w:rFonts w:hint="eastAsia" w:ascii="宋体" w:hAnsi="宋体" w:eastAsia="宋体" w:cs="宋体"/>
          <w:sz w:val="24"/>
          <w:szCs w:val="22"/>
          <w:highlight w:val="none"/>
        </w:rPr>
        <w:t>1.5工程地点：</w:t>
      </w:r>
      <w:r>
        <w:rPr>
          <w:rFonts w:hint="eastAsia" w:ascii="宋体" w:hAnsi="宋体" w:eastAsia="宋体" w:cs="宋体"/>
          <w:sz w:val="24"/>
          <w:szCs w:val="22"/>
          <w:highlight w:val="none"/>
          <w:lang w:eastAsia="zh-CN"/>
        </w:rPr>
        <w:t>白音高勒500千伏变电站</w:t>
      </w:r>
      <w:r>
        <w:rPr>
          <w:rFonts w:hint="eastAsia" w:ascii="宋体" w:hAnsi="宋体" w:eastAsia="宋体" w:cs="宋体"/>
          <w:sz w:val="24"/>
          <w:szCs w:val="22"/>
          <w:highlight w:val="none"/>
          <w:lang w:val="en-US" w:eastAsia="zh-CN"/>
        </w:rPr>
        <w:t xml:space="preserve"> </w:t>
      </w:r>
    </w:p>
    <w:p w14:paraId="6E788562">
      <w:pPr>
        <w:snapToGrid w:val="0"/>
        <w:spacing w:line="360" w:lineRule="auto"/>
        <w:ind w:right="-65" w:rightChars="-19"/>
        <w:rPr>
          <w:rFonts w:hint="eastAsia" w:ascii="宋体" w:hAnsi="宋体" w:eastAsia="宋体" w:cs="宋体"/>
          <w:sz w:val="24"/>
          <w:szCs w:val="22"/>
        </w:rPr>
      </w:pPr>
      <w:r>
        <w:rPr>
          <w:rFonts w:hint="eastAsia" w:ascii="宋体" w:hAnsi="宋体" w:eastAsia="宋体" w:cs="宋体"/>
          <w:sz w:val="24"/>
          <w:szCs w:val="22"/>
          <w:highlight w:val="none"/>
        </w:rPr>
        <w:t>1.6质量要求：</w:t>
      </w:r>
      <w:r>
        <w:rPr>
          <w:rFonts w:hint="eastAsia" w:ascii="宋体" w:hAnsi="宋体" w:eastAsia="宋体" w:cs="宋体"/>
          <w:bCs/>
          <w:sz w:val="24"/>
          <w:highlight w:val="none"/>
        </w:rPr>
        <w:t>符合国家工程质量验收标准及</w:t>
      </w:r>
      <w:r>
        <w:rPr>
          <w:rFonts w:hint="eastAsia" w:ascii="宋体" w:hAnsi="宋体" w:eastAsia="宋体" w:cs="宋体"/>
          <w:sz w:val="24"/>
          <w:highlight w:val="none"/>
        </w:rPr>
        <w:t>国家相</w:t>
      </w:r>
      <w:r>
        <w:rPr>
          <w:rFonts w:hint="eastAsia" w:ascii="宋体" w:hAnsi="宋体" w:eastAsia="宋体" w:cs="宋体"/>
          <w:sz w:val="24"/>
        </w:rPr>
        <w:t>关专业的其他验收标准</w:t>
      </w:r>
    </w:p>
    <w:p w14:paraId="68CB2C15">
      <w:pPr>
        <w:snapToGrid w:val="0"/>
        <w:spacing w:line="360" w:lineRule="auto"/>
        <w:ind w:right="-65" w:rightChars="-19"/>
        <w:rPr>
          <w:rFonts w:hint="eastAsia" w:ascii="宋体" w:hAnsi="宋体" w:eastAsia="宋体" w:cs="宋体"/>
          <w:sz w:val="24"/>
          <w:szCs w:val="22"/>
        </w:rPr>
      </w:pPr>
      <w:r>
        <w:rPr>
          <w:rFonts w:hint="eastAsia" w:ascii="宋体" w:hAnsi="宋体" w:eastAsia="宋体" w:cs="宋体"/>
          <w:sz w:val="24"/>
          <w:szCs w:val="22"/>
        </w:rPr>
        <w:t>1.7安全要求：</w:t>
      </w:r>
      <w:r>
        <w:rPr>
          <w:rFonts w:hint="eastAsia" w:ascii="宋体" w:hAnsi="宋体" w:eastAsia="宋体" w:cs="宋体"/>
          <w:bCs/>
          <w:sz w:val="24"/>
        </w:rPr>
        <w:t>符合国家工程安全验收标准及合同要求</w:t>
      </w:r>
    </w:p>
    <w:bookmarkEnd w:id="3"/>
    <w:bookmarkEnd w:id="4"/>
    <w:bookmarkEnd w:id="5"/>
    <w:p w14:paraId="4B3D73B6">
      <w:pPr>
        <w:snapToGrid w:val="0"/>
        <w:spacing w:line="360" w:lineRule="auto"/>
        <w:ind w:right="-65" w:rightChars="-19"/>
        <w:rPr>
          <w:rFonts w:hint="eastAsia" w:ascii="宋体" w:hAnsi="宋体" w:eastAsia="宋体" w:cs="宋体"/>
          <w:sz w:val="24"/>
          <w:szCs w:val="24"/>
        </w:rPr>
      </w:pPr>
      <w:r>
        <w:rPr>
          <w:rFonts w:hint="eastAsia" w:ascii="宋体" w:hAnsi="宋体" w:eastAsia="宋体" w:cs="宋体"/>
          <w:b/>
          <w:sz w:val="24"/>
          <w:szCs w:val="24"/>
        </w:rPr>
        <w:t>2.供应商资格要求</w:t>
      </w:r>
    </w:p>
    <w:p w14:paraId="473EDAA1">
      <w:pPr>
        <w:spacing w:line="360" w:lineRule="auto"/>
        <w:ind w:right="-65" w:rightChars="-19"/>
        <w:rPr>
          <w:rFonts w:hint="eastAsia" w:ascii="宋体" w:hAnsi="宋体" w:eastAsia="宋体" w:cs="宋体"/>
          <w:b/>
          <w:sz w:val="24"/>
          <w:szCs w:val="24"/>
        </w:rPr>
      </w:pPr>
      <w:r>
        <w:rPr>
          <w:rFonts w:hint="eastAsia" w:ascii="宋体" w:hAnsi="宋体" w:eastAsia="宋体" w:cs="宋体"/>
          <w:b/>
          <w:sz w:val="24"/>
          <w:szCs w:val="24"/>
        </w:rPr>
        <w:t>2.1通用资格要求：</w:t>
      </w:r>
    </w:p>
    <w:p w14:paraId="6E1A3B40">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本次招标要求投标人具有中华人民共和国企业法人资格和独立订立合同的权利，须具备相应服务能力，并在人员、设备、资金等方面具有保障如期完成招标项目的能力</w:t>
      </w:r>
      <w:r>
        <w:rPr>
          <w:rFonts w:hint="eastAsia" w:ascii="宋体" w:hAnsi="宋体" w:eastAsia="宋体" w:cs="宋体"/>
          <w:b w:val="0"/>
          <w:bCs/>
          <w:sz w:val="24"/>
          <w:szCs w:val="24"/>
          <w:lang w:eastAsia="zh-CN"/>
        </w:rPr>
        <w:t>。</w:t>
      </w:r>
    </w:p>
    <w:p w14:paraId="0BC01CFA">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2.单位负责人为同一人或者存在控股、管理关系的不同单位，不得参加同一标段投标或者未划分标段的同一招标项目投标。母子公司不能互用资质、业绩。</w:t>
      </w:r>
    </w:p>
    <w:p w14:paraId="077D2FCF">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投标人具有有效的营业执照</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企业如有信息变更，需有</w:t>
      </w:r>
      <w:r>
        <w:rPr>
          <w:rFonts w:hint="eastAsia" w:ascii="宋体" w:hAnsi="宋体" w:eastAsia="宋体" w:cs="宋体"/>
          <w:b w:val="0"/>
          <w:bCs/>
          <w:sz w:val="24"/>
          <w:szCs w:val="24"/>
          <w:lang w:val="en-US" w:eastAsia="zh-CN"/>
        </w:rPr>
        <w:t>行政主管部门</w:t>
      </w:r>
      <w:r>
        <w:rPr>
          <w:rFonts w:hint="eastAsia" w:ascii="宋体" w:hAnsi="宋体" w:eastAsia="宋体" w:cs="宋体"/>
          <w:b w:val="0"/>
          <w:bCs/>
          <w:sz w:val="24"/>
          <w:szCs w:val="24"/>
        </w:rPr>
        <w:t>变更说明</w:t>
      </w:r>
      <w:r>
        <w:rPr>
          <w:rFonts w:hint="eastAsia" w:ascii="宋体" w:hAnsi="宋体" w:eastAsia="宋体" w:cs="宋体"/>
          <w:b w:val="0"/>
          <w:bCs/>
          <w:sz w:val="24"/>
          <w:szCs w:val="24"/>
          <w:lang w:eastAsia="zh-CN"/>
        </w:rPr>
        <w:t>。</w:t>
      </w:r>
    </w:p>
    <w:p w14:paraId="52FD4402">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.供应商须具有开具增值税</w:t>
      </w:r>
      <w:r>
        <w:rPr>
          <w:rFonts w:hint="eastAsia" w:ascii="宋体" w:hAnsi="宋体" w:eastAsia="宋体" w:cs="宋体"/>
          <w:b w:val="0"/>
          <w:bCs/>
          <w:sz w:val="24"/>
          <w:szCs w:val="24"/>
          <w:lang w:val="en-US" w:eastAsia="zh-CN"/>
        </w:rPr>
        <w:t>专用</w:t>
      </w:r>
      <w:r>
        <w:rPr>
          <w:rFonts w:hint="eastAsia" w:ascii="宋体" w:hAnsi="宋体" w:eastAsia="宋体" w:cs="宋体"/>
          <w:b w:val="0"/>
          <w:bCs/>
          <w:sz w:val="24"/>
          <w:szCs w:val="24"/>
        </w:rPr>
        <w:t>发票的能力</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提供开具增值税发票的证明材料）</w:t>
      </w:r>
    </w:p>
    <w:p w14:paraId="7B2FC347">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投标企业及其法定代表人在中国裁判文书网（http://wenshu.court.gov.cn/Index）显示</w:t>
      </w:r>
      <w:r>
        <w:rPr>
          <w:rFonts w:hint="eastAsia" w:ascii="宋体" w:hAnsi="宋体" w:eastAsia="宋体" w:cs="宋体"/>
          <w:b w:val="0"/>
          <w:bCs/>
          <w:sz w:val="24"/>
          <w:szCs w:val="24"/>
          <w:lang w:val="en-US" w:eastAsia="zh-CN"/>
        </w:rPr>
        <w:t>近三年</w:t>
      </w:r>
      <w:r>
        <w:rPr>
          <w:rFonts w:hint="eastAsia" w:ascii="宋体" w:hAnsi="宋体" w:eastAsia="宋体" w:cs="宋体"/>
          <w:b w:val="0"/>
          <w:bCs/>
          <w:sz w:val="24"/>
          <w:szCs w:val="24"/>
        </w:rPr>
        <w:t>没有行贿犯罪记录</w:t>
      </w:r>
      <w:r>
        <w:rPr>
          <w:rFonts w:hint="eastAsia" w:ascii="宋体" w:hAnsi="宋体" w:eastAsia="宋体" w:cs="宋体"/>
          <w:b w:val="0"/>
          <w:bCs/>
          <w:sz w:val="24"/>
          <w:szCs w:val="24"/>
          <w:lang w:eastAsia="zh-CN"/>
        </w:rPr>
        <w:t>。</w:t>
      </w:r>
    </w:p>
    <w:p w14:paraId="7EC14C36">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投标人在国家企业信用信息公示系统（http://www.gsxt.gov.cn）中未被列入严重违法失信企业名单</w:t>
      </w:r>
      <w:r>
        <w:rPr>
          <w:rFonts w:hint="eastAsia" w:ascii="宋体" w:hAnsi="宋体" w:eastAsia="宋体" w:cs="宋体"/>
          <w:b w:val="0"/>
          <w:bCs/>
          <w:sz w:val="24"/>
          <w:szCs w:val="24"/>
          <w:lang w:eastAsia="zh-CN"/>
        </w:rPr>
        <w:t>。</w:t>
      </w:r>
    </w:p>
    <w:p w14:paraId="34F39500">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7.投标人在“中国执行信息公开网”网站（http://zxgk.court.gov.cn/）未被列入失信被执行人名单</w:t>
      </w:r>
      <w:r>
        <w:rPr>
          <w:rFonts w:hint="eastAsia" w:ascii="宋体" w:hAnsi="宋体" w:eastAsia="宋体" w:cs="宋体"/>
          <w:b w:val="0"/>
          <w:bCs/>
          <w:sz w:val="24"/>
          <w:szCs w:val="24"/>
          <w:lang w:eastAsia="zh-CN"/>
        </w:rPr>
        <w:t>。</w:t>
      </w:r>
    </w:p>
    <w:p w14:paraId="1ED76ED7">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投标人未被列入中电联发布的涉电力领域失信联合惩戒对象名单及涉电力领域重点关注对象名单（截止到最新所有名单</w:t>
      </w:r>
      <w:r>
        <w:rPr>
          <w:rFonts w:hint="eastAsia" w:ascii="宋体" w:hAnsi="宋体" w:eastAsia="宋体" w:cs="宋体"/>
          <w:b w:val="0"/>
          <w:bCs/>
          <w:sz w:val="24"/>
          <w:szCs w:val="24"/>
          <w:lang w:eastAsia="zh-CN"/>
        </w:rPr>
        <w:t>）。</w:t>
      </w:r>
    </w:p>
    <w:p w14:paraId="1DFEA631">
      <w:pPr>
        <w:spacing w:line="36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投标人未因发生过骗取中标和严重违约、质量事故及重大合同纠纷被上级部门（内蒙古电力（集团）有限责任公司）通报/披露取消投标资格，并且目前不处于处罚期内。按照内蒙古电力（集团）有限责任公司《关于对</w:t>
      </w:r>
      <w:r>
        <w:rPr>
          <w:rFonts w:hint="eastAsia" w:ascii="宋体" w:hAnsi="宋体" w:eastAsia="宋体" w:cs="宋体"/>
          <w:b w:val="0"/>
          <w:bCs/>
          <w:sz w:val="24"/>
          <w:szCs w:val="24"/>
          <w:lang w:eastAsia="zh-CN"/>
        </w:rPr>
        <w:t>投标人不良行</w:t>
      </w:r>
      <w:r>
        <w:rPr>
          <w:rFonts w:hint="eastAsia" w:ascii="宋体" w:hAnsi="宋体" w:eastAsia="宋体" w:cs="宋体"/>
          <w:b w:val="0"/>
          <w:bCs/>
          <w:sz w:val="24"/>
          <w:szCs w:val="24"/>
        </w:rPr>
        <w:t>为处理的通知》的规定，未列入最新发布的不良</w:t>
      </w:r>
      <w:r>
        <w:rPr>
          <w:rFonts w:hint="eastAsia" w:ascii="宋体" w:hAnsi="宋体" w:eastAsia="宋体" w:cs="宋体"/>
          <w:b w:val="0"/>
          <w:bCs/>
          <w:sz w:val="24"/>
          <w:szCs w:val="24"/>
          <w:lang w:eastAsia="zh-CN"/>
        </w:rPr>
        <w:t>投标人</w:t>
      </w:r>
      <w:r>
        <w:rPr>
          <w:rFonts w:hint="eastAsia" w:ascii="宋体" w:hAnsi="宋体" w:eastAsia="宋体" w:cs="宋体"/>
          <w:b w:val="0"/>
          <w:bCs/>
          <w:sz w:val="24"/>
          <w:szCs w:val="24"/>
        </w:rPr>
        <w:t>名单</w:t>
      </w:r>
      <w:r>
        <w:rPr>
          <w:rFonts w:hint="eastAsia" w:ascii="宋体" w:hAnsi="宋体" w:eastAsia="宋体" w:cs="宋体"/>
          <w:b w:val="0"/>
          <w:bCs/>
          <w:sz w:val="24"/>
          <w:szCs w:val="24"/>
          <w:lang w:eastAsia="zh-CN"/>
        </w:rPr>
        <w:t>。</w:t>
      </w:r>
    </w:p>
    <w:p w14:paraId="3C3DC2F7">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信誉要求：</w:t>
      </w:r>
    </w:p>
    <w:p w14:paraId="05CF6516">
      <w:pPr>
        <w:spacing w:line="360" w:lineRule="auto"/>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① 开标日前一年内未在招标人其他工程中因投标人的原因导致工程无法实现工程建设的质量目标。</w:t>
      </w:r>
    </w:p>
    <w:p w14:paraId="38F2D32E">
      <w:pPr>
        <w:spacing w:line="360" w:lineRule="auto"/>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② 开标日前两年内无违反国家有关法律、规定分包工程的行为。</w:t>
      </w:r>
    </w:p>
    <w:p w14:paraId="77E95082">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③ 开标日前三年内无骗取中标或严重违约问题。</w:t>
      </w:r>
    </w:p>
    <w:p w14:paraId="7D47BE92">
      <w:pPr>
        <w:spacing w:line="360" w:lineRule="auto"/>
        <w:rPr>
          <w:rFonts w:hint="eastAsia" w:ascii="宋体" w:hAnsi="宋体" w:eastAsia="宋体" w:cs="宋体"/>
          <w:b/>
          <w:sz w:val="24"/>
          <w:szCs w:val="24"/>
          <w:lang w:eastAsia="zh-CN"/>
        </w:rPr>
      </w:pP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本项目不接受联合体投标</w:t>
      </w:r>
      <w:r>
        <w:rPr>
          <w:rFonts w:hint="eastAsia" w:ascii="宋体" w:hAnsi="宋体" w:eastAsia="宋体" w:cs="宋体"/>
          <w:b/>
          <w:sz w:val="24"/>
          <w:szCs w:val="24"/>
          <w:lang w:eastAsia="zh-CN"/>
        </w:rPr>
        <w:t>。</w:t>
      </w:r>
    </w:p>
    <w:p w14:paraId="457BF80F">
      <w:pPr>
        <w:spacing w:line="360" w:lineRule="auto"/>
        <w:rPr>
          <w:rFonts w:hint="eastAsia" w:ascii="宋体" w:hAnsi="宋体" w:eastAsia="宋体" w:cs="宋体"/>
          <w:b/>
          <w:sz w:val="24"/>
          <w:szCs w:val="24"/>
        </w:rPr>
      </w:pPr>
      <w:r>
        <w:rPr>
          <w:rFonts w:hint="eastAsia" w:ascii="宋体" w:hAnsi="宋体" w:eastAsia="宋体" w:cs="宋体"/>
          <w:b/>
          <w:sz w:val="24"/>
          <w:szCs w:val="24"/>
        </w:rPr>
        <w:t>2.2专用资格要求：</w:t>
      </w:r>
    </w:p>
    <w:p w14:paraId="56F517D3">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49"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供应商须具有建设主管部门颁发的电力工程施工总承包乙级及以上资质或输变电工程专业承包乙级及以上资质，证书在有效期内(上述资质为住建部最新资质要求(2020年11月30日建市(2020)94号《住房和城乡建设部关于印发建设工程企业资质管理制度改革方案的通知》)；如供应商还未申办上述资质，则“供应商须具有建设主管部门颁发的电力工程施工总承包三级及以上资质或输变电工程专业承包三级及以上资质，证书在有效期内”；</w:t>
      </w:r>
    </w:p>
    <w:p w14:paraId="647C94B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9"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供应商须具有国家能源局（国家电力监管委员会）颁发的承装（修、试）设施许可证承装、承修、承试</w:t>
      </w:r>
      <w:r>
        <w:rPr>
          <w:rFonts w:hint="eastAsia" w:ascii="宋体" w:hAnsi="宋体" w:eastAsia="宋体" w:cs="宋体"/>
          <w:sz w:val="24"/>
          <w:szCs w:val="24"/>
          <w:lang w:val="en-US" w:eastAsia="zh-CN"/>
        </w:rPr>
        <w:t>四级</w:t>
      </w:r>
      <w:r>
        <w:rPr>
          <w:rFonts w:hint="eastAsia" w:ascii="宋体" w:hAnsi="宋体" w:eastAsia="宋体" w:cs="宋体"/>
          <w:sz w:val="24"/>
          <w:szCs w:val="24"/>
        </w:rPr>
        <w:t>及以上资质证书，证书在有效期内</w:t>
      </w:r>
      <w:r>
        <w:rPr>
          <w:rFonts w:hint="eastAsia" w:ascii="宋体" w:hAnsi="宋体" w:eastAsia="宋体" w:cs="宋体"/>
          <w:sz w:val="24"/>
          <w:szCs w:val="24"/>
          <w:lang w:eastAsia="zh-CN"/>
        </w:rPr>
        <w:t>；</w:t>
      </w:r>
    </w:p>
    <w:p w14:paraId="0DFBD8A6">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49" w:leftChars="0"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供应商须具有建设行政主管部门颁发的有效期内的安全生产许可证；</w:t>
      </w:r>
    </w:p>
    <w:p w14:paraId="1D07B14D">
      <w:pPr>
        <w:widowControl/>
        <w:shd w:val="clear" w:color="auto" w:fill="FFFFFF"/>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需承诺拟派项目负责人具有现场管理经验，具备相应执业资格要求且为本单位职工；供应商需承诺若外委施工队伍人员超过100人，安全员则具备主管部门颁发的“建筑施工企业专职安全生产管理人员安全生产考核合格证书”，并全程在现场监督指导工作，若外委施工队伍人员100人以下，安全员则至少具有应急管理厅监制的“生产经营单位安全管理人员安全培训合格证书”的人员，并全程现场监督指导工作。所委派的项目负责人及安全员均具有投标企业负责人书面的授权委托函。（提供承诺函格式自</w:t>
      </w:r>
      <w:r>
        <w:rPr>
          <w:rFonts w:hint="eastAsia" w:ascii="宋体" w:hAnsi="宋体" w:eastAsia="宋体" w:cs="宋体"/>
          <w:color w:val="000000"/>
          <w:sz w:val="24"/>
        </w:rPr>
        <w:t>。</w:t>
      </w:r>
    </w:p>
    <w:p w14:paraId="0219AC22">
      <w:pPr>
        <w:spacing w:line="360" w:lineRule="auto"/>
        <w:ind w:right="-65" w:rightChars="-19"/>
        <w:rPr>
          <w:rFonts w:hint="eastAsia" w:ascii="宋体" w:hAnsi="宋体" w:eastAsia="宋体" w:cs="宋体"/>
          <w:b/>
          <w:sz w:val="24"/>
        </w:rPr>
      </w:pPr>
      <w:r>
        <w:rPr>
          <w:rFonts w:hint="eastAsia" w:ascii="宋体" w:hAnsi="宋体" w:eastAsia="宋体" w:cs="宋体"/>
          <w:b/>
          <w:sz w:val="24"/>
        </w:rPr>
        <w:t>3.报名及采购文件的获取：</w:t>
      </w:r>
    </w:p>
    <w:p w14:paraId="3C7F60A1">
      <w:pPr>
        <w:spacing w:line="360" w:lineRule="auto"/>
        <w:rPr>
          <w:rFonts w:hint="eastAsia" w:ascii="宋体" w:hAnsi="宋体" w:eastAsia="宋体" w:cs="宋体"/>
          <w:b/>
          <w:sz w:val="24"/>
        </w:rPr>
      </w:pPr>
      <w:bookmarkStart w:id="6" w:name="_Toc495644245"/>
      <w:r>
        <w:rPr>
          <w:rFonts w:hint="eastAsia" w:ascii="宋体" w:hAnsi="宋体" w:eastAsia="宋体" w:cs="宋体"/>
          <w:b/>
          <w:sz w:val="24"/>
        </w:rPr>
        <w:t>3.1本项目实行在线报名和下载采购文件。凡有意参加竞标者，请于</w:t>
      </w:r>
      <w:r>
        <w:rPr>
          <w:rFonts w:hint="eastAsia" w:ascii="宋体" w:hAnsi="宋体" w:eastAsia="宋体" w:cs="宋体"/>
          <w:b/>
          <w:color w:val="0000FF"/>
          <w:sz w:val="24"/>
          <w:highlight w:val="none"/>
        </w:rPr>
        <w:t>202</w:t>
      </w:r>
      <w:r>
        <w:rPr>
          <w:rFonts w:hint="eastAsia" w:ascii="宋体" w:hAnsi="宋体" w:eastAsia="宋体" w:cs="宋体"/>
          <w:b/>
          <w:color w:val="0000FF"/>
          <w:sz w:val="24"/>
          <w:highlight w:val="none"/>
          <w:lang w:val="en-US" w:eastAsia="zh-CN"/>
        </w:rPr>
        <w:t>4</w:t>
      </w:r>
      <w:r>
        <w:rPr>
          <w:rFonts w:hint="eastAsia" w:ascii="宋体" w:hAnsi="宋体" w:eastAsia="宋体" w:cs="宋体"/>
          <w:b/>
          <w:color w:val="0000FF"/>
          <w:sz w:val="24"/>
          <w:highlight w:val="none"/>
        </w:rPr>
        <w:t>年</w:t>
      </w:r>
      <w:r>
        <w:rPr>
          <w:rFonts w:hint="eastAsia" w:ascii="宋体" w:hAnsi="宋体" w:eastAsia="宋体" w:cs="宋体"/>
          <w:b/>
          <w:color w:val="0000FF"/>
          <w:sz w:val="24"/>
          <w:highlight w:val="none"/>
          <w:lang w:val="en-US" w:eastAsia="zh-CN"/>
        </w:rPr>
        <w:t>09</w:t>
      </w:r>
      <w:r>
        <w:rPr>
          <w:rFonts w:hint="eastAsia" w:ascii="宋体" w:hAnsi="宋体" w:eastAsia="宋体" w:cs="宋体"/>
          <w:b/>
          <w:color w:val="0000FF"/>
          <w:sz w:val="24"/>
          <w:highlight w:val="none"/>
        </w:rPr>
        <w:t>月</w:t>
      </w:r>
      <w:r>
        <w:rPr>
          <w:rFonts w:hint="eastAsia" w:ascii="宋体" w:hAnsi="宋体" w:eastAsia="宋体" w:cs="宋体"/>
          <w:b/>
          <w:color w:val="0000FF"/>
          <w:sz w:val="24"/>
          <w:highlight w:val="none"/>
          <w:lang w:val="en-US" w:eastAsia="zh-CN"/>
        </w:rPr>
        <w:t xml:space="preserve">12 </w:t>
      </w:r>
      <w:r>
        <w:rPr>
          <w:rFonts w:hint="eastAsia" w:ascii="宋体" w:hAnsi="宋体" w:eastAsia="宋体" w:cs="宋体"/>
          <w:b/>
          <w:color w:val="0000FF"/>
          <w:sz w:val="24"/>
          <w:highlight w:val="none"/>
        </w:rPr>
        <w:t>日至202</w:t>
      </w:r>
      <w:r>
        <w:rPr>
          <w:rFonts w:hint="eastAsia" w:ascii="宋体" w:hAnsi="宋体" w:eastAsia="宋体" w:cs="宋体"/>
          <w:b/>
          <w:color w:val="0000FF"/>
          <w:sz w:val="24"/>
          <w:highlight w:val="none"/>
          <w:lang w:val="en-US" w:eastAsia="zh-CN"/>
        </w:rPr>
        <w:t>4</w:t>
      </w:r>
      <w:r>
        <w:rPr>
          <w:rFonts w:hint="eastAsia" w:ascii="宋体" w:hAnsi="宋体" w:eastAsia="宋体" w:cs="宋体"/>
          <w:b/>
          <w:color w:val="0000FF"/>
          <w:sz w:val="24"/>
          <w:highlight w:val="none"/>
        </w:rPr>
        <w:t>年</w:t>
      </w:r>
      <w:r>
        <w:rPr>
          <w:rFonts w:hint="eastAsia" w:ascii="宋体" w:hAnsi="宋体" w:eastAsia="宋体" w:cs="宋体"/>
          <w:b/>
          <w:color w:val="0000FF"/>
          <w:sz w:val="24"/>
          <w:highlight w:val="none"/>
          <w:lang w:val="en-US" w:eastAsia="zh-CN"/>
        </w:rPr>
        <w:t>09</w:t>
      </w:r>
      <w:r>
        <w:rPr>
          <w:rFonts w:hint="eastAsia" w:ascii="宋体" w:hAnsi="宋体" w:eastAsia="宋体" w:cs="宋体"/>
          <w:b/>
          <w:color w:val="0000FF"/>
          <w:sz w:val="24"/>
          <w:highlight w:val="none"/>
        </w:rPr>
        <w:t>月</w:t>
      </w:r>
      <w:r>
        <w:rPr>
          <w:rFonts w:hint="eastAsia" w:ascii="宋体" w:hAnsi="宋体" w:eastAsia="宋体" w:cs="宋体"/>
          <w:b/>
          <w:color w:val="0000FF"/>
          <w:sz w:val="24"/>
          <w:highlight w:val="none"/>
          <w:lang w:val="en-US" w:eastAsia="zh-CN"/>
        </w:rPr>
        <w:t xml:space="preserve"> 18 </w:t>
      </w:r>
      <w:r>
        <w:rPr>
          <w:rFonts w:hint="eastAsia" w:ascii="宋体" w:hAnsi="宋体" w:eastAsia="宋体" w:cs="宋体"/>
          <w:b/>
          <w:color w:val="0000FF"/>
          <w:sz w:val="24"/>
          <w:highlight w:val="none"/>
        </w:rPr>
        <w:t>日下午17:</w:t>
      </w:r>
      <w:r>
        <w:rPr>
          <w:rFonts w:hint="eastAsia" w:ascii="宋体" w:hAnsi="宋体" w:eastAsia="宋体" w:cs="宋体"/>
          <w:b/>
          <w:color w:val="0000FF"/>
          <w:sz w:val="24"/>
          <w:highlight w:val="none"/>
          <w:lang w:val="en-US" w:eastAsia="zh-CN"/>
        </w:rPr>
        <w:t>0</w:t>
      </w:r>
      <w:r>
        <w:rPr>
          <w:rFonts w:hint="eastAsia" w:ascii="宋体" w:hAnsi="宋体" w:eastAsia="宋体" w:cs="宋体"/>
          <w:b/>
          <w:color w:val="0000FF"/>
          <w:sz w:val="24"/>
          <w:highlight w:val="none"/>
        </w:rPr>
        <w:t>0，</w:t>
      </w:r>
      <w:r>
        <w:rPr>
          <w:rFonts w:hint="eastAsia" w:ascii="宋体" w:hAnsi="宋体" w:eastAsia="宋体" w:cs="宋体"/>
          <w:b/>
          <w:sz w:val="24"/>
        </w:rPr>
        <w:t>进入《</w:t>
      </w:r>
      <w:r>
        <w:rPr>
          <w:rFonts w:hint="eastAsia" w:ascii="宋体" w:hAnsi="宋体" w:eastAsia="宋体" w:cs="宋体"/>
          <w:b/>
          <w:sz w:val="24"/>
          <w:lang w:eastAsia="zh-CN"/>
        </w:rPr>
        <w:t>内蒙古电力集团电子采购系统</w:t>
      </w:r>
      <w:r>
        <w:rPr>
          <w:rFonts w:hint="eastAsia" w:ascii="宋体" w:hAnsi="宋体" w:eastAsia="宋体" w:cs="宋体"/>
          <w:b/>
          <w:sz w:val="24"/>
        </w:rPr>
        <w:t>》（</w:t>
      </w:r>
      <w:r>
        <w:rPr>
          <w:rFonts w:hint="eastAsia" w:ascii="宋体" w:hAnsi="宋体" w:eastAsia="宋体" w:cs="宋体"/>
          <w:b/>
          <w:sz w:val="24"/>
          <w:lang w:eastAsia="zh-CN"/>
        </w:rPr>
        <w:t>http://guocai-impc.cppchina.cn</w:t>
      </w:r>
      <w:r>
        <w:rPr>
          <w:rFonts w:hint="eastAsia" w:ascii="宋体" w:hAnsi="宋体" w:eastAsia="宋体" w:cs="宋体"/>
          <w:b/>
          <w:sz w:val="24"/>
        </w:rPr>
        <w:t>）在线报名和下载文件，逾期不予受理。</w:t>
      </w:r>
    </w:p>
    <w:bookmarkEnd w:id="6"/>
    <w:p w14:paraId="04A53211">
      <w:pPr>
        <w:numPr>
          <w:ilvl w:val="0"/>
          <w:numId w:val="2"/>
        </w:numPr>
        <w:spacing w:line="360" w:lineRule="auto"/>
        <w:ind w:firstLine="480" w:firstLineChars="200"/>
        <w:jc w:val="left"/>
        <w:rPr>
          <w:rFonts w:hint="eastAsia" w:ascii="宋体" w:hAnsi="宋体" w:eastAsia="宋体" w:cs="宋体"/>
          <w:sz w:val="24"/>
        </w:rPr>
      </w:pPr>
      <w:bookmarkStart w:id="7" w:name="_Toc37409913"/>
      <w:bookmarkStart w:id="8" w:name="_Toc37407101"/>
      <w:bookmarkStart w:id="9" w:name="_Toc37411148"/>
      <w:bookmarkStart w:id="10" w:name="_Toc495645075"/>
      <w:r>
        <w:rPr>
          <w:rFonts w:hint="eastAsia" w:ascii="宋体" w:hAnsi="宋体" w:eastAsia="宋体" w:cs="宋体"/>
          <w:sz w:val="24"/>
        </w:rPr>
        <w:t>具体流程为：登录</w:t>
      </w:r>
      <w:r>
        <w:rPr>
          <w:rFonts w:hint="eastAsia" w:ascii="宋体" w:hAnsi="宋体" w:eastAsia="宋体" w:cs="宋体"/>
          <w:sz w:val="24"/>
          <w:lang w:eastAsia="zh-CN"/>
        </w:rPr>
        <w:t>内蒙古电力集团电子采购系统</w:t>
      </w:r>
      <w:r>
        <w:rPr>
          <w:rFonts w:hint="eastAsia" w:ascii="宋体" w:hAnsi="宋体" w:eastAsia="宋体" w:cs="宋体"/>
          <w:sz w:val="24"/>
        </w:rPr>
        <w:t>（未注册用户请先免费注册）→查看采购信息→我要报名【请务必按要求填写对应信息，并上传资料文件（扫描件加盖公章）、需开具发票的应同时提供开票信息】→</w:t>
      </w:r>
      <w:r>
        <w:rPr>
          <w:rFonts w:hint="eastAsia" w:ascii="宋体" w:hAnsi="宋体" w:eastAsia="宋体" w:cs="宋体"/>
          <w:sz w:val="24"/>
          <w:lang w:val="en-US" w:eastAsia="zh-CN"/>
        </w:rPr>
        <w:t>报名成功</w:t>
      </w:r>
      <w:r>
        <w:rPr>
          <w:rFonts w:hint="eastAsia" w:ascii="宋体" w:hAnsi="宋体" w:eastAsia="宋体" w:cs="宋体"/>
          <w:sz w:val="24"/>
        </w:rPr>
        <w:t>后→供应商下载采购文件。</w:t>
      </w:r>
    </w:p>
    <w:p w14:paraId="3F46B6E0">
      <w:pPr>
        <w:numPr>
          <w:ilvl w:val="0"/>
          <w:numId w:val="2"/>
        </w:num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报名单位须凭【中招互连】APP办理项目后续电子投标事宜，之前未进行注册【中招互连】APP的企业需要登录</w:t>
      </w:r>
      <w:r>
        <w:rPr>
          <w:rFonts w:hint="eastAsia" w:ascii="宋体" w:hAnsi="宋体" w:eastAsia="宋体" w:cs="宋体"/>
          <w:sz w:val="24"/>
          <w:lang w:eastAsia="zh-CN"/>
        </w:rPr>
        <w:t>内蒙古电力集团电子采购系统</w:t>
      </w:r>
      <w:r>
        <w:rPr>
          <w:rFonts w:hint="eastAsia" w:ascii="宋体" w:hAnsi="宋体" w:eastAsia="宋体" w:cs="宋体"/>
          <w:sz w:val="24"/>
        </w:rPr>
        <w:t>，点击首页扫码下载【中招互连】APP，根据提示即可在线办理相关事宜，后续所有流程全部扫码登录，扫码签章，扫码加密，扫码解密。</w:t>
      </w:r>
    </w:p>
    <w:p w14:paraId="4A74D33E">
      <w:pPr>
        <w:pStyle w:val="6"/>
        <w:shd w:val="clear" w:color="auto" w:fill="FFFFFF"/>
        <w:spacing w:before="0" w:beforeAutospacing="0" w:after="0" w:afterAutospacing="0" w:line="360" w:lineRule="auto"/>
        <w:rPr>
          <w:rFonts w:hint="eastAsia" w:ascii="宋体" w:hAnsi="宋体" w:eastAsia="宋体" w:cs="宋体"/>
          <w:b/>
        </w:rPr>
      </w:pPr>
      <w:r>
        <w:rPr>
          <w:rFonts w:hint="eastAsia" w:ascii="宋体" w:hAnsi="宋体" w:eastAsia="宋体" w:cs="宋体"/>
          <w:b/>
          <w:bCs/>
        </w:rPr>
        <w:t>3.2报名资料</w:t>
      </w:r>
    </w:p>
    <w:p w14:paraId="6FB9F073">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（1）供应商信息表（详见采购公告附件）；</w:t>
      </w:r>
    </w:p>
    <w:p w14:paraId="592637DA">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（2）法定代表人身份证明或法定代表人授权委托书（详见采购公告附件）；</w:t>
      </w:r>
    </w:p>
    <w:p w14:paraId="0501A2C2">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（3）有效的营业执照，企业名称如有变更，需提供有关行政机关提供的变更证明；</w:t>
      </w:r>
    </w:p>
    <w:p w14:paraId="6766DE5E">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（4）竞标真实性承诺书；</w:t>
      </w:r>
    </w:p>
    <w:p w14:paraId="62579141">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（5）</w:t>
      </w:r>
      <w:r>
        <w:rPr>
          <w:rFonts w:hint="eastAsia" w:ascii="宋体" w:hAnsi="宋体" w:eastAsia="宋体" w:cs="宋体"/>
          <w:sz w:val="24"/>
          <w:szCs w:val="24"/>
        </w:rPr>
        <w:t>资质证书及人员证书等</w:t>
      </w:r>
      <w:r>
        <w:rPr>
          <w:rFonts w:hint="eastAsia" w:ascii="宋体" w:hAnsi="宋体" w:eastAsia="宋体" w:cs="宋体"/>
          <w:kern w:val="24"/>
          <w:sz w:val="24"/>
          <w:szCs w:val="24"/>
        </w:rPr>
        <w:t>；</w:t>
      </w:r>
    </w:p>
    <w:p w14:paraId="067A8DB3">
      <w:pPr>
        <w:spacing w:line="360" w:lineRule="auto"/>
        <w:ind w:firstLine="120" w:firstLineChars="50"/>
        <w:rPr>
          <w:rFonts w:hint="eastAsia" w:ascii="宋体" w:hAnsi="宋体" w:eastAsia="宋体" w:cs="宋体"/>
          <w:kern w:val="24"/>
          <w:sz w:val="24"/>
          <w:szCs w:val="24"/>
        </w:rPr>
      </w:pPr>
      <w:r>
        <w:rPr>
          <w:rFonts w:hint="eastAsia" w:ascii="宋体" w:hAnsi="宋体" w:eastAsia="宋体" w:cs="宋体"/>
          <w:kern w:val="24"/>
          <w:sz w:val="24"/>
          <w:szCs w:val="24"/>
        </w:rPr>
        <w:t>（</w:t>
      </w:r>
      <w:r>
        <w:rPr>
          <w:rFonts w:hint="eastAsia" w:ascii="宋体" w:hAnsi="宋体" w:eastAsia="宋体" w:cs="宋体"/>
          <w:kern w:val="24"/>
          <w:sz w:val="24"/>
          <w:szCs w:val="24"/>
          <w:lang w:val="en-US" w:eastAsia="zh-CN"/>
        </w:rPr>
        <w:t>6</w:t>
      </w:r>
      <w:r>
        <w:rPr>
          <w:rFonts w:hint="eastAsia" w:ascii="宋体" w:hAnsi="宋体" w:eastAsia="宋体" w:cs="宋体"/>
          <w:kern w:val="24"/>
          <w:sz w:val="24"/>
          <w:szCs w:val="24"/>
        </w:rPr>
        <w:t>）采购公告要求的其他证明材料；</w:t>
      </w:r>
      <w:r>
        <w:rPr>
          <w:rFonts w:hint="eastAsia" w:ascii="宋体" w:hAnsi="宋体" w:eastAsia="宋体" w:cs="宋体"/>
          <w:b/>
          <w:szCs w:val="24"/>
        </w:rPr>
        <w:t xml:space="preserve">                                                                                                                                                                                                                                                                                                                                                                         </w:t>
      </w:r>
    </w:p>
    <w:p w14:paraId="3DA74EA0">
      <w:pPr>
        <w:pStyle w:val="6"/>
        <w:shd w:val="clear" w:color="auto" w:fill="FFFFFF"/>
        <w:spacing w:before="0" w:beforeAutospacing="0" w:after="0" w:afterAutospacing="0" w:line="360" w:lineRule="auto"/>
        <w:ind w:firstLine="482" w:firstLineChars="200"/>
        <w:rPr>
          <w:rFonts w:hint="eastAsia" w:ascii="宋体" w:hAnsi="宋体" w:eastAsia="宋体" w:cs="宋体"/>
        </w:rPr>
      </w:pPr>
      <w:bookmarkStart w:id="11" w:name="_Toc495645074"/>
      <w:r>
        <w:rPr>
          <w:rFonts w:hint="eastAsia" w:ascii="宋体" w:hAnsi="宋体" w:eastAsia="宋体" w:cs="宋体"/>
          <w:b/>
        </w:rPr>
        <w:t>注：</w:t>
      </w:r>
      <w:r>
        <w:rPr>
          <w:rFonts w:hint="eastAsia" w:ascii="宋体" w:hAnsi="宋体" w:eastAsia="宋体" w:cs="宋体"/>
        </w:rPr>
        <w:t>A、上述要求是对供应商的基本要求，如按照行业及相关部门另有规定的遵循其规定，供应商应提供相应的证明或资信材料；</w:t>
      </w:r>
    </w:p>
    <w:p w14:paraId="260A391E">
      <w:pPr>
        <w:widowControl/>
        <w:numPr>
          <w:ilvl w:val="0"/>
          <w:numId w:val="3"/>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如发现存在虚假资料，采购人取消其竞标/中标资格，由此造成的后果由成交/中标单位自负，并承担相应的法律责任;</w:t>
      </w:r>
    </w:p>
    <w:p w14:paraId="11DFD4DD">
      <w:pPr>
        <w:widowControl/>
        <w:numPr>
          <w:ilvl w:val="0"/>
          <w:numId w:val="3"/>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bCs/>
          <w:color w:val="000000"/>
          <w:sz w:val="24"/>
        </w:rPr>
        <w:t>为保证供应商顺利报名成功，请供应商充分考虑上传时间，供应商不能及时上传报名资料，导致的报名不成功，后果由供应商自负；</w:t>
      </w:r>
      <w:r>
        <w:rPr>
          <w:rFonts w:hint="eastAsia" w:ascii="宋体" w:hAnsi="宋体" w:eastAsia="宋体" w:cs="宋体"/>
          <w:sz w:val="24"/>
        </w:rPr>
        <w:t xml:space="preserve"> </w:t>
      </w:r>
    </w:p>
    <w:p w14:paraId="1188513F">
      <w:pPr>
        <w:widowControl/>
        <w:numPr>
          <w:ilvl w:val="0"/>
          <w:numId w:val="3"/>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为提高报名工作效率，投多个包的请供应商按包分别对应上传相应报名资料，严禁上传与本包无关资料，否则，采购人有权拒绝。</w:t>
      </w:r>
      <w:bookmarkStart w:id="12" w:name="_Toc37411143"/>
      <w:bookmarkStart w:id="13" w:name="_Toc37407096"/>
      <w:bookmarkStart w:id="14" w:name="_Toc37409908"/>
    </w:p>
    <w:p w14:paraId="20DC209A">
      <w:pPr>
        <w:widowControl/>
        <w:autoSpaceDE w:val="0"/>
        <w:autoSpaceDN w:val="0"/>
        <w:adjustRightInd w:val="0"/>
        <w:spacing w:line="360" w:lineRule="auto"/>
        <w:jc w:val="left"/>
        <w:rPr>
          <w:rFonts w:hint="eastAsia" w:ascii="宋体" w:hAnsi="宋体" w:eastAsia="宋体" w:cs="宋体"/>
          <w:b/>
          <w:sz w:val="24"/>
        </w:rPr>
      </w:pPr>
      <w:r>
        <w:rPr>
          <w:rFonts w:hint="eastAsia" w:ascii="宋体" w:hAnsi="宋体" w:eastAsia="宋体" w:cs="宋体"/>
          <w:b/>
          <w:sz w:val="24"/>
          <w:szCs w:val="24"/>
        </w:rPr>
        <w:t>4. 响应文件的递交</w:t>
      </w:r>
      <w:bookmarkEnd w:id="11"/>
      <w:bookmarkEnd w:id="12"/>
      <w:bookmarkEnd w:id="13"/>
      <w:bookmarkEnd w:id="14"/>
      <w:r>
        <w:rPr>
          <w:rFonts w:hint="eastAsia" w:ascii="宋体" w:hAnsi="宋体" w:eastAsia="宋体" w:cs="宋体"/>
          <w:b/>
          <w:sz w:val="24"/>
          <w:szCs w:val="24"/>
        </w:rPr>
        <w:t xml:space="preserve"> </w:t>
      </w:r>
    </w:p>
    <w:p w14:paraId="0B1B8537">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4.1 本项目采用电子开评标方式，电子响应文件请于询比截止时间之前上传到“</w:t>
      </w:r>
      <w:r>
        <w:rPr>
          <w:rFonts w:hint="eastAsia" w:ascii="宋体" w:hAnsi="宋体" w:eastAsia="宋体" w:cs="宋体"/>
          <w:sz w:val="24"/>
          <w:szCs w:val="24"/>
          <w:lang w:eastAsia="zh-CN"/>
        </w:rPr>
        <w:t>内蒙古电力集团电子采购系统</w:t>
      </w:r>
      <w:r>
        <w:rPr>
          <w:rFonts w:hint="eastAsia" w:ascii="宋体" w:hAnsi="宋体" w:eastAsia="宋体" w:cs="宋体"/>
          <w:sz w:val="24"/>
          <w:szCs w:val="24"/>
        </w:rPr>
        <w:t>”，竞标截止时间后上传的响应文件恕不接收。本项目采用远程开标方式，不接收纸质响应文件，逾期送达的响应文件，“</w:t>
      </w:r>
      <w:r>
        <w:rPr>
          <w:rFonts w:hint="eastAsia" w:ascii="宋体" w:hAnsi="宋体" w:eastAsia="宋体" w:cs="宋体"/>
          <w:sz w:val="24"/>
          <w:szCs w:val="24"/>
          <w:lang w:eastAsia="zh-CN"/>
        </w:rPr>
        <w:t>内蒙古电力集团电子采购系统</w:t>
      </w:r>
      <w:r>
        <w:rPr>
          <w:rFonts w:hint="eastAsia" w:ascii="宋体" w:hAnsi="宋体" w:eastAsia="宋体" w:cs="宋体"/>
          <w:sz w:val="24"/>
          <w:szCs w:val="24"/>
        </w:rPr>
        <w:t>”将不予接收。</w:t>
      </w:r>
    </w:p>
    <w:p w14:paraId="7FCFA564">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4.2 供应商对网上递交的响应文件应加密。登录【中招互连】APP对响应文件进行加密功能（如果供应商使用A手机号码对响应文件进行了扫码加密，必须需要使用A手机号码进行扫码解密，才能读取或导入响应文件）。</w:t>
      </w:r>
      <w:bookmarkStart w:id="15" w:name="_Toc37407097"/>
      <w:bookmarkStart w:id="16" w:name="_Toc37409909"/>
      <w:bookmarkStart w:id="17" w:name="_Toc37411144"/>
    </w:p>
    <w:p w14:paraId="06FDFBE1">
      <w:pPr>
        <w:spacing w:line="360" w:lineRule="auto"/>
        <w:ind w:right="103"/>
        <w:rPr>
          <w:rFonts w:hint="eastAsia" w:ascii="宋体" w:hAnsi="宋体" w:eastAsia="宋体" w:cs="宋体"/>
          <w:b/>
          <w:sz w:val="24"/>
          <w:szCs w:val="24"/>
        </w:rPr>
      </w:pPr>
      <w:r>
        <w:rPr>
          <w:rFonts w:hint="eastAsia" w:ascii="宋体" w:hAnsi="宋体" w:eastAsia="宋体" w:cs="宋体"/>
          <w:b/>
          <w:sz w:val="24"/>
          <w:szCs w:val="24"/>
        </w:rPr>
        <w:t>5、资格审查：</w:t>
      </w:r>
      <w:bookmarkEnd w:id="15"/>
      <w:bookmarkEnd w:id="16"/>
      <w:bookmarkEnd w:id="17"/>
    </w:p>
    <w:p w14:paraId="573FBDE7">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本次采购采取资格后审方式，开标后由询比评审小组统一进行资格审查，详见采购文件。资格审查时，供应商提供的资料不全或不合格的或模糊不清无法辨认，均不能通过资格审查，其响应文件将被否决。</w:t>
      </w:r>
      <w:bookmarkStart w:id="18" w:name="_Toc37407098"/>
      <w:bookmarkStart w:id="19" w:name="_Toc37409910"/>
      <w:bookmarkStart w:id="20" w:name="_Toc37411145"/>
    </w:p>
    <w:p w14:paraId="5D570D4D">
      <w:pPr>
        <w:spacing w:line="360" w:lineRule="auto"/>
        <w:ind w:right="103"/>
        <w:rPr>
          <w:rFonts w:hint="eastAsia" w:ascii="宋体" w:hAnsi="宋体" w:eastAsia="宋体" w:cs="宋体"/>
          <w:b/>
          <w:sz w:val="24"/>
          <w:szCs w:val="24"/>
        </w:rPr>
      </w:pPr>
      <w:r>
        <w:rPr>
          <w:rFonts w:hint="eastAsia" w:ascii="宋体" w:hAnsi="宋体" w:eastAsia="宋体" w:cs="宋体"/>
          <w:b/>
          <w:sz w:val="24"/>
          <w:szCs w:val="24"/>
        </w:rPr>
        <w:t>6. 竞标截止时间及地点：</w:t>
      </w:r>
      <w:bookmarkEnd w:id="18"/>
      <w:bookmarkEnd w:id="19"/>
      <w:bookmarkEnd w:id="20"/>
    </w:p>
    <w:p w14:paraId="77F4559C">
      <w:pPr>
        <w:spacing w:line="360" w:lineRule="auto"/>
        <w:ind w:right="103" w:firstLine="482" w:firstLineChars="200"/>
        <w:rPr>
          <w:rFonts w:hint="eastAsia" w:ascii="宋体" w:hAnsi="宋体" w:eastAsia="宋体" w:cs="宋体"/>
          <w:b/>
          <w:bCs/>
          <w:color w:val="0000FF"/>
          <w:sz w:val="24"/>
          <w:szCs w:val="24"/>
        </w:rPr>
      </w:pPr>
      <w:bookmarkStart w:id="21" w:name="_Toc37409911"/>
      <w:bookmarkStart w:id="22" w:name="_Toc37407099"/>
      <w:bookmarkStart w:id="23" w:name="_Toc37411146"/>
      <w:r>
        <w:rPr>
          <w:rFonts w:hint="eastAsia" w:ascii="宋体" w:hAnsi="宋体" w:eastAsia="宋体" w:cs="宋体"/>
          <w:b/>
          <w:bCs/>
          <w:color w:val="0000FF"/>
          <w:sz w:val="24"/>
          <w:szCs w:val="24"/>
        </w:rPr>
        <w:t>响应文件上传时间：</w:t>
      </w:r>
      <w:r>
        <w:rPr>
          <w:rFonts w:hint="eastAsia" w:ascii="宋体" w:hAnsi="宋体" w:eastAsia="宋体" w:cs="宋体"/>
          <w:b/>
          <w:bCs/>
          <w:color w:val="0000FF"/>
          <w:sz w:val="24"/>
          <w:szCs w:val="24"/>
          <w:lang w:eastAsia="zh-CN"/>
        </w:rPr>
        <w:t>2024</w:t>
      </w:r>
      <w:r>
        <w:rPr>
          <w:rFonts w:hint="eastAsia" w:ascii="宋体" w:hAnsi="宋体" w:eastAsia="宋体" w:cs="宋体"/>
          <w:b/>
          <w:bCs/>
          <w:color w:val="0000FF"/>
          <w:sz w:val="24"/>
          <w:szCs w:val="24"/>
        </w:rPr>
        <w:t>年</w:t>
      </w:r>
      <w:r>
        <w:rPr>
          <w:rFonts w:hint="eastAsia" w:ascii="宋体" w:hAnsi="宋体" w:eastAsia="宋体" w:cs="宋体"/>
          <w:b/>
          <w:bCs/>
          <w:color w:val="0000FF"/>
          <w:sz w:val="24"/>
          <w:szCs w:val="24"/>
          <w:lang w:val="en-US" w:eastAsia="zh-CN"/>
        </w:rPr>
        <w:t xml:space="preserve"> 09</w:t>
      </w:r>
      <w:r>
        <w:rPr>
          <w:rFonts w:hint="eastAsia" w:ascii="宋体" w:hAnsi="宋体" w:eastAsia="宋体" w:cs="宋体"/>
          <w:b/>
          <w:bCs/>
          <w:color w:val="0000FF"/>
          <w:sz w:val="24"/>
          <w:szCs w:val="24"/>
        </w:rPr>
        <w:t xml:space="preserve"> 月</w:t>
      </w:r>
      <w:r>
        <w:rPr>
          <w:rFonts w:hint="eastAsia" w:ascii="宋体" w:hAnsi="宋体" w:eastAsia="宋体" w:cs="宋体"/>
          <w:b/>
          <w:bCs/>
          <w:color w:val="0000FF"/>
          <w:sz w:val="24"/>
          <w:szCs w:val="24"/>
          <w:lang w:val="en-US" w:eastAsia="zh-CN"/>
        </w:rPr>
        <w:t xml:space="preserve"> 12 </w:t>
      </w:r>
      <w:r>
        <w:rPr>
          <w:rFonts w:hint="eastAsia" w:ascii="宋体" w:hAnsi="宋体" w:eastAsia="宋体" w:cs="宋体"/>
          <w:b/>
          <w:bCs/>
          <w:color w:val="0000FF"/>
          <w:sz w:val="24"/>
          <w:szCs w:val="24"/>
        </w:rPr>
        <w:t xml:space="preserve"> 日～</w:t>
      </w:r>
      <w:r>
        <w:rPr>
          <w:rFonts w:hint="eastAsia" w:ascii="宋体" w:hAnsi="宋体" w:eastAsia="宋体" w:cs="宋体"/>
          <w:b/>
          <w:bCs/>
          <w:color w:val="0000FF"/>
          <w:sz w:val="24"/>
          <w:szCs w:val="24"/>
          <w:lang w:eastAsia="zh-CN"/>
        </w:rPr>
        <w:t>2024</w:t>
      </w:r>
      <w:r>
        <w:rPr>
          <w:rFonts w:hint="eastAsia" w:ascii="宋体" w:hAnsi="宋体" w:eastAsia="宋体" w:cs="宋体"/>
          <w:b/>
          <w:bCs/>
          <w:color w:val="0000FF"/>
          <w:sz w:val="24"/>
          <w:szCs w:val="24"/>
        </w:rPr>
        <w:t>年</w:t>
      </w:r>
      <w:r>
        <w:rPr>
          <w:rFonts w:hint="eastAsia" w:ascii="宋体" w:hAnsi="宋体" w:eastAsia="宋体" w:cs="宋体"/>
          <w:b/>
          <w:bCs/>
          <w:color w:val="0000FF"/>
          <w:sz w:val="24"/>
          <w:szCs w:val="24"/>
          <w:lang w:val="en-US" w:eastAsia="zh-CN"/>
        </w:rPr>
        <w:t xml:space="preserve"> 09</w:t>
      </w:r>
      <w:r>
        <w:rPr>
          <w:rFonts w:hint="eastAsia" w:ascii="宋体" w:hAnsi="宋体" w:eastAsia="宋体" w:cs="宋体"/>
          <w:b/>
          <w:bCs/>
          <w:color w:val="0000FF"/>
          <w:sz w:val="24"/>
          <w:szCs w:val="24"/>
        </w:rPr>
        <w:t xml:space="preserve"> 月</w:t>
      </w:r>
      <w:r>
        <w:rPr>
          <w:rFonts w:hint="eastAsia" w:ascii="宋体" w:hAnsi="宋体" w:eastAsia="宋体" w:cs="宋体"/>
          <w:b/>
          <w:bCs/>
          <w:color w:val="0000FF"/>
          <w:sz w:val="24"/>
          <w:szCs w:val="24"/>
          <w:lang w:val="en-US" w:eastAsia="zh-CN"/>
        </w:rPr>
        <w:t xml:space="preserve"> 20</w:t>
      </w:r>
      <w:r>
        <w:rPr>
          <w:rFonts w:hint="eastAsia" w:ascii="宋体" w:hAnsi="宋体" w:eastAsia="宋体" w:cs="宋体"/>
          <w:b/>
          <w:bCs/>
          <w:color w:val="0000FF"/>
          <w:sz w:val="24"/>
          <w:szCs w:val="24"/>
        </w:rPr>
        <w:t xml:space="preserve"> 日上午9:00</w:t>
      </w:r>
    </w:p>
    <w:p w14:paraId="1EA90A15">
      <w:pPr>
        <w:spacing w:line="360" w:lineRule="auto"/>
        <w:ind w:right="103" w:firstLine="482" w:firstLineChars="200"/>
        <w:rPr>
          <w:rFonts w:hint="eastAsia" w:ascii="宋体" w:hAnsi="宋体" w:eastAsia="宋体" w:cs="宋体"/>
          <w:b/>
          <w:bCs/>
          <w:color w:val="0000FF"/>
          <w:sz w:val="24"/>
          <w:szCs w:val="24"/>
        </w:rPr>
      </w:pPr>
      <w:r>
        <w:rPr>
          <w:rFonts w:hint="eastAsia" w:ascii="宋体" w:hAnsi="宋体" w:eastAsia="宋体" w:cs="宋体"/>
          <w:b/>
          <w:bCs/>
          <w:color w:val="0000FF"/>
          <w:sz w:val="24"/>
          <w:szCs w:val="24"/>
        </w:rPr>
        <w:t>询比截止时间：</w:t>
      </w:r>
      <w:r>
        <w:rPr>
          <w:rFonts w:hint="eastAsia" w:ascii="宋体" w:hAnsi="宋体" w:eastAsia="宋体" w:cs="宋体"/>
          <w:b/>
          <w:bCs/>
          <w:color w:val="0000FF"/>
          <w:sz w:val="24"/>
          <w:szCs w:val="24"/>
          <w:lang w:eastAsia="zh-CN"/>
        </w:rPr>
        <w:t>2024</w:t>
      </w:r>
      <w:r>
        <w:rPr>
          <w:rFonts w:hint="eastAsia" w:ascii="宋体" w:hAnsi="宋体" w:eastAsia="宋体" w:cs="宋体"/>
          <w:b/>
          <w:bCs/>
          <w:color w:val="0000FF"/>
          <w:sz w:val="24"/>
          <w:szCs w:val="24"/>
        </w:rPr>
        <w:t>年</w:t>
      </w:r>
      <w:r>
        <w:rPr>
          <w:rFonts w:hint="eastAsia" w:ascii="宋体" w:hAnsi="宋体" w:eastAsia="宋体" w:cs="宋体"/>
          <w:b/>
          <w:bCs/>
          <w:color w:val="0000FF"/>
          <w:sz w:val="24"/>
          <w:szCs w:val="24"/>
          <w:lang w:val="en-US" w:eastAsia="zh-CN"/>
        </w:rPr>
        <w:t xml:space="preserve"> 09</w:t>
      </w:r>
      <w:r>
        <w:rPr>
          <w:rFonts w:hint="eastAsia" w:ascii="宋体" w:hAnsi="宋体" w:eastAsia="宋体" w:cs="宋体"/>
          <w:b/>
          <w:bCs/>
          <w:color w:val="0000FF"/>
          <w:sz w:val="24"/>
          <w:szCs w:val="24"/>
        </w:rPr>
        <w:t xml:space="preserve"> 月</w:t>
      </w:r>
      <w:r>
        <w:rPr>
          <w:rFonts w:hint="eastAsia" w:ascii="宋体" w:hAnsi="宋体" w:eastAsia="宋体" w:cs="宋体"/>
          <w:b/>
          <w:bCs/>
          <w:color w:val="0000FF"/>
          <w:sz w:val="24"/>
          <w:szCs w:val="24"/>
          <w:lang w:val="en-US" w:eastAsia="zh-CN"/>
        </w:rPr>
        <w:t xml:space="preserve"> 20 </w:t>
      </w:r>
      <w:r>
        <w:rPr>
          <w:rFonts w:hint="eastAsia" w:ascii="宋体" w:hAnsi="宋体" w:eastAsia="宋体" w:cs="宋体"/>
          <w:b/>
          <w:bCs/>
          <w:color w:val="0000FF"/>
          <w:sz w:val="24"/>
          <w:szCs w:val="24"/>
        </w:rPr>
        <w:t xml:space="preserve"> 日上午9:00</w:t>
      </w:r>
    </w:p>
    <w:p w14:paraId="133F3CBB">
      <w:pPr>
        <w:spacing w:line="360" w:lineRule="auto"/>
        <w:ind w:right="103" w:firstLine="482" w:firstLineChars="200"/>
        <w:rPr>
          <w:rFonts w:hint="eastAsia" w:ascii="宋体" w:hAnsi="宋体" w:eastAsia="宋体" w:cs="宋体"/>
          <w:b/>
          <w:bCs/>
          <w:color w:val="0000FF"/>
          <w:sz w:val="24"/>
          <w:szCs w:val="24"/>
        </w:rPr>
      </w:pPr>
      <w:r>
        <w:rPr>
          <w:rFonts w:hint="eastAsia" w:ascii="宋体" w:hAnsi="宋体" w:eastAsia="宋体" w:cs="宋体"/>
          <w:b/>
          <w:bCs/>
          <w:color w:val="0000FF"/>
          <w:sz w:val="24"/>
          <w:szCs w:val="24"/>
        </w:rPr>
        <w:t>商务技术经济标开标时间：</w:t>
      </w:r>
      <w:r>
        <w:rPr>
          <w:rFonts w:hint="eastAsia" w:ascii="宋体" w:hAnsi="宋体" w:eastAsia="宋体" w:cs="宋体"/>
          <w:b/>
          <w:bCs/>
          <w:color w:val="0000FF"/>
          <w:sz w:val="24"/>
          <w:szCs w:val="24"/>
          <w:lang w:eastAsia="zh-CN"/>
        </w:rPr>
        <w:t>2024</w:t>
      </w:r>
      <w:r>
        <w:rPr>
          <w:rFonts w:hint="eastAsia" w:ascii="宋体" w:hAnsi="宋体" w:eastAsia="宋体" w:cs="宋体"/>
          <w:b/>
          <w:bCs/>
          <w:color w:val="0000FF"/>
          <w:sz w:val="24"/>
          <w:szCs w:val="24"/>
        </w:rPr>
        <w:t>年</w:t>
      </w:r>
      <w:r>
        <w:rPr>
          <w:rFonts w:hint="eastAsia" w:ascii="宋体" w:hAnsi="宋体" w:eastAsia="宋体" w:cs="宋体"/>
          <w:b/>
          <w:bCs/>
          <w:color w:val="0000FF"/>
          <w:sz w:val="24"/>
          <w:szCs w:val="24"/>
          <w:lang w:val="en-US" w:eastAsia="zh-CN"/>
        </w:rPr>
        <w:t xml:space="preserve"> 09</w:t>
      </w:r>
      <w:r>
        <w:rPr>
          <w:rFonts w:hint="eastAsia" w:ascii="宋体" w:hAnsi="宋体" w:eastAsia="宋体" w:cs="宋体"/>
          <w:b/>
          <w:bCs/>
          <w:color w:val="0000FF"/>
          <w:sz w:val="24"/>
          <w:szCs w:val="24"/>
        </w:rPr>
        <w:t xml:space="preserve"> 月</w:t>
      </w:r>
      <w:r>
        <w:rPr>
          <w:rFonts w:hint="eastAsia" w:ascii="宋体" w:hAnsi="宋体" w:eastAsia="宋体" w:cs="宋体"/>
          <w:b/>
          <w:bCs/>
          <w:color w:val="0000FF"/>
          <w:sz w:val="24"/>
          <w:szCs w:val="24"/>
          <w:lang w:val="en-US" w:eastAsia="zh-CN"/>
        </w:rPr>
        <w:t xml:space="preserve"> 20 </w:t>
      </w:r>
      <w:r>
        <w:rPr>
          <w:rFonts w:hint="eastAsia" w:ascii="宋体" w:hAnsi="宋体" w:eastAsia="宋体" w:cs="宋体"/>
          <w:b/>
          <w:bCs/>
          <w:color w:val="0000FF"/>
          <w:sz w:val="24"/>
          <w:szCs w:val="24"/>
        </w:rPr>
        <w:t xml:space="preserve"> 日上午9:00</w:t>
      </w:r>
    </w:p>
    <w:p w14:paraId="71F1EE13">
      <w:pPr>
        <w:spacing w:line="360" w:lineRule="auto"/>
        <w:ind w:right="102" w:firstLine="482" w:firstLineChars="200"/>
        <w:rPr>
          <w:rFonts w:hint="eastAsia" w:ascii="宋体" w:hAnsi="宋体" w:eastAsia="宋体" w:cs="宋体"/>
          <w:b/>
          <w:bCs/>
          <w:color w:val="0000FF"/>
          <w:sz w:val="24"/>
          <w:szCs w:val="24"/>
        </w:rPr>
      </w:pPr>
      <w:r>
        <w:rPr>
          <w:rFonts w:hint="eastAsia" w:ascii="宋体" w:hAnsi="宋体" w:eastAsia="宋体" w:cs="宋体"/>
          <w:b/>
          <w:bCs/>
          <w:color w:val="0000FF"/>
          <w:sz w:val="24"/>
          <w:szCs w:val="24"/>
        </w:rPr>
        <w:t>商务技术经济标解密时间：</w:t>
      </w:r>
      <w:r>
        <w:rPr>
          <w:rFonts w:hint="eastAsia" w:ascii="宋体" w:hAnsi="宋体" w:eastAsia="宋体" w:cs="宋体"/>
          <w:b/>
          <w:bCs/>
          <w:color w:val="0000FF"/>
          <w:sz w:val="24"/>
          <w:szCs w:val="24"/>
          <w:lang w:eastAsia="zh-CN"/>
        </w:rPr>
        <w:t>2024</w:t>
      </w:r>
      <w:r>
        <w:rPr>
          <w:rFonts w:hint="eastAsia" w:ascii="宋体" w:hAnsi="宋体" w:eastAsia="宋体" w:cs="宋体"/>
          <w:b/>
          <w:bCs/>
          <w:color w:val="0000FF"/>
          <w:sz w:val="24"/>
          <w:szCs w:val="24"/>
        </w:rPr>
        <w:t>年</w:t>
      </w:r>
      <w:r>
        <w:rPr>
          <w:rFonts w:hint="eastAsia" w:ascii="宋体" w:hAnsi="宋体" w:eastAsia="宋体" w:cs="宋体"/>
          <w:b/>
          <w:bCs/>
          <w:color w:val="0000FF"/>
          <w:sz w:val="24"/>
          <w:szCs w:val="24"/>
          <w:lang w:val="en-US" w:eastAsia="zh-CN"/>
        </w:rPr>
        <w:t xml:space="preserve"> 09</w:t>
      </w:r>
      <w:r>
        <w:rPr>
          <w:rFonts w:hint="eastAsia" w:ascii="宋体" w:hAnsi="宋体" w:eastAsia="宋体" w:cs="宋体"/>
          <w:b/>
          <w:bCs/>
          <w:color w:val="0000FF"/>
          <w:sz w:val="24"/>
          <w:szCs w:val="24"/>
        </w:rPr>
        <w:t xml:space="preserve"> 月</w:t>
      </w:r>
      <w:r>
        <w:rPr>
          <w:rFonts w:hint="eastAsia" w:ascii="宋体" w:hAnsi="宋体" w:eastAsia="宋体" w:cs="宋体"/>
          <w:b/>
          <w:bCs/>
          <w:color w:val="0000FF"/>
          <w:sz w:val="24"/>
          <w:szCs w:val="24"/>
          <w:lang w:val="en-US" w:eastAsia="zh-CN"/>
        </w:rPr>
        <w:t xml:space="preserve"> 20</w:t>
      </w:r>
      <w:r>
        <w:rPr>
          <w:rFonts w:hint="eastAsia" w:ascii="宋体" w:hAnsi="宋体" w:eastAsia="宋体" w:cs="宋体"/>
          <w:b/>
          <w:bCs/>
          <w:color w:val="0000FF"/>
          <w:sz w:val="24"/>
          <w:szCs w:val="24"/>
        </w:rPr>
        <w:t>日上午9:00～上午9:30</w:t>
      </w:r>
    </w:p>
    <w:p w14:paraId="49D627AA">
      <w:pPr>
        <w:spacing w:line="360" w:lineRule="auto"/>
        <w:ind w:firstLine="241" w:firstLineChars="100"/>
        <w:rPr>
          <w:rFonts w:hint="eastAsia" w:ascii="宋体" w:hAnsi="宋体" w:eastAsia="宋体" w:cs="宋体"/>
          <w:b/>
          <w:bCs/>
          <w:color w:val="0000FF"/>
          <w:sz w:val="24"/>
          <w:szCs w:val="24"/>
        </w:rPr>
      </w:pPr>
      <w:r>
        <w:rPr>
          <w:rFonts w:hint="eastAsia" w:ascii="宋体" w:hAnsi="宋体" w:eastAsia="宋体" w:cs="宋体"/>
          <w:b/>
          <w:bCs/>
          <w:color w:val="0000FF"/>
          <w:sz w:val="24"/>
          <w:szCs w:val="24"/>
        </w:rPr>
        <w:t xml:space="preserve"> </w:t>
      </w:r>
      <w:r>
        <w:rPr>
          <w:rFonts w:hint="eastAsia" w:ascii="宋体" w:hAnsi="宋体" w:eastAsia="宋体" w:cs="宋体"/>
          <w:b/>
          <w:bCs/>
          <w:color w:val="0000FF"/>
          <w:sz w:val="24"/>
          <w:szCs w:val="24"/>
          <w:lang w:val="en-US" w:eastAsia="zh-CN"/>
        </w:rPr>
        <w:t xml:space="preserve"> </w:t>
      </w:r>
      <w:r>
        <w:rPr>
          <w:rFonts w:hint="eastAsia" w:ascii="宋体" w:hAnsi="宋体" w:eastAsia="宋体" w:cs="宋体"/>
          <w:b/>
          <w:bCs/>
          <w:color w:val="0000FF"/>
          <w:sz w:val="24"/>
          <w:szCs w:val="24"/>
        </w:rPr>
        <w:t>开标地点： 内蒙古中实工程招标咨询有限责任公司</w:t>
      </w:r>
    </w:p>
    <w:p w14:paraId="2608DAC1">
      <w:pPr>
        <w:spacing w:line="360" w:lineRule="auto"/>
        <w:ind w:firstLine="482" w:firstLineChars="200"/>
        <w:rPr>
          <w:rFonts w:hint="default" w:ascii="宋体" w:hAnsi="宋体" w:eastAsia="宋体" w:cs="宋体"/>
          <w:b/>
          <w:bCs/>
          <w:color w:val="0000FF"/>
          <w:sz w:val="24"/>
          <w:szCs w:val="24"/>
          <w:lang w:val="en-US" w:eastAsia="zh-CN"/>
        </w:rPr>
      </w:pPr>
      <w:r>
        <w:rPr>
          <w:rFonts w:hint="eastAsia" w:ascii="宋体" w:hAnsi="宋体" w:eastAsia="宋体" w:cs="宋体"/>
          <w:b/>
          <w:bCs/>
          <w:color w:val="0000FF"/>
          <w:sz w:val="24"/>
          <w:szCs w:val="24"/>
        </w:rPr>
        <w:t>开标地址： 锡林浩特市宝石根街与东一环路交叉处唐舒格家苑</w:t>
      </w:r>
      <w:r>
        <w:rPr>
          <w:rFonts w:hint="eastAsia" w:ascii="宋体" w:hAnsi="宋体" w:eastAsia="宋体" w:cs="宋体"/>
          <w:b/>
          <w:bCs/>
          <w:color w:val="0000FF"/>
          <w:sz w:val="24"/>
          <w:szCs w:val="24"/>
          <w:lang w:val="en-US" w:eastAsia="zh-CN"/>
        </w:rPr>
        <w:t>写字楼</w:t>
      </w:r>
      <w:r>
        <w:rPr>
          <w:rFonts w:hint="eastAsia" w:ascii="宋体" w:hAnsi="宋体" w:eastAsia="宋体" w:cs="宋体"/>
          <w:b/>
          <w:bCs/>
          <w:color w:val="0000FF"/>
          <w:sz w:val="24"/>
          <w:szCs w:val="24"/>
        </w:rPr>
        <w:t>13楼</w:t>
      </w:r>
    </w:p>
    <w:p w14:paraId="3ED2F562">
      <w:pPr>
        <w:spacing w:line="360" w:lineRule="auto"/>
        <w:rPr>
          <w:rFonts w:hint="eastAsia" w:ascii="宋体" w:hAnsi="宋体" w:eastAsia="宋体" w:cs="宋体"/>
          <w:b/>
          <w:sz w:val="24"/>
          <w:szCs w:val="24"/>
        </w:rPr>
      </w:pPr>
      <w:r>
        <w:rPr>
          <w:rFonts w:hint="eastAsia" w:ascii="宋体" w:hAnsi="宋体" w:eastAsia="宋体" w:cs="宋体"/>
          <w:b/>
          <w:sz w:val="24"/>
          <w:szCs w:val="24"/>
        </w:rPr>
        <w:t>7.解密方式 ：</w:t>
      </w:r>
      <w:bookmarkEnd w:id="21"/>
      <w:bookmarkEnd w:id="22"/>
      <w:bookmarkEnd w:id="23"/>
    </w:p>
    <w:p w14:paraId="0D9107D9">
      <w:pPr>
        <w:spacing w:line="360" w:lineRule="auto"/>
        <w:ind w:left="340" w:leftChars="100" w:right="103" w:firstLine="482" w:firstLineChars="200"/>
        <w:rPr>
          <w:rFonts w:hint="eastAsia" w:ascii="宋体" w:hAnsi="宋体" w:eastAsia="宋体" w:cs="宋体"/>
          <w:sz w:val="24"/>
          <w:szCs w:val="24"/>
        </w:rPr>
      </w:pPr>
      <w:r>
        <w:rPr>
          <w:rFonts w:hint="eastAsia" w:ascii="宋体" w:hAnsi="宋体" w:eastAsia="宋体" w:cs="宋体"/>
          <w:b/>
          <w:sz w:val="24"/>
          <w:szCs w:val="24"/>
        </w:rPr>
        <w:t>远程解密：</w:t>
      </w:r>
      <w:r>
        <w:rPr>
          <w:rFonts w:hint="eastAsia" w:ascii="宋体" w:hAnsi="宋体" w:eastAsia="宋体" w:cs="宋体"/>
          <w:sz w:val="24"/>
          <w:szCs w:val="24"/>
        </w:rPr>
        <w:t>供应商于递交响应文件截止时间在原单位使用原上传文件电脑通过登录【中招互连】APP或进行响应文件的远程解密（届时请持上传文件时所使用的手机提前30分钟等候在电脑前准备参加文件解密，需保持电脑网络通畅）。</w:t>
      </w:r>
    </w:p>
    <w:p w14:paraId="1A6158AF">
      <w:pPr>
        <w:spacing w:line="360" w:lineRule="auto"/>
        <w:ind w:left="340" w:leftChars="100" w:right="103" w:firstLine="482" w:firstLineChars="200"/>
        <w:rPr>
          <w:rFonts w:hint="eastAsia" w:ascii="宋体" w:hAnsi="宋体" w:eastAsia="宋体" w:cs="宋体"/>
          <w:sz w:val="24"/>
          <w:szCs w:val="24"/>
        </w:rPr>
      </w:pPr>
      <w:r>
        <w:rPr>
          <w:rFonts w:hint="eastAsia" w:ascii="宋体" w:hAnsi="宋体" w:eastAsia="宋体" w:cs="宋体"/>
          <w:b/>
          <w:sz w:val="24"/>
          <w:szCs w:val="24"/>
        </w:rPr>
        <w:t>远程协商：</w:t>
      </w:r>
      <w:r>
        <w:rPr>
          <w:rFonts w:hint="eastAsia" w:ascii="宋体" w:hAnsi="宋体" w:eastAsia="宋体" w:cs="宋体"/>
          <w:sz w:val="24"/>
          <w:szCs w:val="24"/>
        </w:rPr>
        <w:t>供应商不需到达评审现场，专家通过远程与各供应商进行视频</w:t>
      </w:r>
      <w:bookmarkStart w:id="24" w:name="_Toc37407100"/>
      <w:bookmarkStart w:id="25" w:name="_Toc37411147"/>
      <w:bookmarkStart w:id="26" w:name="_Toc37409912"/>
      <w:r>
        <w:rPr>
          <w:rFonts w:hint="eastAsia" w:ascii="宋体" w:hAnsi="宋体" w:eastAsia="宋体" w:cs="宋体"/>
          <w:sz w:val="24"/>
          <w:szCs w:val="24"/>
        </w:rPr>
        <w:t>协商。详见《</w:t>
      </w:r>
      <w:r>
        <w:rPr>
          <w:rFonts w:hint="eastAsia" w:ascii="宋体" w:hAnsi="宋体" w:eastAsia="宋体" w:cs="宋体"/>
          <w:sz w:val="24"/>
          <w:szCs w:val="24"/>
          <w:lang w:eastAsia="zh-CN"/>
        </w:rPr>
        <w:t>内蒙古电力集团电子采购系统</w:t>
      </w:r>
      <w:r>
        <w:rPr>
          <w:rFonts w:hint="eastAsia" w:ascii="宋体" w:hAnsi="宋体" w:eastAsia="宋体" w:cs="宋体"/>
          <w:sz w:val="24"/>
          <w:szCs w:val="24"/>
        </w:rPr>
        <w:t>》首页操作手册及采购文件。</w:t>
      </w:r>
    </w:p>
    <w:p w14:paraId="51CD3BED">
      <w:pPr>
        <w:spacing w:line="360" w:lineRule="auto"/>
        <w:ind w:left="340" w:leftChars="100" w:right="103" w:firstLine="480" w:firstLineChars="200"/>
        <w:rPr>
          <w:rFonts w:hint="eastAsia" w:ascii="宋体" w:hAnsi="宋体" w:eastAsia="宋体" w:cs="宋体"/>
          <w:sz w:val="24"/>
          <w:szCs w:val="24"/>
        </w:rPr>
      </w:pPr>
      <w:r>
        <w:rPr>
          <w:rFonts w:hint="eastAsia" w:ascii="宋体" w:hAnsi="宋体" w:eastAsia="宋体" w:cs="宋体"/>
          <w:sz w:val="24"/>
          <w:szCs w:val="24"/>
        </w:rPr>
        <w:t>请供应商按公告时间及时参与相关签到、解密及确认工作，签到、解密及确认过程中有任何问题请及时与系统沟通联系解决（400-080-9508 ，周一～周五9:00-17:00），因供应商原因未在规定时间内解密响应文件，视为供应商撤销其响应文件。</w:t>
      </w:r>
    </w:p>
    <w:p w14:paraId="63993C8E">
      <w:pPr>
        <w:spacing w:line="360" w:lineRule="auto"/>
        <w:ind w:right="103"/>
        <w:rPr>
          <w:rFonts w:hint="eastAsia" w:ascii="宋体" w:hAnsi="宋体" w:eastAsia="宋体" w:cs="宋体"/>
          <w:b/>
          <w:sz w:val="24"/>
          <w:szCs w:val="24"/>
        </w:rPr>
      </w:pPr>
      <w:r>
        <w:rPr>
          <w:rFonts w:hint="eastAsia" w:ascii="宋体" w:hAnsi="宋体" w:eastAsia="宋体" w:cs="宋体"/>
          <w:b/>
          <w:sz w:val="24"/>
          <w:szCs w:val="24"/>
        </w:rPr>
        <w:t>8.竞标及采购费用：</w:t>
      </w:r>
      <w:bookmarkEnd w:id="24"/>
      <w:bookmarkEnd w:id="25"/>
      <w:bookmarkEnd w:id="26"/>
    </w:p>
    <w:p w14:paraId="753E39FD">
      <w:pPr>
        <w:spacing w:line="360" w:lineRule="auto"/>
        <w:ind w:right="102" w:firstLine="480" w:firstLineChars="200"/>
        <w:rPr>
          <w:rFonts w:hint="eastAsia" w:ascii="宋体" w:hAnsi="宋体" w:eastAsia="宋体" w:cs="宋体"/>
          <w:sz w:val="24"/>
          <w:szCs w:val="24"/>
        </w:rPr>
      </w:pPr>
      <w:r>
        <w:rPr>
          <w:rFonts w:hint="eastAsia" w:ascii="宋体" w:hAnsi="宋体" w:eastAsia="宋体" w:cs="宋体"/>
          <w:sz w:val="24"/>
          <w:szCs w:val="24"/>
        </w:rPr>
        <w:t>8.1 中标服务费：中标服务费由成交供应商支付。</w:t>
      </w:r>
    </w:p>
    <w:p w14:paraId="7C6B5A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平台使用费：本项目采用全流程电子采购，供应商需（在线下载采购文件后，上传响应文件前）在线向电子交易平台缴纳电子采购服务费，具体收费标准为：</w:t>
      </w:r>
    </w:p>
    <w:p w14:paraId="02144C11">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（1）公开招标项目中电子投标服务费：400元/包/次；</w:t>
      </w:r>
    </w:p>
    <w:p w14:paraId="6EF36ED9">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（2）非招标采购项目中电子采购服务费：300元/包/次；</w:t>
      </w:r>
    </w:p>
    <w:p w14:paraId="64492A31">
      <w:pPr>
        <w:spacing w:line="360" w:lineRule="auto"/>
        <w:rPr>
          <w:rFonts w:hint="eastAsia" w:ascii="宋体" w:hAnsi="宋体" w:eastAsia="宋体" w:cs="宋体"/>
          <w:b/>
          <w:sz w:val="24"/>
          <w:szCs w:val="24"/>
        </w:rPr>
      </w:pPr>
      <w:r>
        <w:rPr>
          <w:rFonts w:hint="eastAsia" w:ascii="宋体" w:hAnsi="宋体" w:eastAsia="宋体" w:cs="宋体"/>
          <w:b/>
          <w:sz w:val="24"/>
          <w:szCs w:val="24"/>
        </w:rPr>
        <w:t>9. 发布公告的媒介</w:t>
      </w:r>
      <w:bookmarkEnd w:id="7"/>
      <w:bookmarkEnd w:id="8"/>
      <w:bookmarkEnd w:id="9"/>
      <w:bookmarkEnd w:id="10"/>
      <w:r>
        <w:rPr>
          <w:rFonts w:hint="eastAsia" w:ascii="宋体" w:hAnsi="宋体" w:eastAsia="宋体" w:cs="宋体"/>
          <w:b/>
          <w:sz w:val="24"/>
          <w:szCs w:val="24"/>
        </w:rPr>
        <w:t xml:space="preserve"> </w:t>
      </w:r>
    </w:p>
    <w:p w14:paraId="06A0D05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本次公告在《中国招标投标公共服务平台》（</w:t>
      </w:r>
      <w:r>
        <w:rPr>
          <w:rFonts w:hint="eastAsia" w:ascii="宋体" w:hAnsi="宋体" w:eastAsia="宋体" w:cs="宋体"/>
        </w:rPr>
        <w:fldChar w:fldCharType="begin"/>
      </w:r>
      <w:r>
        <w:rPr>
          <w:rFonts w:hint="eastAsia" w:ascii="宋体" w:hAnsi="宋体" w:eastAsia="宋体" w:cs="宋体"/>
        </w:rPr>
        <w:instrText xml:space="preserve"> HYPERLINK "http://www.cebpubservice.com" </w:instrText>
      </w:r>
      <w:r>
        <w:rPr>
          <w:rFonts w:hint="eastAsia" w:ascii="宋体" w:hAnsi="宋体" w:eastAsia="宋体" w:cs="宋体"/>
        </w:rPr>
        <w:fldChar w:fldCharType="separate"/>
      </w:r>
      <w:r>
        <w:rPr>
          <w:rFonts w:hint="eastAsia" w:ascii="宋体" w:hAnsi="宋体" w:eastAsia="宋体" w:cs="宋体"/>
          <w:sz w:val="24"/>
        </w:rPr>
        <w:t>www.cebpubservice.com</w:t>
      </w:r>
      <w:r>
        <w:rPr>
          <w:rFonts w:hint="eastAsia" w:ascii="宋体" w:hAnsi="宋体" w:eastAsia="宋体" w:cs="宋体"/>
          <w:sz w:val="24"/>
        </w:rPr>
        <w:fldChar w:fldCharType="end"/>
      </w:r>
      <w:r>
        <w:rPr>
          <w:rFonts w:hint="eastAsia" w:ascii="宋体" w:hAnsi="宋体" w:eastAsia="宋体" w:cs="宋体"/>
          <w:sz w:val="24"/>
        </w:rPr>
        <w:t>）、《内蒙古招标投标公共服务平台》（</w:t>
      </w:r>
      <w:r>
        <w:rPr>
          <w:rFonts w:hint="eastAsia" w:ascii="宋体" w:hAnsi="宋体" w:eastAsia="宋体" w:cs="宋体"/>
        </w:rPr>
        <w:fldChar w:fldCharType="begin"/>
      </w:r>
      <w:r>
        <w:rPr>
          <w:rFonts w:hint="eastAsia" w:ascii="宋体" w:hAnsi="宋体" w:eastAsia="宋体" w:cs="宋体"/>
        </w:rPr>
        <w:instrText xml:space="preserve"> HYPERLINK "http://zbgg.nmgztb.com.cn/" </w:instrText>
      </w:r>
      <w:r>
        <w:rPr>
          <w:rFonts w:hint="eastAsia" w:ascii="宋体" w:hAnsi="宋体" w:eastAsia="宋体" w:cs="宋体"/>
        </w:rPr>
        <w:fldChar w:fldCharType="separate"/>
      </w:r>
      <w:r>
        <w:rPr>
          <w:rFonts w:hint="eastAsia" w:ascii="宋体" w:hAnsi="宋体" w:eastAsia="宋体" w:cs="宋体"/>
          <w:sz w:val="24"/>
        </w:rPr>
        <w:t>http://www.nmgztb.com.cn</w:t>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rPr>
        <w:fldChar w:fldCharType="begin"/>
      </w:r>
      <w:r>
        <w:rPr>
          <w:rFonts w:hint="eastAsia" w:ascii="宋体" w:hAnsi="宋体" w:eastAsia="宋体" w:cs="宋体"/>
        </w:rPr>
        <w:instrText xml:space="preserve"> HYPERLINK "http://nmgcqjy.e-jy.com.cn、《内蒙古电力集团电子商务系统》impc.e-bidding.org" </w:instrText>
      </w:r>
      <w:r>
        <w:rPr>
          <w:rFonts w:hint="eastAsia" w:ascii="宋体" w:hAnsi="宋体" w:eastAsia="宋体" w:cs="宋体"/>
        </w:rPr>
        <w:fldChar w:fldCharType="separate"/>
      </w:r>
      <w:r>
        <w:rPr>
          <w:rFonts w:hint="eastAsia" w:ascii="宋体" w:hAnsi="宋体" w:eastAsia="宋体" w:cs="宋体"/>
          <w:sz w:val="24"/>
        </w:rPr>
        <w:t>、《</w:t>
      </w:r>
      <w:r>
        <w:rPr>
          <w:rFonts w:hint="eastAsia" w:ascii="宋体" w:hAnsi="宋体" w:eastAsia="宋体" w:cs="宋体"/>
          <w:sz w:val="24"/>
          <w:lang w:eastAsia="zh-CN"/>
        </w:rPr>
        <w:t>内蒙古电力集团电子采购系统</w:t>
      </w:r>
      <w:r>
        <w:rPr>
          <w:rFonts w:hint="eastAsia" w:ascii="宋体" w:hAnsi="宋体" w:eastAsia="宋体" w:cs="宋体"/>
          <w:sz w:val="24"/>
        </w:rPr>
        <w:t>》（</w:t>
      </w:r>
      <w:r>
        <w:rPr>
          <w:rFonts w:hint="eastAsia" w:ascii="宋体" w:hAnsi="宋体" w:eastAsia="宋体" w:cs="宋体"/>
          <w:sz w:val="24"/>
          <w:lang w:eastAsia="zh-CN"/>
        </w:rPr>
        <w:t>http://guocai-impc.cppchina.cn</w:t>
      </w:r>
      <w:r>
        <w:rPr>
          <w:rFonts w:hint="eastAsia" w:ascii="宋体" w:hAnsi="宋体" w:eastAsia="宋体" w:cs="宋体"/>
          <w:sz w:val="24"/>
        </w:rPr>
        <w:t>）</w:t>
      </w:r>
      <w:r>
        <w:rPr>
          <w:rFonts w:hint="eastAsia" w:ascii="宋体" w:hAnsi="宋体" w:eastAsia="宋体" w:cs="宋体"/>
          <w:sz w:val="24"/>
        </w:rPr>
        <w:fldChar w:fldCharType="end"/>
      </w:r>
      <w:r>
        <w:rPr>
          <w:rFonts w:hint="eastAsia" w:ascii="宋体" w:hAnsi="宋体" w:eastAsia="宋体" w:cs="宋体"/>
          <w:sz w:val="24"/>
        </w:rPr>
        <w:t>同时发布，其它媒介转发无效。</w:t>
      </w:r>
    </w:p>
    <w:p w14:paraId="30A62FF2">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10.联系方式</w:t>
      </w:r>
    </w:p>
    <w:p w14:paraId="6376ACD5">
      <w:pPr>
        <w:pStyle w:val="11"/>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color w:val="000000"/>
          <w:sz w:val="24"/>
          <w:szCs w:val="24"/>
          <w:highlight w:val="none"/>
        </w:rPr>
        <w:t>单位名称：内蒙古电力(集团)有限责任公司锡林郭勒超高压供电分公司</w:t>
      </w:r>
    </w:p>
    <w:p w14:paraId="7FFA393F">
      <w:pPr>
        <w:pStyle w:val="11"/>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地址：内蒙古自治区锡林郭勒盟锡林浩特市宝力根街道宝办伊利勒特社区</w:t>
      </w:r>
    </w:p>
    <w:p w14:paraId="06FCE608">
      <w:pPr>
        <w:pStyle w:val="11"/>
        <w:adjustRightInd w:val="0"/>
        <w:snapToGrid w:val="0"/>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刘彦炜</w:t>
      </w:r>
    </w:p>
    <w:p w14:paraId="36D7E09E">
      <w:pPr>
        <w:pStyle w:val="11"/>
        <w:adjustRightInd w:val="0"/>
        <w:snapToGrid w:val="0"/>
        <w:spacing w:line="360" w:lineRule="auto"/>
        <w:ind w:firstLine="480"/>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color w:val="000000"/>
          <w:sz w:val="24"/>
          <w:szCs w:val="24"/>
          <w:highlight w:val="none"/>
        </w:rPr>
        <w:t>联系电话：0479-812556</w:t>
      </w:r>
      <w:r>
        <w:rPr>
          <w:rFonts w:hint="eastAsia" w:ascii="宋体" w:hAnsi="宋体" w:eastAsia="宋体" w:cs="宋体"/>
          <w:b w:val="0"/>
          <w:bCs w:val="0"/>
          <w:color w:val="000000"/>
          <w:sz w:val="24"/>
          <w:szCs w:val="24"/>
          <w:highlight w:val="none"/>
          <w:lang w:val="en-US" w:eastAsia="zh-CN"/>
        </w:rPr>
        <w:t>3</w:t>
      </w:r>
    </w:p>
    <w:p w14:paraId="3E2B1089">
      <w:pPr>
        <w:pStyle w:val="8"/>
        <w:ind w:left="0" w:leftChars="0"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none"/>
          <w:lang w:val="en-US" w:eastAsia="zh-CN"/>
        </w:rPr>
        <w:t>监督人：杨阳</w:t>
      </w:r>
    </w:p>
    <w:p w14:paraId="24FD456D">
      <w:pPr>
        <w:pStyle w:val="11"/>
        <w:adjustRightInd w:val="0"/>
        <w:snapToGrid w:val="0"/>
        <w:spacing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联系电话：</w:t>
      </w:r>
      <w:r>
        <w:rPr>
          <w:rFonts w:hint="eastAsia" w:ascii="宋体" w:hAnsi="宋体" w:eastAsia="宋体" w:cs="宋体"/>
          <w:color w:val="000000"/>
          <w:sz w:val="24"/>
          <w:szCs w:val="24"/>
          <w:highlight w:val="none"/>
          <w:lang w:eastAsia="zh-CN"/>
        </w:rPr>
        <w:t>0479-8125561</w:t>
      </w:r>
    </w:p>
    <w:p w14:paraId="6C57E147">
      <w:pPr>
        <w:widowControl/>
        <w:tabs>
          <w:tab w:val="left" w:pos="2625"/>
        </w:tabs>
        <w:spacing w:line="520" w:lineRule="exact"/>
        <w:ind w:firstLine="480" w:firstLineChars="200"/>
        <w:rPr>
          <w:rFonts w:hint="eastAsia" w:ascii="宋体" w:hAnsi="宋体" w:eastAsia="宋体" w:cs="宋体"/>
          <w:bCs/>
          <w:kern w:val="0"/>
          <w:position w:val="-6"/>
          <w:sz w:val="24"/>
          <w:szCs w:val="24"/>
          <w:highlight w:val="none"/>
        </w:rPr>
      </w:pPr>
      <w:r>
        <w:rPr>
          <w:rFonts w:hint="eastAsia" w:ascii="宋体" w:hAnsi="宋体" w:eastAsia="宋体" w:cs="宋体"/>
          <w:bCs/>
          <w:kern w:val="0"/>
          <w:position w:val="-6"/>
          <w:sz w:val="24"/>
          <w:szCs w:val="24"/>
          <w:highlight w:val="none"/>
          <w:lang w:val="en-US" w:eastAsia="zh-CN"/>
        </w:rPr>
        <w:t>采购</w:t>
      </w:r>
      <w:r>
        <w:rPr>
          <w:rFonts w:hint="eastAsia" w:ascii="宋体" w:hAnsi="宋体" w:eastAsia="宋体" w:cs="宋体"/>
          <w:bCs/>
          <w:kern w:val="0"/>
          <w:position w:val="-6"/>
          <w:sz w:val="24"/>
          <w:szCs w:val="24"/>
          <w:highlight w:val="none"/>
        </w:rPr>
        <w:t>代理机构名称：</w:t>
      </w:r>
      <w:r>
        <w:rPr>
          <w:rFonts w:hint="eastAsia" w:ascii="宋体" w:hAnsi="宋体" w:eastAsia="宋体" w:cs="宋体"/>
          <w:bCs/>
          <w:kern w:val="0"/>
          <w:position w:val="-6"/>
          <w:sz w:val="24"/>
          <w:szCs w:val="24"/>
          <w:highlight w:val="none"/>
          <w:lang w:eastAsia="zh-CN"/>
        </w:rPr>
        <w:t>内蒙古中实工程招标咨询有限责任公司</w:t>
      </w:r>
      <w:r>
        <w:rPr>
          <w:rFonts w:hint="eastAsia" w:ascii="宋体" w:hAnsi="宋体" w:eastAsia="宋体" w:cs="宋体"/>
          <w:bCs/>
          <w:kern w:val="0"/>
          <w:position w:val="-6"/>
          <w:sz w:val="24"/>
          <w:szCs w:val="24"/>
          <w:highlight w:val="none"/>
        </w:rPr>
        <w:t xml:space="preserve"> </w:t>
      </w:r>
    </w:p>
    <w:p w14:paraId="71CB6BC5">
      <w:pPr>
        <w:widowControl/>
        <w:tabs>
          <w:tab w:val="left" w:pos="2625"/>
        </w:tabs>
        <w:spacing w:line="520" w:lineRule="exact"/>
        <w:ind w:left="476" w:leftChars="140" w:firstLine="0" w:firstLineChars="0"/>
        <w:rPr>
          <w:rFonts w:hint="eastAsia" w:ascii="宋体" w:hAnsi="宋体" w:eastAsia="宋体" w:cs="宋体"/>
          <w:bCs/>
          <w:kern w:val="0"/>
          <w:position w:val="-6"/>
          <w:sz w:val="24"/>
          <w:szCs w:val="24"/>
          <w:highlight w:val="none"/>
        </w:rPr>
      </w:pPr>
      <w:r>
        <w:rPr>
          <w:rFonts w:hint="eastAsia" w:ascii="宋体" w:hAnsi="宋体" w:eastAsia="宋体" w:cs="宋体"/>
          <w:bCs/>
          <w:kern w:val="0"/>
          <w:position w:val="-6"/>
          <w:sz w:val="24"/>
          <w:szCs w:val="24"/>
          <w:highlight w:val="none"/>
        </w:rPr>
        <w:t>地址：呼和浩特市赛罕区鄂尔多斯东街12号银联大厦10层</w:t>
      </w:r>
      <w:r>
        <w:rPr>
          <w:rFonts w:hint="eastAsia" w:ascii="宋体" w:hAnsi="宋体" w:eastAsia="宋体" w:cs="宋体"/>
          <w:bCs/>
          <w:kern w:val="0"/>
          <w:position w:val="-6"/>
          <w:sz w:val="24"/>
          <w:szCs w:val="24"/>
          <w:highlight w:val="none"/>
          <w:lang w:eastAsia="zh-CN"/>
        </w:rPr>
        <w:t>（</w:t>
      </w:r>
      <w:r>
        <w:rPr>
          <w:rFonts w:hint="eastAsia" w:ascii="宋体" w:hAnsi="宋体" w:eastAsia="宋体" w:cs="宋体"/>
          <w:bCs/>
          <w:kern w:val="0"/>
          <w:position w:val="-6"/>
          <w:sz w:val="24"/>
          <w:szCs w:val="24"/>
          <w:highlight w:val="none"/>
        </w:rPr>
        <w:t>锡林浩特</w:t>
      </w:r>
      <w:r>
        <w:rPr>
          <w:rFonts w:hint="eastAsia" w:ascii="宋体" w:hAnsi="宋体" w:eastAsia="宋体" w:cs="宋体"/>
          <w:bCs/>
          <w:kern w:val="0"/>
          <w:position w:val="-6"/>
          <w:sz w:val="24"/>
          <w:szCs w:val="24"/>
          <w:highlight w:val="none"/>
          <w:lang w:val="en-US" w:eastAsia="zh-CN"/>
        </w:rPr>
        <w:t>分公司</w:t>
      </w:r>
      <w:r>
        <w:rPr>
          <w:rFonts w:hint="eastAsia" w:ascii="宋体" w:hAnsi="宋体" w:eastAsia="宋体" w:cs="宋体"/>
          <w:bCs/>
          <w:kern w:val="0"/>
          <w:position w:val="-6"/>
          <w:sz w:val="24"/>
          <w:szCs w:val="24"/>
          <w:highlight w:val="none"/>
        </w:rPr>
        <w:t>：锡林浩特市宝石根街与东一环路交叉处唐舒格家苑售楼部13楼</w:t>
      </w:r>
      <w:r>
        <w:rPr>
          <w:rFonts w:hint="eastAsia" w:ascii="宋体" w:hAnsi="宋体" w:eastAsia="宋体" w:cs="宋体"/>
          <w:bCs/>
          <w:kern w:val="0"/>
          <w:position w:val="-6"/>
          <w:sz w:val="24"/>
          <w:szCs w:val="24"/>
          <w:highlight w:val="none"/>
          <w:lang w:eastAsia="zh-CN"/>
        </w:rPr>
        <w:t>）</w:t>
      </w:r>
    </w:p>
    <w:p w14:paraId="1B073098">
      <w:pPr>
        <w:widowControl/>
        <w:tabs>
          <w:tab w:val="left" w:pos="2625"/>
        </w:tabs>
        <w:spacing w:line="520" w:lineRule="exact"/>
        <w:ind w:firstLine="480" w:firstLineChars="200"/>
        <w:rPr>
          <w:rFonts w:hint="eastAsia" w:ascii="宋体" w:hAnsi="宋体" w:eastAsia="宋体" w:cs="宋体"/>
          <w:bCs/>
          <w:kern w:val="0"/>
          <w:position w:val="-6"/>
          <w:sz w:val="24"/>
          <w:szCs w:val="24"/>
          <w:highlight w:val="none"/>
          <w:lang w:val="en-US" w:eastAsia="zh-CN"/>
        </w:rPr>
      </w:pPr>
      <w:r>
        <w:rPr>
          <w:rFonts w:hint="eastAsia" w:ascii="宋体" w:hAnsi="宋体" w:eastAsia="宋体" w:cs="宋体"/>
          <w:bCs/>
          <w:kern w:val="0"/>
          <w:position w:val="-6"/>
          <w:sz w:val="24"/>
          <w:szCs w:val="24"/>
          <w:highlight w:val="none"/>
          <w:lang w:val="en-US" w:eastAsia="zh-CN"/>
        </w:rPr>
        <w:t>联系人：施颖、杨淑红、池金秀</w:t>
      </w:r>
    </w:p>
    <w:p w14:paraId="5CE84A1E">
      <w:pPr>
        <w:widowControl/>
        <w:tabs>
          <w:tab w:val="left" w:pos="2625"/>
        </w:tabs>
        <w:spacing w:line="520" w:lineRule="exact"/>
        <w:ind w:firstLine="480" w:firstLineChars="200"/>
        <w:rPr>
          <w:rFonts w:hint="eastAsia" w:ascii="宋体" w:hAnsi="宋体" w:eastAsia="宋体" w:cs="宋体"/>
          <w:bCs/>
          <w:kern w:val="0"/>
          <w:position w:val="-6"/>
          <w:sz w:val="24"/>
          <w:szCs w:val="24"/>
          <w:highlight w:val="none"/>
          <w:lang w:val="en-US" w:eastAsia="zh-CN"/>
        </w:rPr>
      </w:pPr>
      <w:r>
        <w:rPr>
          <w:rFonts w:hint="eastAsia" w:ascii="宋体" w:hAnsi="宋体" w:eastAsia="宋体" w:cs="宋体"/>
          <w:bCs/>
          <w:kern w:val="0"/>
          <w:position w:val="-6"/>
          <w:sz w:val="24"/>
          <w:szCs w:val="24"/>
          <w:highlight w:val="none"/>
          <w:lang w:val="en-US" w:eastAsia="zh-CN"/>
        </w:rPr>
        <w:t>联系电话： 0479-8218958</w:t>
      </w:r>
    </w:p>
    <w:p w14:paraId="55BD7D8B">
      <w:pPr>
        <w:widowControl/>
        <w:tabs>
          <w:tab w:val="left" w:pos="2625"/>
        </w:tabs>
        <w:spacing w:line="520" w:lineRule="exact"/>
        <w:ind w:firstLine="480" w:firstLineChars="200"/>
        <w:rPr>
          <w:rFonts w:hint="eastAsia" w:ascii="宋体" w:hAnsi="宋体" w:eastAsia="宋体" w:cs="宋体"/>
          <w:bCs/>
          <w:kern w:val="0"/>
          <w:position w:val="-6"/>
          <w:sz w:val="24"/>
          <w:szCs w:val="24"/>
          <w:highlight w:val="none"/>
          <w:lang w:val="en-US" w:eastAsia="zh-CN"/>
        </w:rPr>
      </w:pPr>
      <w:r>
        <w:rPr>
          <w:rFonts w:hint="eastAsia" w:ascii="宋体" w:hAnsi="宋体" w:eastAsia="宋体" w:cs="宋体"/>
          <w:bCs/>
          <w:kern w:val="0"/>
          <w:position w:val="-6"/>
          <w:sz w:val="24"/>
          <w:szCs w:val="24"/>
          <w:highlight w:val="none"/>
          <w:lang w:val="en-US" w:eastAsia="zh-CN"/>
        </w:rPr>
        <w:t xml:space="preserve">邮箱：zszbsfgs@126.com </w:t>
      </w:r>
    </w:p>
    <w:p w14:paraId="43C342E0">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497DB"/>
    <w:multiLevelType w:val="singleLevel"/>
    <w:tmpl w:val="FD8497DB"/>
    <w:lvl w:ilvl="0" w:tentative="0">
      <w:start w:val="1"/>
      <w:numFmt w:val="decimal"/>
      <w:suff w:val="nothing"/>
      <w:lvlText w:val="%1、"/>
      <w:lvlJc w:val="left"/>
      <w:pPr>
        <w:ind w:left="-49"/>
      </w:pPr>
    </w:lvl>
  </w:abstractNum>
  <w:abstractNum w:abstractNumId="1">
    <w:nsid w:val="0000001D"/>
    <w:multiLevelType w:val="singleLevel"/>
    <w:tmpl w:val="0000001D"/>
    <w:lvl w:ilvl="0" w:tentative="0">
      <w:start w:val="2"/>
      <w:numFmt w:val="upperLetter"/>
      <w:suff w:val="nothing"/>
      <w:lvlText w:val="%1、"/>
      <w:lvlJc w:val="left"/>
    </w:lvl>
  </w:abstractNum>
  <w:abstractNum w:abstractNumId="2">
    <w:nsid w:val="0000001E"/>
    <w:multiLevelType w:val="singleLevel"/>
    <w:tmpl w:val="0000001E"/>
    <w:lvl w:ilvl="0" w:tentative="0">
      <w:start w:val="1"/>
      <w:numFmt w:val="decimal"/>
      <w:suff w:val="nothing"/>
      <w:lvlText w:val="（%1）"/>
      <w:lvlJc w:val="left"/>
    </w:lvl>
  </w:abstractNum>
  <w:num w:numId="1">
    <w:abstractNumId w:val="0"/>
  </w:num>
  <w:num w:numId="2">
    <w:abstractNumId w:val="2"/>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4AAF36DC"/>
    <w:rsid w:val="4AAF3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next w:val="4"/>
    <w:qFormat/>
    <w:uiPriority w:val="0"/>
    <w:pPr>
      <w:ind w:firstLine="830" w:firstLineChars="352"/>
    </w:pPr>
    <w:rPr>
      <w:rFonts w:ascii="仿宋_GB2312" w:eastAsia="仿宋_GB2312"/>
      <w:sz w:val="32"/>
      <w:szCs w:val="20"/>
    </w:rPr>
  </w:style>
  <w:style w:type="paragraph" w:customStyle="1" w:styleId="4">
    <w:name w:val="p16"/>
    <w:basedOn w:val="1"/>
    <w:next w:val="5"/>
    <w:uiPriority w:val="0"/>
    <w:pPr>
      <w:widowControl/>
    </w:pPr>
    <w:rPr>
      <w:rFonts w:ascii="Calibri" w:hAnsi="Calibri" w:cs="宋体"/>
      <w:kern w:val="0"/>
      <w:szCs w:val="21"/>
    </w:rPr>
  </w:style>
  <w:style w:type="paragraph" w:styleId="5">
    <w:name w:val="toc 2"/>
    <w:basedOn w:val="1"/>
    <w:next w:val="1"/>
    <w:qFormat/>
    <w:uiPriority w:val="39"/>
    <w:pPr>
      <w:tabs>
        <w:tab w:val="right" w:leader="dot" w:pos="8834"/>
      </w:tabs>
      <w:ind w:left="420" w:leftChars="200"/>
    </w:pPr>
    <w:rPr>
      <w:rFonts w:ascii="黑体" w:eastAsia="黑体"/>
      <w:sz w:val="28"/>
      <w:szCs w:val="2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Body Text First Indent"/>
    <w:basedOn w:val="2"/>
    <w:next w:val="1"/>
    <w:semiHidden/>
    <w:qFormat/>
    <w:uiPriority w:val="0"/>
    <w:pPr>
      <w:ind w:firstLine="420"/>
    </w:pPr>
    <w:rPr>
      <w:sz w:val="28"/>
    </w:rPr>
  </w:style>
  <w:style w:type="paragraph" w:styleId="8">
    <w:name w:val="Body Text First Indent 2"/>
    <w:basedOn w:val="3"/>
    <w:next w:val="1"/>
    <w:semiHidden/>
    <w:qFormat/>
    <w:uiPriority w:val="0"/>
    <w:pPr>
      <w:spacing w:after="120"/>
      <w:ind w:left="420" w:firstLine="420" w:firstLineChars="0"/>
    </w:pPr>
    <w:rPr>
      <w:rFonts w:ascii="Calibri" w:hAnsi="Calibri" w:eastAsia="宋体"/>
      <w:b/>
      <w:bCs/>
      <w:kern w:val="44"/>
      <w:sz w:val="44"/>
      <w:szCs w:val="44"/>
    </w:rPr>
  </w:style>
  <w:style w:type="paragraph" w:customStyle="1" w:styleId="11">
    <w:name w:val="列出段落111"/>
    <w:basedOn w:val="1"/>
    <w:qFormat/>
    <w:uiPriority w:val="0"/>
    <w:pPr>
      <w:ind w:firstLine="420" w:firstLineChars="200"/>
    </w:pPr>
    <w:rPr>
      <w:rFonts w:ascii="Calibri" w:hAnsi="Calibri" w:eastAsia="仿宋_GB2312"/>
      <w:sz w:val="3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2024-09-12T06:40:00Z</dcterms:created>
  <dc:creator>WPS_1496299590</dc:creator>
  <cp:lastModifiedBy>WPS_1496299590</cp:lastModifiedBy>
  <dcterms:modified xsi:type="dcterms:W3CDTF">2024-09-12T06:41:15Z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F7D341ADECB94687AEA46B5E2CF43A2F_11</vt:lpwstr>
  </property>
</Properties>
</file>