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0F678">
      <w:pPr>
        <w:numPr>
          <w:ilvl w:val="0"/>
          <w:numId w:val="0"/>
        </w:numPr>
        <w:spacing w:before="100" w:after="100" w:line="440" w:lineRule="exact"/>
        <w:ind w:left="840" w:leftChars="0" w:hanging="420" w:firstLineChars="0"/>
        <w:outlineLvl w:val="1"/>
        <w:rPr>
          <w:rFonts w:ascii="微软雅黑" w:hAnsi="微软雅黑" w:cs="宋体"/>
          <w:b/>
          <w:color w:val="auto"/>
          <w:sz w:val="28"/>
          <w:szCs w:val="28"/>
          <w:highlight w:val="none"/>
        </w:rPr>
      </w:pPr>
      <w:r>
        <w:rPr>
          <w:rFonts w:hint="eastAsia" w:ascii="微软雅黑" w:hAnsi="微软雅黑" w:cs="宋体"/>
          <w:b/>
          <w:color w:val="auto"/>
          <w:sz w:val="28"/>
          <w:szCs w:val="28"/>
          <w:highlight w:val="none"/>
        </w:rPr>
        <w:t>技术及质量要求</w:t>
      </w:r>
    </w:p>
    <w:p w14:paraId="73E7FEF6">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14:paraId="7E48BB9C">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r>
        <w:rPr>
          <w:rFonts w:hint="eastAsia" w:asciiTheme="minorEastAsia" w:hAnsiTheme="minorEastAsia" w:eastAsiaTheme="minorEastAsia" w:cstheme="minorEastAsia"/>
          <w:bCs/>
          <w:color w:val="auto"/>
          <w:sz w:val="21"/>
          <w:szCs w:val="21"/>
          <w:highlight w:val="none"/>
        </w:rPr>
        <w:t>供应商要合理的计划工期，充分考虑冬雨季及恶劣气候（如大风、沙尘、冰雹、暴雨、持续高温等）、政府政治性会议或其他事件（如高考、运动会、重大节假日、疫情）等因素对工期的影响。</w:t>
      </w:r>
    </w:p>
    <w:p w14:paraId="4D76CFD4">
      <w:pPr>
        <w:pStyle w:val="6"/>
        <w:numPr>
          <w:ilvl w:val="0"/>
          <w:numId w:val="1"/>
        </w:numPr>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施工单位在进场后，由于现场</w:t>
      </w:r>
      <w:r>
        <w:rPr>
          <w:rFonts w:ascii="宋体" w:hAnsi="宋体" w:eastAsia="宋体" w:cs="宋体"/>
          <w:b/>
          <w:color w:val="auto"/>
          <w:sz w:val="21"/>
          <w:szCs w:val="21"/>
          <w:highlight w:val="none"/>
          <w:u w:val="single"/>
        </w:rPr>
        <w:t>施工作业、</w:t>
      </w:r>
      <w:r>
        <w:rPr>
          <w:rFonts w:hint="eastAsia" w:ascii="宋体" w:hAnsi="宋体" w:eastAsia="宋体" w:cs="宋体"/>
          <w:b/>
          <w:color w:val="auto"/>
          <w:sz w:val="21"/>
          <w:szCs w:val="21"/>
          <w:highlight w:val="none"/>
          <w:u w:val="single"/>
        </w:rPr>
        <w:t>材料进场、垃圾外运及材料或建筑垃圾的堆放对校内环境、道路造成的破坏由施工单位负责无偿恢复。</w:t>
      </w:r>
    </w:p>
    <w:p w14:paraId="17DB630A">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14:paraId="46C12889">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采购人组织现场踏勘，供应商需充分了解现场情况。未经采购人认可，任何原因的工期延误都不被允许。</w:t>
      </w:r>
    </w:p>
    <w:p w14:paraId="51298F19">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供应商需在施工组织设计中制定详尽的分部分项工程进度计划，编制施工进度横道图。施工过程中，供应商原因造成的分部分项工程工期拖延，每拖延一天扣除分部分项工程费用</w:t>
      </w:r>
      <w:r>
        <w:rPr>
          <w:rFonts w:ascii="宋体" w:hAnsi="宋体" w:eastAsia="宋体" w:cs="宋体"/>
          <w:color w:val="auto"/>
          <w:sz w:val="21"/>
          <w:szCs w:val="21"/>
          <w:highlight w:val="none"/>
        </w:rPr>
        <w:t>1%，最多扣除30%。分部分项工程需经监理及供应商验收确认。因投采购人造成的分部分项工程工期延误，分部分项工期顺延。</w:t>
      </w:r>
    </w:p>
    <w:p w14:paraId="69DECF7B">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施工过程中签证变更，中标人需在</w:t>
      </w:r>
      <w:r>
        <w:rPr>
          <w:rFonts w:ascii="宋体" w:hAnsi="宋体" w:eastAsia="宋体" w:cs="宋体"/>
          <w:color w:val="auto"/>
          <w:sz w:val="21"/>
          <w:szCs w:val="21"/>
          <w:highlight w:val="none"/>
        </w:rPr>
        <w:t>2日内提供造价清单，如延误每天罚款2000元；</w:t>
      </w:r>
    </w:p>
    <w:p w14:paraId="2268D748">
      <w:pPr>
        <w:pStyle w:val="6"/>
        <w:numPr>
          <w:ilvl w:val="0"/>
          <w:numId w:val="1"/>
        </w:numPr>
        <w:spacing w:line="4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61D9E826">
      <w:pPr>
        <w:numPr>
          <w:ilvl w:val="0"/>
          <w:numId w:val="1"/>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p>
    <w:p w14:paraId="70DE113B">
      <w:pPr>
        <w:numPr>
          <w:ilvl w:val="0"/>
          <w:numId w:val="0"/>
        </w:numPr>
        <w:spacing w:before="160" w:after="100" w:line="440" w:lineRule="exact"/>
        <w:ind w:left="840" w:leftChars="0" w:hanging="420" w:firstLineChars="0"/>
        <w:outlineLvl w:val="1"/>
        <w:rPr>
          <w:rFonts w:ascii="微软雅黑" w:hAnsi="微软雅黑" w:cs="宋体"/>
          <w:b/>
          <w:color w:val="auto"/>
          <w:sz w:val="28"/>
          <w:szCs w:val="28"/>
          <w:highlight w:val="none"/>
        </w:rPr>
      </w:pPr>
      <w:bookmarkStart w:id="0" w:name="_Toc128210811"/>
      <w:r>
        <w:rPr>
          <w:rFonts w:hint="eastAsia" w:ascii="微软雅黑" w:hAnsi="微软雅黑" w:eastAsia="微软雅黑" w:cs="宋体"/>
          <w:b/>
          <w:color w:val="auto"/>
          <w:kern w:val="2"/>
          <w:sz w:val="28"/>
          <w:szCs w:val="28"/>
          <w:highlight w:val="none"/>
          <w:lang w:val="en-US" w:eastAsia="zh-CN" w:bidi="ar-SA"/>
        </w:rPr>
        <w:t>二、</w:t>
      </w:r>
      <w:r>
        <w:rPr>
          <w:rFonts w:hint="eastAsia" w:ascii="微软雅黑" w:hAnsi="微软雅黑" w:cs="宋体"/>
          <w:b/>
          <w:color w:val="auto"/>
          <w:sz w:val="28"/>
          <w:szCs w:val="28"/>
          <w:highlight w:val="none"/>
        </w:rPr>
        <w:t>材料及设备要求</w:t>
      </w:r>
      <w:bookmarkEnd w:id="0"/>
    </w:p>
    <w:p w14:paraId="51C23D4D">
      <w:pPr>
        <w:pStyle w:val="2"/>
        <w:numPr>
          <w:ilvl w:val="0"/>
          <w:numId w:val="2"/>
        </w:numPr>
        <w:spacing w:line="400" w:lineRule="exact"/>
        <w:ind w:left="0" w:firstLine="420"/>
        <w:rPr>
          <w:rFonts w:asciiTheme="minorEastAsia" w:hAnsiTheme="minorEastAsia" w:eastAsiaTheme="minorEastAsia" w:cstheme="minorEastAsia"/>
          <w:color w:val="auto"/>
          <w:szCs w:val="21"/>
          <w:highlight w:val="none"/>
        </w:rPr>
      </w:pPr>
      <w:r>
        <w:rPr>
          <w:rFonts w:hint="eastAsia"/>
          <w:color w:val="auto"/>
          <w:highlight w:val="none"/>
        </w:rPr>
        <w:t>常规</w:t>
      </w:r>
      <w:r>
        <w:rPr>
          <w:color w:val="auto"/>
          <w:highlight w:val="none"/>
        </w:rPr>
        <w:t>要求</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5BBDF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0C8DF0C8">
            <w:pPr>
              <w:pStyle w:val="2"/>
              <w:jc w:val="center"/>
              <w:rPr>
                <w:b/>
                <w:color w:val="auto"/>
                <w:highlight w:val="none"/>
              </w:rPr>
            </w:pPr>
            <w:r>
              <w:rPr>
                <w:rFonts w:hint="eastAsia"/>
                <w:b/>
                <w:color w:val="auto"/>
                <w:highlight w:val="none"/>
              </w:rPr>
              <w:t>序号</w:t>
            </w:r>
          </w:p>
        </w:tc>
        <w:tc>
          <w:tcPr>
            <w:tcW w:w="7580" w:type="dxa"/>
            <w:vAlign w:val="center"/>
          </w:tcPr>
          <w:p w14:paraId="4724B29F">
            <w:pPr>
              <w:pStyle w:val="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材料</w:t>
            </w:r>
            <w:r>
              <w:rPr>
                <w:rFonts w:asciiTheme="minorEastAsia" w:hAnsiTheme="minorEastAsia" w:eastAsiaTheme="minorEastAsia" w:cstheme="minorEastAsia"/>
                <w:b/>
                <w:color w:val="auto"/>
                <w:szCs w:val="21"/>
                <w:highlight w:val="none"/>
              </w:rPr>
              <w:t>和设备要求</w:t>
            </w:r>
          </w:p>
        </w:tc>
      </w:tr>
      <w:tr w14:paraId="0C66D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1B86A86">
            <w:pPr>
              <w:pStyle w:val="2"/>
              <w:numPr>
                <w:ilvl w:val="0"/>
                <w:numId w:val="3"/>
              </w:numPr>
              <w:rPr>
                <w:color w:val="auto"/>
                <w:highlight w:val="none"/>
              </w:rPr>
            </w:pPr>
          </w:p>
        </w:tc>
        <w:tc>
          <w:tcPr>
            <w:tcW w:w="7580" w:type="dxa"/>
          </w:tcPr>
          <w:p w14:paraId="1269A01E">
            <w:pPr>
              <w:pStyle w:val="2"/>
              <w:rPr>
                <w:color w:val="auto"/>
                <w:highlight w:val="none"/>
              </w:rPr>
            </w:pPr>
            <w:r>
              <w:rPr>
                <w:rFonts w:hint="eastAsia" w:asciiTheme="minorEastAsia" w:hAnsiTheme="minorEastAsia" w:eastAsiaTheme="minorEastAsia" w:cstheme="minorEastAsia"/>
                <w:color w:val="auto"/>
                <w:szCs w:val="21"/>
                <w:highlight w:val="none"/>
              </w:rPr>
              <w:t>内墙涂料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电视塔、立邦、多乐士等品牌质量标准；</w:t>
            </w:r>
          </w:p>
        </w:tc>
      </w:tr>
      <w:tr w14:paraId="66E86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AD39E90">
            <w:pPr>
              <w:pStyle w:val="2"/>
              <w:numPr>
                <w:ilvl w:val="0"/>
                <w:numId w:val="3"/>
              </w:numPr>
              <w:rPr>
                <w:color w:val="auto"/>
                <w:highlight w:val="none"/>
              </w:rPr>
            </w:pPr>
          </w:p>
        </w:tc>
        <w:tc>
          <w:tcPr>
            <w:tcW w:w="7580" w:type="dxa"/>
          </w:tcPr>
          <w:p w14:paraId="7C762CF3">
            <w:pPr>
              <w:pStyle w:val="2"/>
              <w:rPr>
                <w:color w:val="auto"/>
                <w:highlight w:val="none"/>
              </w:rPr>
            </w:pPr>
            <w:r>
              <w:rPr>
                <w:rFonts w:hint="eastAsia" w:asciiTheme="minorEastAsia" w:hAnsiTheme="minorEastAsia" w:eastAsiaTheme="minorEastAsia" w:cstheme="minorEastAsia"/>
                <w:color w:val="auto"/>
                <w:szCs w:val="21"/>
                <w:highlight w:val="none"/>
              </w:rPr>
              <w:t>外墙真石漆</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飞马、华润、墙特等品牌质量标准</w:t>
            </w:r>
          </w:p>
        </w:tc>
      </w:tr>
      <w:tr w14:paraId="1F214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677E272">
            <w:pPr>
              <w:pStyle w:val="2"/>
              <w:numPr>
                <w:ilvl w:val="0"/>
                <w:numId w:val="3"/>
              </w:numPr>
              <w:rPr>
                <w:color w:val="auto"/>
                <w:highlight w:val="none"/>
              </w:rPr>
            </w:pPr>
          </w:p>
        </w:tc>
        <w:tc>
          <w:tcPr>
            <w:tcW w:w="7580" w:type="dxa"/>
          </w:tcPr>
          <w:p w14:paraId="571FD2FB">
            <w:pPr>
              <w:pStyle w:val="2"/>
              <w:rPr>
                <w:color w:val="auto"/>
                <w:highlight w:val="none"/>
              </w:rPr>
            </w:pPr>
            <w:r>
              <w:rPr>
                <w:rFonts w:hint="eastAsia" w:asciiTheme="minorEastAsia" w:hAnsiTheme="minorEastAsia" w:eastAsiaTheme="minorEastAsia" w:cstheme="minorEastAsia"/>
                <w:color w:val="auto"/>
                <w:szCs w:val="21"/>
                <w:highlight w:val="none"/>
              </w:rPr>
              <w:t>外墙涂料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固莱、德高、科顺等品牌质量标准</w:t>
            </w:r>
          </w:p>
        </w:tc>
      </w:tr>
      <w:tr w14:paraId="06E20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EFEAD33">
            <w:pPr>
              <w:pStyle w:val="2"/>
              <w:numPr>
                <w:ilvl w:val="0"/>
                <w:numId w:val="3"/>
              </w:numPr>
              <w:rPr>
                <w:color w:val="auto"/>
                <w:highlight w:val="none"/>
              </w:rPr>
            </w:pPr>
          </w:p>
        </w:tc>
        <w:tc>
          <w:tcPr>
            <w:tcW w:w="7580" w:type="dxa"/>
          </w:tcPr>
          <w:p w14:paraId="18431818">
            <w:pPr>
              <w:pStyle w:val="2"/>
              <w:rPr>
                <w:color w:val="auto"/>
                <w:highlight w:val="none"/>
              </w:rPr>
            </w:pPr>
            <w:r>
              <w:rPr>
                <w:rFonts w:hint="eastAsia" w:asciiTheme="minorEastAsia" w:hAnsiTheme="minorEastAsia" w:eastAsiaTheme="minorEastAsia" w:cstheme="minorEastAsia"/>
                <w:color w:val="auto"/>
                <w:szCs w:val="21"/>
                <w:highlight w:val="none"/>
              </w:rPr>
              <w:t>龙骨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哈尔滨泰山龙骨、龙牌、杰森等品牌质量标准</w:t>
            </w:r>
          </w:p>
        </w:tc>
      </w:tr>
      <w:tr w14:paraId="1B190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FF8A6E5">
            <w:pPr>
              <w:pStyle w:val="2"/>
              <w:numPr>
                <w:ilvl w:val="0"/>
                <w:numId w:val="3"/>
              </w:numPr>
              <w:rPr>
                <w:color w:val="auto"/>
                <w:highlight w:val="none"/>
              </w:rPr>
            </w:pPr>
          </w:p>
        </w:tc>
        <w:tc>
          <w:tcPr>
            <w:tcW w:w="7580" w:type="dxa"/>
          </w:tcPr>
          <w:p w14:paraId="1C6501C4">
            <w:pPr>
              <w:pStyle w:val="2"/>
              <w:rPr>
                <w:color w:val="auto"/>
                <w:highlight w:val="none"/>
              </w:rPr>
            </w:pPr>
            <w:r>
              <w:rPr>
                <w:rFonts w:hint="eastAsia" w:asciiTheme="minorEastAsia" w:hAnsiTheme="minorEastAsia" w:eastAsiaTheme="minorEastAsia" w:cstheme="minorEastAsia"/>
                <w:color w:val="auto"/>
                <w:szCs w:val="21"/>
                <w:highlight w:val="none"/>
              </w:rPr>
              <w:t>石膏板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泰山、杰森、龙牌等品牌质量标准</w:t>
            </w:r>
          </w:p>
        </w:tc>
      </w:tr>
      <w:tr w14:paraId="565DC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55AD9AB">
            <w:pPr>
              <w:pStyle w:val="2"/>
              <w:numPr>
                <w:ilvl w:val="0"/>
                <w:numId w:val="3"/>
              </w:numPr>
              <w:rPr>
                <w:color w:val="auto"/>
                <w:highlight w:val="none"/>
              </w:rPr>
            </w:pPr>
          </w:p>
        </w:tc>
        <w:tc>
          <w:tcPr>
            <w:tcW w:w="7580" w:type="dxa"/>
          </w:tcPr>
          <w:p w14:paraId="57F51185">
            <w:pPr>
              <w:pStyle w:val="2"/>
              <w:rPr>
                <w:color w:val="auto"/>
                <w:highlight w:val="none"/>
              </w:rPr>
            </w:pPr>
            <w:r>
              <w:rPr>
                <w:rFonts w:hint="eastAsia" w:asciiTheme="minorEastAsia" w:hAnsiTheme="minorEastAsia" w:eastAsiaTheme="minorEastAsia" w:cstheme="minorEastAsia"/>
                <w:color w:val="auto"/>
                <w:szCs w:val="21"/>
                <w:highlight w:val="none"/>
              </w:rPr>
              <w:t>铝塑板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奥利威、吉祥、亚盛等品牌质量标准</w:t>
            </w:r>
          </w:p>
        </w:tc>
      </w:tr>
      <w:tr w14:paraId="6C61B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11C4AB2">
            <w:pPr>
              <w:pStyle w:val="2"/>
              <w:numPr>
                <w:ilvl w:val="0"/>
                <w:numId w:val="3"/>
              </w:numPr>
              <w:rPr>
                <w:color w:val="auto"/>
                <w:highlight w:val="none"/>
              </w:rPr>
            </w:pPr>
          </w:p>
        </w:tc>
        <w:tc>
          <w:tcPr>
            <w:tcW w:w="7580" w:type="dxa"/>
          </w:tcPr>
          <w:p w14:paraId="045A79A0">
            <w:pPr>
              <w:pStyle w:val="2"/>
              <w:rPr>
                <w:color w:val="auto"/>
                <w:highlight w:val="none"/>
              </w:rPr>
            </w:pPr>
            <w:r>
              <w:rPr>
                <w:rFonts w:hint="eastAsia" w:asciiTheme="minorEastAsia" w:hAnsiTheme="minorEastAsia" w:eastAsiaTheme="minorEastAsia" w:cstheme="minorEastAsia"/>
                <w:color w:val="auto"/>
                <w:szCs w:val="21"/>
                <w:highlight w:val="none"/>
              </w:rPr>
              <w:t>瓷砖</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宏陶、博德、美陶等品牌质量标准</w:t>
            </w:r>
          </w:p>
        </w:tc>
      </w:tr>
      <w:tr w14:paraId="4F22E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4749246">
            <w:pPr>
              <w:pStyle w:val="2"/>
              <w:numPr>
                <w:ilvl w:val="0"/>
                <w:numId w:val="3"/>
              </w:numPr>
              <w:rPr>
                <w:color w:val="auto"/>
                <w:highlight w:val="none"/>
              </w:rPr>
            </w:pPr>
          </w:p>
        </w:tc>
        <w:tc>
          <w:tcPr>
            <w:tcW w:w="7580" w:type="dxa"/>
          </w:tcPr>
          <w:p w14:paraId="227990BB">
            <w:pPr>
              <w:pStyle w:val="2"/>
              <w:rPr>
                <w:color w:val="auto"/>
                <w:highlight w:val="none"/>
              </w:rPr>
            </w:pPr>
            <w:r>
              <w:rPr>
                <w:rFonts w:hint="eastAsia" w:asciiTheme="minorEastAsia" w:hAnsiTheme="minorEastAsia" w:eastAsiaTheme="minorEastAsia" w:cstheme="minorEastAsia"/>
                <w:color w:val="auto"/>
                <w:szCs w:val="21"/>
                <w:highlight w:val="none"/>
              </w:rPr>
              <w:t>理石施工时封样</w:t>
            </w:r>
          </w:p>
        </w:tc>
      </w:tr>
      <w:tr w14:paraId="768A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9B57C1D">
            <w:pPr>
              <w:pStyle w:val="2"/>
              <w:numPr>
                <w:ilvl w:val="0"/>
                <w:numId w:val="3"/>
              </w:numPr>
              <w:rPr>
                <w:color w:val="auto"/>
                <w:highlight w:val="none"/>
              </w:rPr>
            </w:pPr>
          </w:p>
        </w:tc>
        <w:tc>
          <w:tcPr>
            <w:tcW w:w="7580" w:type="dxa"/>
          </w:tcPr>
          <w:p w14:paraId="1813451C">
            <w:pPr>
              <w:pStyle w:val="2"/>
              <w:rPr>
                <w:color w:val="auto"/>
                <w:highlight w:val="none"/>
              </w:rPr>
            </w:pPr>
            <w:r>
              <w:rPr>
                <w:rFonts w:hint="eastAsia" w:asciiTheme="minorEastAsia" w:hAnsiTheme="minorEastAsia" w:eastAsiaTheme="minorEastAsia" w:cstheme="minorEastAsia"/>
                <w:color w:val="auto"/>
                <w:szCs w:val="21"/>
                <w:highlight w:val="none"/>
              </w:rPr>
              <w:t>细木工板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凯达、鹏鸿、泰山等品牌质量标准</w:t>
            </w:r>
          </w:p>
        </w:tc>
      </w:tr>
      <w:tr w14:paraId="48326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1E9BEE31">
            <w:pPr>
              <w:pStyle w:val="2"/>
              <w:numPr>
                <w:ilvl w:val="0"/>
                <w:numId w:val="3"/>
              </w:numPr>
              <w:rPr>
                <w:color w:val="auto"/>
                <w:highlight w:val="none"/>
              </w:rPr>
            </w:pPr>
          </w:p>
        </w:tc>
        <w:tc>
          <w:tcPr>
            <w:tcW w:w="7580" w:type="dxa"/>
          </w:tcPr>
          <w:p w14:paraId="49CB180C">
            <w:pPr>
              <w:pStyle w:val="2"/>
              <w:rPr>
                <w:color w:val="auto"/>
                <w:highlight w:val="none"/>
              </w:rPr>
            </w:pPr>
            <w:r>
              <w:rPr>
                <w:rFonts w:hint="eastAsia" w:asciiTheme="minorEastAsia" w:hAnsiTheme="minorEastAsia" w:eastAsiaTheme="minorEastAsia" w:cstheme="minorEastAsia"/>
                <w:color w:val="auto"/>
                <w:szCs w:val="21"/>
                <w:highlight w:val="none"/>
              </w:rPr>
              <w:t>阻燃板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保和祥、芭蕉扇、林海等品牌质量标准</w:t>
            </w:r>
          </w:p>
        </w:tc>
      </w:tr>
      <w:tr w14:paraId="510AD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201F575">
            <w:pPr>
              <w:pStyle w:val="2"/>
              <w:numPr>
                <w:ilvl w:val="0"/>
                <w:numId w:val="3"/>
              </w:numPr>
              <w:rPr>
                <w:color w:val="auto"/>
                <w:highlight w:val="none"/>
              </w:rPr>
            </w:pPr>
          </w:p>
        </w:tc>
        <w:tc>
          <w:tcPr>
            <w:tcW w:w="7580" w:type="dxa"/>
          </w:tcPr>
          <w:p w14:paraId="28BDA4B9">
            <w:pPr>
              <w:pStyle w:val="2"/>
              <w:rPr>
                <w:color w:val="auto"/>
                <w:highlight w:val="none"/>
              </w:rPr>
            </w:pPr>
            <w:r>
              <w:rPr>
                <w:rFonts w:hint="eastAsia" w:asciiTheme="minorEastAsia" w:hAnsiTheme="minorEastAsia" w:eastAsiaTheme="minorEastAsia" w:cstheme="minorEastAsia"/>
                <w:color w:val="auto"/>
                <w:szCs w:val="21"/>
                <w:highlight w:val="none"/>
              </w:rPr>
              <w:t>地板性能指标参照或相当于圣象、大自然、生活家等品牌质量标准</w:t>
            </w:r>
          </w:p>
        </w:tc>
      </w:tr>
      <w:tr w14:paraId="1D041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2A87E92">
            <w:pPr>
              <w:pStyle w:val="2"/>
              <w:numPr>
                <w:ilvl w:val="0"/>
                <w:numId w:val="3"/>
              </w:numPr>
              <w:rPr>
                <w:color w:val="auto"/>
                <w:highlight w:val="none"/>
              </w:rPr>
            </w:pPr>
          </w:p>
        </w:tc>
        <w:tc>
          <w:tcPr>
            <w:tcW w:w="7580" w:type="dxa"/>
          </w:tcPr>
          <w:p w14:paraId="70479C74">
            <w:pPr>
              <w:pStyle w:val="2"/>
              <w:rPr>
                <w:color w:val="auto"/>
                <w:highlight w:val="none"/>
              </w:rPr>
            </w:pPr>
            <w:r>
              <w:rPr>
                <w:rFonts w:hint="eastAsia" w:asciiTheme="minorEastAsia" w:hAnsiTheme="minorEastAsia" w:eastAsiaTheme="minorEastAsia" w:cstheme="minorEastAsia"/>
                <w:color w:val="auto"/>
                <w:szCs w:val="21"/>
                <w:highlight w:val="none"/>
              </w:rPr>
              <w:t>矿棉板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京牌、泰山阿姆斯状、星牌等品牌质量标准</w:t>
            </w:r>
          </w:p>
        </w:tc>
      </w:tr>
      <w:tr w14:paraId="32957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53A45E9">
            <w:pPr>
              <w:pStyle w:val="2"/>
              <w:numPr>
                <w:ilvl w:val="0"/>
                <w:numId w:val="3"/>
              </w:numPr>
              <w:rPr>
                <w:color w:val="auto"/>
                <w:highlight w:val="none"/>
              </w:rPr>
            </w:pPr>
          </w:p>
        </w:tc>
        <w:tc>
          <w:tcPr>
            <w:tcW w:w="7580" w:type="dxa"/>
          </w:tcPr>
          <w:p w14:paraId="30134252">
            <w:pPr>
              <w:pStyle w:val="2"/>
              <w:rPr>
                <w:color w:val="auto"/>
                <w:highlight w:val="none"/>
              </w:rPr>
            </w:pPr>
            <w:r>
              <w:rPr>
                <w:rFonts w:hint="eastAsia" w:asciiTheme="minorEastAsia" w:hAnsiTheme="minorEastAsia" w:eastAsiaTheme="minorEastAsia" w:cstheme="minorEastAsia"/>
                <w:color w:val="auto"/>
                <w:szCs w:val="21"/>
                <w:highlight w:val="none"/>
              </w:rPr>
              <w:t>柱面铝单板施工时封样</w:t>
            </w:r>
          </w:p>
        </w:tc>
      </w:tr>
      <w:tr w14:paraId="24A1D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35DF36E">
            <w:pPr>
              <w:pStyle w:val="2"/>
              <w:numPr>
                <w:ilvl w:val="0"/>
                <w:numId w:val="3"/>
              </w:numPr>
              <w:rPr>
                <w:color w:val="auto"/>
                <w:highlight w:val="none"/>
              </w:rPr>
            </w:pPr>
          </w:p>
        </w:tc>
        <w:tc>
          <w:tcPr>
            <w:tcW w:w="7580" w:type="dxa"/>
          </w:tcPr>
          <w:p w14:paraId="74D3E132">
            <w:pPr>
              <w:pStyle w:val="2"/>
              <w:rPr>
                <w:color w:val="auto"/>
                <w:highlight w:val="none"/>
              </w:rPr>
            </w:pPr>
            <w:r>
              <w:rPr>
                <w:rFonts w:hint="eastAsia" w:asciiTheme="minorEastAsia" w:hAnsiTheme="minorEastAsia" w:eastAsiaTheme="minorEastAsia" w:cstheme="minorEastAsia"/>
                <w:color w:val="auto"/>
                <w:szCs w:val="21"/>
                <w:highlight w:val="none"/>
              </w:rPr>
              <w:t>卷材防水</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东方雨虹、大禹、东方宝红等品牌质量标准；</w:t>
            </w:r>
          </w:p>
        </w:tc>
      </w:tr>
      <w:tr w14:paraId="094E1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0CCE64">
            <w:pPr>
              <w:pStyle w:val="2"/>
              <w:numPr>
                <w:ilvl w:val="0"/>
                <w:numId w:val="3"/>
              </w:numPr>
              <w:rPr>
                <w:color w:val="auto"/>
                <w:highlight w:val="none"/>
              </w:rPr>
            </w:pPr>
          </w:p>
        </w:tc>
        <w:tc>
          <w:tcPr>
            <w:tcW w:w="7580" w:type="dxa"/>
          </w:tcPr>
          <w:p w14:paraId="452554E0">
            <w:pPr>
              <w:pStyle w:val="2"/>
              <w:rPr>
                <w:color w:val="auto"/>
                <w:highlight w:val="none"/>
              </w:rPr>
            </w:pPr>
            <w:r>
              <w:rPr>
                <w:rFonts w:hint="eastAsia" w:asciiTheme="minorEastAsia" w:hAnsiTheme="minorEastAsia" w:eastAsiaTheme="minorEastAsia" w:cstheme="minorEastAsia"/>
                <w:color w:val="auto"/>
                <w:szCs w:val="21"/>
                <w:highlight w:val="none"/>
              </w:rPr>
              <w:t>塑钢窗</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中大、实德、海螺等品牌质量标准；铝塑铝窗</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华加、达兴、海螺等品牌质量标准；;</w:t>
            </w:r>
          </w:p>
        </w:tc>
      </w:tr>
      <w:tr w14:paraId="2AF5D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0182E47">
            <w:pPr>
              <w:pStyle w:val="2"/>
              <w:numPr>
                <w:ilvl w:val="0"/>
                <w:numId w:val="3"/>
              </w:numPr>
              <w:rPr>
                <w:color w:val="auto"/>
                <w:highlight w:val="none"/>
              </w:rPr>
            </w:pPr>
          </w:p>
        </w:tc>
        <w:tc>
          <w:tcPr>
            <w:tcW w:w="7580" w:type="dxa"/>
          </w:tcPr>
          <w:p w14:paraId="3BE770F0">
            <w:pPr>
              <w:pStyle w:val="2"/>
              <w:rPr>
                <w:color w:val="auto"/>
                <w:highlight w:val="none"/>
              </w:rPr>
            </w:pPr>
            <w:r>
              <w:rPr>
                <w:rFonts w:hint="eastAsia" w:asciiTheme="minorEastAsia" w:hAnsiTheme="minorEastAsia" w:eastAsiaTheme="minorEastAsia" w:cstheme="minorEastAsia"/>
                <w:color w:val="auto"/>
                <w:szCs w:val="21"/>
                <w:highlight w:val="none"/>
              </w:rPr>
              <w:t>PVC塑胶地板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阿姆斯壮、得嘉、保丽等品牌质量标准；</w:t>
            </w:r>
          </w:p>
        </w:tc>
      </w:tr>
      <w:tr w14:paraId="7C840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199E1FB">
            <w:pPr>
              <w:pStyle w:val="2"/>
              <w:numPr>
                <w:ilvl w:val="0"/>
                <w:numId w:val="3"/>
              </w:numPr>
              <w:rPr>
                <w:color w:val="auto"/>
                <w:highlight w:val="none"/>
              </w:rPr>
            </w:pPr>
          </w:p>
        </w:tc>
        <w:tc>
          <w:tcPr>
            <w:tcW w:w="7580" w:type="dxa"/>
          </w:tcPr>
          <w:p w14:paraId="61EF3E5F">
            <w:pPr>
              <w:pStyle w:val="2"/>
              <w:rPr>
                <w:color w:val="auto"/>
                <w:highlight w:val="none"/>
              </w:rPr>
            </w:pPr>
            <w:r>
              <w:rPr>
                <w:rFonts w:hint="eastAsia" w:asciiTheme="minorEastAsia" w:hAnsiTheme="minorEastAsia" w:eastAsiaTheme="minorEastAsia" w:cstheme="minorEastAsia"/>
                <w:color w:val="auto"/>
                <w:szCs w:val="21"/>
                <w:highlight w:val="none"/>
              </w:rPr>
              <w:t>钢化玻璃</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蓝星（威海蓝星）、南玻（广东南玻集团）、耀玻（上海耀华集团）等品牌质量标准。</w:t>
            </w:r>
          </w:p>
        </w:tc>
      </w:tr>
      <w:tr w14:paraId="3B2B7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245933F">
            <w:pPr>
              <w:pStyle w:val="2"/>
              <w:numPr>
                <w:ilvl w:val="0"/>
                <w:numId w:val="3"/>
              </w:numPr>
              <w:rPr>
                <w:color w:val="auto"/>
                <w:highlight w:val="none"/>
              </w:rPr>
            </w:pPr>
          </w:p>
        </w:tc>
        <w:tc>
          <w:tcPr>
            <w:tcW w:w="7580" w:type="dxa"/>
          </w:tcPr>
          <w:p w14:paraId="1B87DAAB">
            <w:pPr>
              <w:pStyle w:val="2"/>
              <w:rPr>
                <w:color w:val="auto"/>
                <w:highlight w:val="none"/>
              </w:rPr>
            </w:pPr>
            <w:r>
              <w:rPr>
                <w:rFonts w:hint="eastAsia" w:asciiTheme="minorEastAsia" w:hAnsiTheme="minorEastAsia" w:eastAsiaTheme="minorEastAsia" w:cstheme="minorEastAsia"/>
                <w:color w:val="auto"/>
                <w:szCs w:val="21"/>
                <w:highlight w:val="none"/>
              </w:rPr>
              <w:t>PP-R给排水管道及</w:t>
            </w:r>
            <w:r>
              <w:rPr>
                <w:rFonts w:asciiTheme="minorEastAsia" w:hAnsiTheme="minorEastAsia" w:eastAsiaTheme="minorEastAsia" w:cstheme="minorEastAsia"/>
                <w:color w:val="auto"/>
                <w:szCs w:val="21"/>
                <w:highlight w:val="none"/>
              </w:rPr>
              <w:t>阀门、管件</w:t>
            </w:r>
            <w:r>
              <w:rPr>
                <w:rFonts w:hint="eastAsia" w:asciiTheme="minorEastAsia" w:hAnsiTheme="minorEastAsia" w:eastAsiaTheme="minorEastAsia" w:cstheme="minorEastAsia"/>
                <w:color w:val="auto"/>
                <w:szCs w:val="21"/>
                <w:highlight w:val="none"/>
              </w:rPr>
              <w:t>等管道</w:t>
            </w:r>
            <w:r>
              <w:rPr>
                <w:rFonts w:asciiTheme="minorEastAsia" w:hAnsiTheme="minorEastAsia" w:eastAsiaTheme="minorEastAsia" w:cstheme="minorEastAsia"/>
                <w:color w:val="auto"/>
                <w:szCs w:val="21"/>
                <w:highlight w:val="none"/>
              </w:rPr>
              <w:t>附件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金牛、伟星、联塑等品牌质量标准；</w:t>
            </w:r>
          </w:p>
        </w:tc>
      </w:tr>
      <w:tr w14:paraId="48FF3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8C34DB9">
            <w:pPr>
              <w:pStyle w:val="2"/>
              <w:numPr>
                <w:ilvl w:val="0"/>
                <w:numId w:val="3"/>
              </w:numPr>
              <w:rPr>
                <w:color w:val="auto"/>
                <w:highlight w:val="none"/>
              </w:rPr>
            </w:pPr>
          </w:p>
        </w:tc>
        <w:tc>
          <w:tcPr>
            <w:tcW w:w="7580" w:type="dxa"/>
          </w:tcPr>
          <w:p w14:paraId="1E6D32E9">
            <w:pPr>
              <w:pStyle w:val="2"/>
              <w:rPr>
                <w:color w:val="auto"/>
                <w:highlight w:val="none"/>
              </w:rPr>
            </w:pPr>
            <w:r>
              <w:rPr>
                <w:rFonts w:hint="eastAsia" w:asciiTheme="minorEastAsia" w:hAnsiTheme="minorEastAsia" w:eastAsiaTheme="minorEastAsia" w:cstheme="minorEastAsia"/>
                <w:color w:val="auto"/>
                <w:szCs w:val="21"/>
                <w:highlight w:val="none"/>
              </w:rPr>
              <w:t>钢管</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华岐、首钢、白桦林等品牌质量标准；</w:t>
            </w:r>
          </w:p>
        </w:tc>
      </w:tr>
      <w:tr w14:paraId="5910E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175C8B">
            <w:pPr>
              <w:pStyle w:val="2"/>
              <w:numPr>
                <w:ilvl w:val="0"/>
                <w:numId w:val="3"/>
              </w:numPr>
              <w:rPr>
                <w:color w:val="auto"/>
                <w:highlight w:val="none"/>
              </w:rPr>
            </w:pPr>
          </w:p>
        </w:tc>
        <w:tc>
          <w:tcPr>
            <w:tcW w:w="7580" w:type="dxa"/>
          </w:tcPr>
          <w:p w14:paraId="61A16B0A">
            <w:pPr>
              <w:pStyle w:val="2"/>
              <w:rPr>
                <w:color w:val="auto"/>
                <w:highlight w:val="none"/>
              </w:rPr>
            </w:pPr>
            <w:r>
              <w:rPr>
                <w:rFonts w:hint="eastAsia" w:asciiTheme="minorEastAsia" w:hAnsiTheme="minorEastAsia" w:eastAsiaTheme="minorEastAsia" w:cstheme="minorEastAsia"/>
                <w:color w:val="auto"/>
                <w:szCs w:val="21"/>
                <w:highlight w:val="none"/>
              </w:rPr>
              <w:t>阀门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埃美柯、大站、宇明、远大等品牌质量标准；</w:t>
            </w:r>
          </w:p>
        </w:tc>
      </w:tr>
      <w:tr w14:paraId="6F0B0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783B134">
            <w:pPr>
              <w:pStyle w:val="2"/>
              <w:numPr>
                <w:ilvl w:val="0"/>
                <w:numId w:val="3"/>
              </w:numPr>
              <w:rPr>
                <w:color w:val="auto"/>
                <w:highlight w:val="none"/>
              </w:rPr>
            </w:pPr>
          </w:p>
        </w:tc>
        <w:tc>
          <w:tcPr>
            <w:tcW w:w="7580" w:type="dxa"/>
          </w:tcPr>
          <w:p w14:paraId="09A58C1A">
            <w:pPr>
              <w:pStyle w:val="2"/>
              <w:rPr>
                <w:color w:val="auto"/>
                <w:highlight w:val="none"/>
              </w:rPr>
            </w:pPr>
            <w:r>
              <w:rPr>
                <w:rFonts w:hint="eastAsia" w:asciiTheme="minorEastAsia" w:hAnsiTheme="minorEastAsia" w:eastAsiaTheme="minorEastAsia" w:cstheme="minorEastAsia"/>
                <w:color w:val="auto"/>
                <w:szCs w:val="21"/>
                <w:highlight w:val="none"/>
              </w:rPr>
              <w:t>卫生器具：大便器、小便器、拖布池、洗手盆</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惠达、TOTO、美标、科勒等品牌质量标准；水龙头、感应器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龙尔、惠达、美标、TOTO等品牌质量标准；</w:t>
            </w:r>
          </w:p>
        </w:tc>
      </w:tr>
      <w:tr w14:paraId="7A676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0CA0C04">
            <w:pPr>
              <w:pStyle w:val="2"/>
              <w:numPr>
                <w:ilvl w:val="0"/>
                <w:numId w:val="3"/>
              </w:numPr>
              <w:rPr>
                <w:color w:val="auto"/>
                <w:highlight w:val="none"/>
              </w:rPr>
            </w:pPr>
          </w:p>
        </w:tc>
        <w:tc>
          <w:tcPr>
            <w:tcW w:w="7580" w:type="dxa"/>
          </w:tcPr>
          <w:p w14:paraId="003336C9">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铸铁</w:t>
            </w:r>
            <w:r>
              <w:rPr>
                <w:rFonts w:asciiTheme="minorEastAsia" w:hAnsiTheme="minorEastAsia" w:eastAsiaTheme="minorEastAsia" w:cstheme="minorEastAsia"/>
                <w:color w:val="auto"/>
                <w:szCs w:val="21"/>
                <w:highlight w:val="none"/>
              </w:rPr>
              <w:t>及钢制</w:t>
            </w:r>
            <w:r>
              <w:rPr>
                <w:rFonts w:hint="eastAsia" w:asciiTheme="minorEastAsia" w:hAnsiTheme="minorEastAsia" w:eastAsiaTheme="minorEastAsia" w:cstheme="minorEastAsia"/>
                <w:color w:val="auto"/>
                <w:szCs w:val="21"/>
                <w:highlight w:val="none"/>
              </w:rPr>
              <w:t>柱式散热器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帽儿山、圣春、北禄树等品牌质量标准</w:t>
            </w:r>
          </w:p>
          <w:p w14:paraId="20EC0505">
            <w:pPr>
              <w:pStyle w:val="2"/>
              <w:rPr>
                <w:color w:val="auto"/>
                <w:highlight w:val="none"/>
              </w:rPr>
            </w:pPr>
            <w:r>
              <w:rPr>
                <w:rFonts w:hint="eastAsia" w:asciiTheme="minorEastAsia" w:hAnsiTheme="minorEastAsia" w:eastAsiaTheme="minorEastAsia" w:cstheme="minorEastAsia"/>
                <w:color w:val="auto"/>
                <w:szCs w:val="21"/>
                <w:highlight w:val="none"/>
              </w:rPr>
              <w:t>压铸铝散热器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昂彼特堡、旺达、</w:t>
            </w:r>
            <w:r>
              <w:rPr>
                <w:rFonts w:asciiTheme="minorEastAsia" w:hAnsiTheme="minorEastAsia" w:eastAsiaTheme="minorEastAsia" w:cstheme="minorEastAsia"/>
                <w:color w:val="auto"/>
                <w:szCs w:val="21"/>
                <w:highlight w:val="none"/>
              </w:rPr>
              <w:t>圣春</w:t>
            </w:r>
            <w:r>
              <w:rPr>
                <w:rFonts w:hint="eastAsia" w:asciiTheme="minorEastAsia" w:hAnsiTheme="minorEastAsia" w:eastAsiaTheme="minorEastAsia" w:cstheme="minorEastAsia"/>
                <w:color w:val="auto"/>
                <w:szCs w:val="21"/>
                <w:highlight w:val="none"/>
              </w:rPr>
              <w:t>等品牌质量标准</w:t>
            </w:r>
          </w:p>
        </w:tc>
      </w:tr>
      <w:tr w14:paraId="2BB9F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897F83E">
            <w:pPr>
              <w:pStyle w:val="2"/>
              <w:numPr>
                <w:ilvl w:val="0"/>
                <w:numId w:val="3"/>
              </w:numPr>
              <w:rPr>
                <w:color w:val="auto"/>
                <w:highlight w:val="none"/>
              </w:rPr>
            </w:pPr>
          </w:p>
        </w:tc>
        <w:tc>
          <w:tcPr>
            <w:tcW w:w="7580" w:type="dxa"/>
          </w:tcPr>
          <w:p w14:paraId="5B16B4AA">
            <w:pPr>
              <w:pStyle w:val="2"/>
              <w:rPr>
                <w:color w:val="auto"/>
                <w:highlight w:val="none"/>
              </w:rPr>
            </w:pPr>
            <w:r>
              <w:rPr>
                <w:rFonts w:hint="eastAsia" w:asciiTheme="minorEastAsia" w:hAnsiTheme="minorEastAsia" w:eastAsiaTheme="minorEastAsia" w:cstheme="minorEastAsia"/>
                <w:color w:val="auto"/>
                <w:szCs w:val="21"/>
                <w:highlight w:val="none"/>
              </w:rPr>
              <w:t>空调设备含材料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海信、海尔、格力、美的、奥克斯等品牌质量标准。</w:t>
            </w:r>
          </w:p>
        </w:tc>
      </w:tr>
      <w:tr w14:paraId="430B4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E670557">
            <w:pPr>
              <w:pStyle w:val="2"/>
              <w:numPr>
                <w:ilvl w:val="0"/>
                <w:numId w:val="3"/>
              </w:numPr>
              <w:rPr>
                <w:color w:val="auto"/>
                <w:highlight w:val="none"/>
              </w:rPr>
            </w:pPr>
          </w:p>
        </w:tc>
        <w:tc>
          <w:tcPr>
            <w:tcW w:w="7580" w:type="dxa"/>
          </w:tcPr>
          <w:p w14:paraId="2F0AA60F">
            <w:pPr>
              <w:pStyle w:val="2"/>
              <w:rPr>
                <w:color w:val="auto"/>
                <w:highlight w:val="none"/>
              </w:rPr>
            </w:pPr>
            <w:r>
              <w:rPr>
                <w:rFonts w:hint="eastAsia" w:asciiTheme="minorEastAsia" w:hAnsiTheme="minorEastAsia" w:eastAsiaTheme="minorEastAsia" w:cstheme="minorEastAsia"/>
                <w:color w:val="auto"/>
                <w:szCs w:val="21"/>
                <w:highlight w:val="none"/>
              </w:rPr>
              <w:t>风机</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金盾、章丘、章源机械等品牌质量标准</w:t>
            </w:r>
          </w:p>
        </w:tc>
      </w:tr>
      <w:tr w14:paraId="621C0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4215316">
            <w:pPr>
              <w:pStyle w:val="2"/>
              <w:numPr>
                <w:ilvl w:val="0"/>
                <w:numId w:val="3"/>
              </w:numPr>
              <w:rPr>
                <w:color w:val="auto"/>
                <w:highlight w:val="none"/>
              </w:rPr>
            </w:pPr>
          </w:p>
        </w:tc>
        <w:tc>
          <w:tcPr>
            <w:tcW w:w="7580" w:type="dxa"/>
          </w:tcPr>
          <w:p w14:paraId="67631C60">
            <w:pPr>
              <w:pStyle w:val="2"/>
              <w:rPr>
                <w:color w:val="auto"/>
                <w:highlight w:val="none"/>
              </w:rPr>
            </w:pPr>
            <w:r>
              <w:rPr>
                <w:rFonts w:hint="eastAsia" w:asciiTheme="minorEastAsia" w:hAnsiTheme="minorEastAsia" w:eastAsiaTheme="minorEastAsia" w:cstheme="minorEastAsia"/>
                <w:color w:val="auto"/>
                <w:szCs w:val="21"/>
                <w:highlight w:val="none"/>
              </w:rPr>
              <w:t>电缆、电线达到国标，</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津达、金桥、远东电缆等品牌质量标准；</w:t>
            </w:r>
          </w:p>
        </w:tc>
      </w:tr>
      <w:tr w14:paraId="471D7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E92A3E2">
            <w:pPr>
              <w:pStyle w:val="2"/>
              <w:numPr>
                <w:ilvl w:val="0"/>
                <w:numId w:val="3"/>
              </w:numPr>
              <w:rPr>
                <w:color w:val="auto"/>
                <w:highlight w:val="none"/>
              </w:rPr>
            </w:pPr>
          </w:p>
        </w:tc>
        <w:tc>
          <w:tcPr>
            <w:tcW w:w="7580" w:type="dxa"/>
          </w:tcPr>
          <w:p w14:paraId="59C3B2D2">
            <w:pPr>
              <w:pStyle w:val="2"/>
              <w:rPr>
                <w:color w:val="auto"/>
                <w:highlight w:val="none"/>
              </w:rPr>
            </w:pPr>
            <w:r>
              <w:rPr>
                <w:rFonts w:hint="eastAsia" w:asciiTheme="minorEastAsia" w:hAnsiTheme="minorEastAsia" w:eastAsiaTheme="minorEastAsia" w:cstheme="minorEastAsia"/>
                <w:color w:val="auto"/>
                <w:szCs w:val="21"/>
                <w:highlight w:val="none"/>
              </w:rPr>
              <w:t>灯具</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西顿、飞利浦、欧普等品牌质量标准；</w:t>
            </w:r>
          </w:p>
        </w:tc>
      </w:tr>
      <w:tr w14:paraId="026CB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A9750C7">
            <w:pPr>
              <w:pStyle w:val="2"/>
              <w:numPr>
                <w:ilvl w:val="0"/>
                <w:numId w:val="3"/>
              </w:numPr>
              <w:rPr>
                <w:color w:val="auto"/>
                <w:highlight w:val="none"/>
              </w:rPr>
            </w:pPr>
          </w:p>
        </w:tc>
        <w:tc>
          <w:tcPr>
            <w:tcW w:w="7580" w:type="dxa"/>
          </w:tcPr>
          <w:p w14:paraId="76F0C082">
            <w:pPr>
              <w:pStyle w:val="2"/>
              <w:rPr>
                <w:color w:val="auto"/>
                <w:highlight w:val="none"/>
              </w:rPr>
            </w:pPr>
            <w:r>
              <w:rPr>
                <w:rFonts w:hint="eastAsia" w:asciiTheme="minorEastAsia" w:hAnsiTheme="minorEastAsia" w:eastAsiaTheme="minorEastAsia" w:cstheme="minorEastAsia"/>
                <w:color w:val="auto"/>
                <w:szCs w:val="21"/>
                <w:highlight w:val="none"/>
              </w:rPr>
              <w:t>开关插座等电器器件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德力西、施耐德、西顿等品牌质量标准；</w:t>
            </w:r>
          </w:p>
        </w:tc>
      </w:tr>
      <w:tr w14:paraId="14A40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AD483C6">
            <w:pPr>
              <w:pStyle w:val="2"/>
              <w:numPr>
                <w:ilvl w:val="0"/>
                <w:numId w:val="3"/>
              </w:numPr>
              <w:rPr>
                <w:color w:val="auto"/>
                <w:highlight w:val="none"/>
              </w:rPr>
            </w:pPr>
          </w:p>
        </w:tc>
        <w:tc>
          <w:tcPr>
            <w:tcW w:w="7580" w:type="dxa"/>
          </w:tcPr>
          <w:p w14:paraId="49CA6B1F">
            <w:pPr>
              <w:pStyle w:val="2"/>
              <w:rPr>
                <w:color w:val="auto"/>
                <w:highlight w:val="none"/>
              </w:rPr>
            </w:pPr>
            <w:r>
              <w:rPr>
                <w:rFonts w:hint="eastAsia" w:asciiTheme="minorEastAsia" w:hAnsiTheme="minorEastAsia" w:eastAsiaTheme="minorEastAsia" w:cstheme="minorEastAsia"/>
                <w:color w:val="auto"/>
                <w:szCs w:val="21"/>
                <w:highlight w:val="none"/>
              </w:rPr>
              <w:t>配电箱、柜及内部元器件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正泰、德力西、上海人民等品牌质量标准。</w:t>
            </w:r>
          </w:p>
        </w:tc>
      </w:tr>
      <w:tr w14:paraId="3A687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32BDCB7">
            <w:pPr>
              <w:pStyle w:val="2"/>
              <w:numPr>
                <w:ilvl w:val="0"/>
                <w:numId w:val="3"/>
              </w:numPr>
              <w:rPr>
                <w:color w:val="auto"/>
                <w:highlight w:val="none"/>
              </w:rPr>
            </w:pPr>
          </w:p>
        </w:tc>
        <w:tc>
          <w:tcPr>
            <w:tcW w:w="7580" w:type="dxa"/>
          </w:tcPr>
          <w:p w14:paraId="5725E2C9">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变压器</w:t>
            </w:r>
            <w:r>
              <w:rPr>
                <w:rFonts w:asciiTheme="minorEastAsia" w:hAnsiTheme="minorEastAsia" w:eastAsiaTheme="minorEastAsia" w:cstheme="minorEastAsia"/>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中变集团上海变压器、哈尔滨北方特力电力设备有限公司、南京大全变压器有限公司等品牌质量标准。</w:t>
            </w:r>
          </w:p>
        </w:tc>
      </w:tr>
      <w:tr w14:paraId="30C1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D4C958">
            <w:pPr>
              <w:pStyle w:val="2"/>
              <w:numPr>
                <w:ilvl w:val="0"/>
                <w:numId w:val="3"/>
              </w:numPr>
              <w:rPr>
                <w:color w:val="auto"/>
                <w:highlight w:val="none"/>
              </w:rPr>
            </w:pPr>
          </w:p>
        </w:tc>
        <w:tc>
          <w:tcPr>
            <w:tcW w:w="7580" w:type="dxa"/>
          </w:tcPr>
          <w:p w14:paraId="0D1B1532">
            <w:pPr>
              <w:pStyle w:val="2"/>
              <w:rPr>
                <w:color w:val="auto"/>
                <w:highlight w:val="none"/>
              </w:rPr>
            </w:pPr>
            <w:r>
              <w:rPr>
                <w:rFonts w:hint="eastAsia" w:asciiTheme="minorEastAsia" w:hAnsiTheme="minorEastAsia" w:eastAsiaTheme="minorEastAsia" w:cstheme="minorEastAsia"/>
                <w:color w:val="auto"/>
                <w:szCs w:val="21"/>
                <w:highlight w:val="none"/>
              </w:rPr>
              <w:t>消防设备</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海湾、利达、泛海三江等品牌质量标准。</w:t>
            </w:r>
          </w:p>
        </w:tc>
      </w:tr>
      <w:tr w14:paraId="30BC3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9D09A80">
            <w:pPr>
              <w:pStyle w:val="2"/>
              <w:numPr>
                <w:ilvl w:val="0"/>
                <w:numId w:val="3"/>
              </w:numPr>
              <w:rPr>
                <w:color w:val="auto"/>
                <w:highlight w:val="none"/>
              </w:rPr>
            </w:pPr>
          </w:p>
        </w:tc>
        <w:tc>
          <w:tcPr>
            <w:tcW w:w="7580" w:type="dxa"/>
          </w:tcPr>
          <w:p w14:paraId="59CA7F2E">
            <w:pPr>
              <w:pStyle w:val="2"/>
              <w:rPr>
                <w:color w:val="auto"/>
                <w:highlight w:val="none"/>
              </w:rPr>
            </w:pPr>
            <w:r>
              <w:rPr>
                <w:rFonts w:hint="eastAsia" w:asciiTheme="minorEastAsia" w:hAnsiTheme="minorEastAsia" w:eastAsiaTheme="minorEastAsia" w:cstheme="minorEastAsia"/>
                <w:color w:val="auto"/>
                <w:szCs w:val="21"/>
                <w:highlight w:val="none"/>
              </w:rPr>
              <w:t>金属桥架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万奇、振大、有能等品牌质量标准。</w:t>
            </w:r>
          </w:p>
        </w:tc>
      </w:tr>
      <w:tr w14:paraId="0202F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67BF08">
            <w:pPr>
              <w:pStyle w:val="2"/>
              <w:numPr>
                <w:ilvl w:val="0"/>
                <w:numId w:val="3"/>
              </w:numPr>
              <w:rPr>
                <w:color w:val="auto"/>
                <w:highlight w:val="none"/>
              </w:rPr>
            </w:pPr>
          </w:p>
        </w:tc>
        <w:tc>
          <w:tcPr>
            <w:tcW w:w="7580" w:type="dxa"/>
          </w:tcPr>
          <w:p w14:paraId="461C160E">
            <w:pPr>
              <w:pStyle w:val="2"/>
              <w:rPr>
                <w:color w:val="auto"/>
                <w:highlight w:val="none"/>
              </w:rPr>
            </w:pPr>
            <w:r>
              <w:rPr>
                <w:rFonts w:hint="eastAsia" w:asciiTheme="minorEastAsia" w:hAnsiTheme="minorEastAsia" w:eastAsiaTheme="minorEastAsia" w:cstheme="minorEastAsia"/>
                <w:color w:val="auto"/>
                <w:szCs w:val="21"/>
                <w:highlight w:val="none"/>
              </w:rPr>
              <w:t>弱电设备含材料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西蒙、TCL、岳丰等品牌质量标准。</w:t>
            </w:r>
          </w:p>
        </w:tc>
      </w:tr>
      <w:tr w14:paraId="710D5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CFBDC05">
            <w:pPr>
              <w:pStyle w:val="2"/>
              <w:numPr>
                <w:ilvl w:val="0"/>
                <w:numId w:val="3"/>
              </w:numPr>
              <w:rPr>
                <w:color w:val="auto"/>
                <w:highlight w:val="none"/>
              </w:rPr>
            </w:pPr>
          </w:p>
        </w:tc>
        <w:tc>
          <w:tcPr>
            <w:tcW w:w="7580" w:type="dxa"/>
          </w:tcPr>
          <w:p w14:paraId="4D3A4A84">
            <w:pPr>
              <w:pStyle w:val="2"/>
              <w:rPr>
                <w:color w:val="auto"/>
                <w:highlight w:val="none"/>
              </w:rPr>
            </w:pPr>
            <w:r>
              <w:rPr>
                <w:rFonts w:hint="eastAsia" w:asciiTheme="minorEastAsia" w:hAnsiTheme="minorEastAsia" w:eastAsiaTheme="minorEastAsia" w:cstheme="minorEastAsia"/>
                <w:color w:val="auto"/>
                <w:szCs w:val="21"/>
                <w:highlight w:val="none"/>
              </w:rPr>
              <w:t>监控设备含材料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松下、宇视、海康威视等品牌质量标准。</w:t>
            </w:r>
          </w:p>
        </w:tc>
      </w:tr>
      <w:tr w14:paraId="5B56C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4B7DB5B">
            <w:pPr>
              <w:pStyle w:val="2"/>
              <w:numPr>
                <w:ilvl w:val="0"/>
                <w:numId w:val="3"/>
              </w:numPr>
              <w:rPr>
                <w:color w:val="auto"/>
                <w:highlight w:val="none"/>
              </w:rPr>
            </w:pPr>
          </w:p>
        </w:tc>
        <w:tc>
          <w:tcPr>
            <w:tcW w:w="7580" w:type="dxa"/>
          </w:tcPr>
          <w:p w14:paraId="06B6A6F6">
            <w:pPr>
              <w:pStyle w:val="2"/>
              <w:rPr>
                <w:color w:val="auto"/>
                <w:highlight w:val="none"/>
              </w:rPr>
            </w:pPr>
            <w:r>
              <w:rPr>
                <w:rFonts w:hint="eastAsia" w:asciiTheme="minorEastAsia" w:hAnsiTheme="minorEastAsia" w:eastAsiaTheme="minorEastAsia" w:cstheme="minorEastAsia"/>
                <w:color w:val="auto"/>
                <w:szCs w:val="21"/>
                <w:highlight w:val="none"/>
              </w:rPr>
              <w:t>电梯</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三菱、奥的斯、蒂森等客梯品牌质量标准。</w:t>
            </w:r>
          </w:p>
        </w:tc>
      </w:tr>
      <w:tr w14:paraId="06F71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5104E3CA">
            <w:pPr>
              <w:pStyle w:val="2"/>
              <w:numPr>
                <w:ilvl w:val="0"/>
                <w:numId w:val="3"/>
              </w:numPr>
              <w:rPr>
                <w:color w:val="auto"/>
                <w:highlight w:val="none"/>
              </w:rPr>
            </w:pPr>
          </w:p>
        </w:tc>
        <w:tc>
          <w:tcPr>
            <w:tcW w:w="7580" w:type="dxa"/>
          </w:tcPr>
          <w:p w14:paraId="288B6EF5">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PVC地板（塑胶地板）</w:t>
            </w:r>
            <w:r>
              <w:rPr>
                <w:rFonts w:ascii="宋体" w:hAnsi="宋体" w:cs="宋体"/>
                <w:color w:val="auto"/>
                <w:szCs w:val="21"/>
                <w:highlight w:val="none"/>
              </w:rPr>
              <w:t>性能指标参照或相当于</w:t>
            </w:r>
            <w:r>
              <w:rPr>
                <w:rFonts w:hint="eastAsia" w:ascii="宋体" w:hAnsi="宋体" w:cs="宋体"/>
                <w:color w:val="auto"/>
                <w:szCs w:val="21"/>
                <w:highlight w:val="none"/>
              </w:rPr>
              <w:t>Armstrong阿姆斯壮</w:t>
            </w:r>
            <w:r>
              <w:rPr>
                <w:rFonts w:hint="eastAsia" w:asciiTheme="minorEastAsia" w:hAnsiTheme="minorEastAsia" w:eastAsiaTheme="minorEastAsia" w:cstheme="minorEastAsia"/>
                <w:color w:val="auto"/>
                <w:szCs w:val="21"/>
                <w:highlight w:val="none"/>
              </w:rPr>
              <w:t>、LX Hausys、Gerflor洁福等品牌质量标准。</w:t>
            </w:r>
          </w:p>
        </w:tc>
      </w:tr>
      <w:tr w14:paraId="641E5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041B3AE6">
            <w:pPr>
              <w:pStyle w:val="2"/>
              <w:numPr>
                <w:ilvl w:val="0"/>
                <w:numId w:val="3"/>
              </w:numPr>
              <w:rPr>
                <w:color w:val="auto"/>
                <w:highlight w:val="none"/>
              </w:rPr>
            </w:pPr>
          </w:p>
        </w:tc>
        <w:tc>
          <w:tcPr>
            <w:tcW w:w="7580" w:type="dxa"/>
          </w:tcPr>
          <w:p w14:paraId="2E6B6651">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岩棉保温材料</w:t>
            </w:r>
            <w:r>
              <w:rPr>
                <w:rFonts w:ascii="宋体" w:hAnsi="宋体" w:cs="宋体"/>
                <w:color w:val="auto"/>
                <w:szCs w:val="21"/>
                <w:highlight w:val="none"/>
              </w:rPr>
              <w:t>性能指标参照或相当于</w:t>
            </w:r>
            <w:r>
              <w:rPr>
                <w:rFonts w:hint="eastAsia" w:ascii="宋体" w:hAnsi="宋体" w:cs="宋体"/>
                <w:color w:val="auto"/>
                <w:szCs w:val="21"/>
                <w:highlight w:val="none"/>
              </w:rPr>
              <w:t>樱花、泰石、泰和尼科、雅士</w:t>
            </w:r>
            <w:r>
              <w:rPr>
                <w:rFonts w:hint="eastAsia" w:asciiTheme="minorEastAsia" w:hAnsiTheme="minorEastAsia" w:eastAsiaTheme="minorEastAsia" w:cstheme="minorEastAsia"/>
                <w:color w:val="auto"/>
                <w:szCs w:val="21"/>
                <w:highlight w:val="none"/>
              </w:rPr>
              <w:t>等品牌质量标准。</w:t>
            </w:r>
          </w:p>
        </w:tc>
      </w:tr>
      <w:tr w14:paraId="2CD13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B38C80F">
            <w:pPr>
              <w:pStyle w:val="2"/>
              <w:numPr>
                <w:ilvl w:val="0"/>
                <w:numId w:val="3"/>
              </w:numPr>
              <w:rPr>
                <w:color w:val="auto"/>
                <w:highlight w:val="none"/>
              </w:rPr>
            </w:pPr>
          </w:p>
        </w:tc>
        <w:tc>
          <w:tcPr>
            <w:tcW w:w="7580" w:type="dxa"/>
          </w:tcPr>
          <w:p w14:paraId="7EE4E228">
            <w:pPr>
              <w:pStyle w:val="2"/>
              <w:rPr>
                <w:color w:val="auto"/>
                <w:highlight w:val="none"/>
              </w:rPr>
            </w:pPr>
            <w:r>
              <w:rPr>
                <w:rFonts w:hint="eastAsia" w:asciiTheme="minorEastAsia" w:hAnsiTheme="minorEastAsia" w:eastAsiaTheme="minorEastAsia" w:cstheme="minorEastAsia"/>
                <w:color w:val="auto"/>
                <w:szCs w:val="21"/>
                <w:highlight w:val="none"/>
              </w:rPr>
              <w:t>幕墙型材</w:t>
            </w:r>
            <w:r>
              <w:rPr>
                <w:rFonts w:ascii="宋体" w:hAnsi="宋体" w:cs="宋体"/>
                <w:color w:val="auto"/>
                <w:szCs w:val="21"/>
                <w:highlight w:val="none"/>
              </w:rPr>
              <w:t>性能指标参照或相当于</w:t>
            </w:r>
            <w:r>
              <w:rPr>
                <w:rFonts w:hint="eastAsia" w:ascii="宋体" w:hAnsi="宋体" w:cs="宋体"/>
                <w:color w:val="auto"/>
                <w:szCs w:val="21"/>
                <w:highlight w:val="none"/>
              </w:rPr>
              <w:t>丽格</w:t>
            </w:r>
            <w:r>
              <w:rPr>
                <w:rFonts w:hint="eastAsia" w:ascii="宋体" w:hAnsi="宋体" w:cs="宋体"/>
                <w:color w:val="auto"/>
                <w:szCs w:val="21"/>
                <w:highlight w:val="none"/>
                <w:lang w:eastAsia="zh-CN"/>
              </w:rPr>
              <w:t>、</w:t>
            </w:r>
            <w:r>
              <w:rPr>
                <w:rFonts w:hint="eastAsia" w:ascii="宋体" w:hAnsi="宋体" w:cs="宋体"/>
                <w:color w:val="auto"/>
                <w:szCs w:val="21"/>
                <w:highlight w:val="none"/>
              </w:rPr>
              <w:t>渤海</w:t>
            </w:r>
            <w:r>
              <w:rPr>
                <w:rFonts w:hint="eastAsia" w:ascii="宋体" w:hAnsi="宋体" w:cs="宋体"/>
                <w:color w:val="auto"/>
                <w:szCs w:val="21"/>
                <w:highlight w:val="none"/>
                <w:lang w:eastAsia="zh-CN"/>
              </w:rPr>
              <w:t>、</w:t>
            </w:r>
            <w:r>
              <w:rPr>
                <w:rFonts w:hint="eastAsia" w:ascii="宋体" w:hAnsi="宋体" w:cs="宋体"/>
                <w:color w:val="auto"/>
                <w:szCs w:val="21"/>
                <w:highlight w:val="none"/>
              </w:rPr>
              <w:t>亚铝、兴发、忠旺</w:t>
            </w:r>
            <w:r>
              <w:rPr>
                <w:rFonts w:hint="eastAsia" w:asciiTheme="minorEastAsia" w:hAnsiTheme="minorEastAsia" w:eastAsiaTheme="minorEastAsia" w:cstheme="minorEastAsia"/>
                <w:color w:val="auto"/>
                <w:szCs w:val="21"/>
                <w:highlight w:val="none"/>
              </w:rPr>
              <w:t>等品牌质量标准。</w:t>
            </w:r>
          </w:p>
        </w:tc>
      </w:tr>
      <w:tr w14:paraId="0CC7D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9857A4D">
            <w:pPr>
              <w:pStyle w:val="2"/>
              <w:numPr>
                <w:ilvl w:val="0"/>
                <w:numId w:val="3"/>
              </w:numPr>
              <w:rPr>
                <w:color w:val="auto"/>
                <w:highlight w:val="none"/>
              </w:rPr>
            </w:pPr>
          </w:p>
        </w:tc>
        <w:tc>
          <w:tcPr>
            <w:tcW w:w="7580" w:type="dxa"/>
          </w:tcPr>
          <w:p w14:paraId="539D22DE">
            <w:pPr>
              <w:pStyle w:val="2"/>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工程涉及到监控系统的，改造后的监控系统需能够接入校内监控系统。</w:t>
            </w:r>
          </w:p>
        </w:tc>
      </w:tr>
      <w:tr w14:paraId="4CDB0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884F821">
            <w:pPr>
              <w:pStyle w:val="2"/>
              <w:numPr>
                <w:ilvl w:val="0"/>
                <w:numId w:val="3"/>
              </w:numPr>
              <w:rPr>
                <w:color w:val="auto"/>
                <w:highlight w:val="none"/>
              </w:rPr>
            </w:pPr>
          </w:p>
        </w:tc>
        <w:tc>
          <w:tcPr>
            <w:tcW w:w="7580" w:type="dxa"/>
          </w:tcPr>
          <w:p w14:paraId="79584160">
            <w:pPr>
              <w:pStyle w:val="2"/>
              <w:rPr>
                <w:color w:val="auto"/>
                <w:highlight w:val="none"/>
              </w:rPr>
            </w:pPr>
            <w:r>
              <w:rPr>
                <w:rFonts w:hint="eastAsia" w:asciiTheme="minorEastAsia" w:hAnsiTheme="minorEastAsia" w:eastAsiaTheme="minorEastAsia" w:cstheme="minorEastAsia"/>
                <w:color w:val="auto"/>
                <w:szCs w:val="21"/>
                <w:highlight w:val="none"/>
              </w:rPr>
              <w:t>工程涉及到消防系统的，改造后的消防系统需能够接入校内集中消防控制系统。</w:t>
            </w:r>
          </w:p>
        </w:tc>
      </w:tr>
      <w:tr w14:paraId="564F8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D142371">
            <w:pPr>
              <w:pStyle w:val="2"/>
              <w:numPr>
                <w:ilvl w:val="0"/>
                <w:numId w:val="3"/>
              </w:numPr>
              <w:rPr>
                <w:color w:val="auto"/>
                <w:highlight w:val="none"/>
              </w:rPr>
            </w:pPr>
          </w:p>
        </w:tc>
        <w:tc>
          <w:tcPr>
            <w:tcW w:w="7580" w:type="dxa"/>
          </w:tcPr>
          <w:p w14:paraId="7C442E53">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工程涉及到电计量</w:t>
            </w:r>
            <w:r>
              <w:rPr>
                <w:rFonts w:asciiTheme="minorEastAsia" w:hAnsiTheme="minorEastAsia" w:eastAsiaTheme="minorEastAsia" w:cstheme="minorEastAsia"/>
                <w:color w:val="auto"/>
                <w:szCs w:val="21"/>
                <w:highlight w:val="none"/>
              </w:rPr>
              <w:t>系统</w:t>
            </w:r>
            <w:r>
              <w:rPr>
                <w:rFonts w:hint="eastAsia" w:asciiTheme="minorEastAsia" w:hAnsiTheme="minorEastAsia" w:eastAsiaTheme="minorEastAsia" w:cstheme="minorEastAsia"/>
                <w:color w:val="auto"/>
                <w:szCs w:val="21"/>
                <w:highlight w:val="none"/>
              </w:rPr>
              <w:t>的，改造后的电表需能够接入到校内既有电计量</w:t>
            </w:r>
            <w:r>
              <w:rPr>
                <w:rFonts w:asciiTheme="minorEastAsia" w:hAnsiTheme="minorEastAsia" w:eastAsiaTheme="minorEastAsia" w:cstheme="minorEastAsia"/>
                <w:color w:val="auto"/>
                <w:szCs w:val="21"/>
                <w:highlight w:val="none"/>
              </w:rPr>
              <w:t>收费系统</w:t>
            </w:r>
            <w:r>
              <w:rPr>
                <w:rFonts w:hint="eastAsia" w:asciiTheme="minorEastAsia" w:hAnsiTheme="minorEastAsia" w:eastAsiaTheme="minorEastAsia" w:cstheme="minorEastAsia"/>
                <w:color w:val="auto"/>
                <w:szCs w:val="21"/>
                <w:highlight w:val="none"/>
              </w:rPr>
              <w:t>。</w:t>
            </w:r>
          </w:p>
        </w:tc>
      </w:tr>
      <w:tr w14:paraId="2C24F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3B27CF2">
            <w:pPr>
              <w:pStyle w:val="2"/>
              <w:numPr>
                <w:ilvl w:val="0"/>
                <w:numId w:val="3"/>
              </w:numPr>
              <w:rPr>
                <w:color w:val="auto"/>
                <w:highlight w:val="none"/>
              </w:rPr>
            </w:pPr>
          </w:p>
        </w:tc>
        <w:tc>
          <w:tcPr>
            <w:tcW w:w="7580" w:type="dxa"/>
          </w:tcPr>
          <w:p w14:paraId="1C74093D">
            <w:pPr>
              <w:pStyle w:val="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防火门、</w:t>
            </w:r>
            <w:r>
              <w:rPr>
                <w:rFonts w:hint="eastAsia" w:asciiTheme="minorEastAsia" w:hAnsiTheme="minorEastAsia" w:eastAsiaTheme="minorEastAsia" w:cstheme="minorEastAsia"/>
                <w:color w:val="auto"/>
                <w:szCs w:val="21"/>
                <w:highlight w:val="none"/>
                <w:lang w:val="en-US" w:eastAsia="zh-CN"/>
              </w:rPr>
              <w:t>钢质门</w:t>
            </w:r>
            <w:r>
              <w:rPr>
                <w:rFonts w:hint="eastAsia" w:asciiTheme="minorEastAsia" w:hAnsiTheme="minorEastAsia" w:eastAsiaTheme="minorEastAsia" w:cstheme="minorEastAsia"/>
                <w:color w:val="auto"/>
                <w:szCs w:val="21"/>
                <w:highlight w:val="none"/>
                <w:lang w:eastAsia="zh-CN"/>
              </w:rPr>
              <w:t>性能指标参照或相当于飞云、步阳、群升、王力、美心</w:t>
            </w:r>
            <w:r>
              <w:rPr>
                <w:rFonts w:hint="eastAsia" w:asciiTheme="minorEastAsia" w:hAnsiTheme="minorEastAsia" w:eastAsiaTheme="minorEastAsia" w:cstheme="minorEastAsia"/>
                <w:color w:val="auto"/>
                <w:szCs w:val="21"/>
                <w:highlight w:val="none"/>
              </w:rPr>
              <w:t>等品牌质量标准。</w:t>
            </w:r>
          </w:p>
        </w:tc>
      </w:tr>
      <w:tr w14:paraId="4E90F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2F6BF3E">
            <w:pPr>
              <w:pStyle w:val="2"/>
              <w:numPr>
                <w:ilvl w:val="0"/>
                <w:numId w:val="3"/>
              </w:numPr>
              <w:rPr>
                <w:color w:val="auto"/>
                <w:highlight w:val="none"/>
              </w:rPr>
            </w:pPr>
          </w:p>
        </w:tc>
        <w:tc>
          <w:tcPr>
            <w:tcW w:w="7580" w:type="dxa"/>
          </w:tcPr>
          <w:p w14:paraId="1158C5B5">
            <w:pPr>
              <w:pStyle w:val="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消防管件性能指标参照或相当于华盛、鼎梁、龙成</w:t>
            </w:r>
            <w:r>
              <w:rPr>
                <w:rFonts w:hint="eastAsia" w:asciiTheme="minorEastAsia" w:hAnsiTheme="minorEastAsia" w:eastAsiaTheme="minorEastAsia" w:cstheme="minorEastAsia"/>
                <w:color w:val="auto"/>
                <w:szCs w:val="21"/>
                <w:highlight w:val="none"/>
              </w:rPr>
              <w:t>等品牌质量标准。</w:t>
            </w:r>
          </w:p>
        </w:tc>
      </w:tr>
    </w:tbl>
    <w:p w14:paraId="024DC50A">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以上主要材料品牌厂商参考范围为采购人对于同类产品质量档次衡量标准，各供应商选用的材料</w:t>
      </w:r>
      <w:r>
        <w:rPr>
          <w:rFonts w:ascii="宋体" w:hAnsi="宋体" w:eastAsia="宋体" w:cs="宋体"/>
          <w:color w:val="auto"/>
          <w:sz w:val="21"/>
          <w:szCs w:val="21"/>
          <w:highlight w:val="none"/>
        </w:rPr>
        <w:t>性能指标参照或相当于</w:t>
      </w:r>
      <w:r>
        <w:rPr>
          <w:rFonts w:hint="eastAsia" w:asciiTheme="minorEastAsia" w:hAnsiTheme="minorEastAsia" w:eastAsiaTheme="minorEastAsia" w:cstheme="minorEastAsia"/>
          <w:color w:val="auto"/>
          <w:sz w:val="21"/>
          <w:szCs w:val="21"/>
          <w:highlight w:val="none"/>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heme="minorEastAsia" w:hAnsiTheme="minorEastAsia" w:eastAsiaTheme="minorEastAsia" w:cstheme="minorEastAsia"/>
          <w:b/>
          <w:bCs/>
          <w:color w:val="auto"/>
          <w:sz w:val="21"/>
          <w:szCs w:val="21"/>
          <w:highlight w:val="none"/>
        </w:rPr>
        <w:t>由此导致的工期延长责任由中标人承担。</w:t>
      </w:r>
    </w:p>
    <w:p w14:paraId="301BA228">
      <w:pPr>
        <w:spacing w:line="400" w:lineRule="exact"/>
        <w:ind w:left="365" w:leftChars="174" w:firstLine="0" w:firstLineChars="0"/>
        <w:rPr>
          <w:rFonts w:ascii="微软雅黑" w:hAnsi="微软雅黑" w:cs="宋体"/>
          <w:b/>
          <w:color w:val="auto"/>
          <w:sz w:val="28"/>
          <w:szCs w:val="28"/>
          <w:highlight w:val="none"/>
        </w:rPr>
      </w:pPr>
      <w:bookmarkStart w:id="1" w:name="_Toc128210812"/>
      <w:r>
        <w:rPr>
          <w:rFonts w:hint="eastAsia" w:ascii="微软雅黑" w:hAnsi="微软雅黑" w:cs="宋体"/>
          <w:b/>
          <w:color w:val="auto"/>
          <w:sz w:val="28"/>
          <w:szCs w:val="28"/>
          <w:highlight w:val="none"/>
          <w:lang w:val="en-US" w:eastAsia="zh-CN"/>
        </w:rPr>
        <w:t>三、</w:t>
      </w:r>
      <w:r>
        <w:rPr>
          <w:rFonts w:hint="eastAsia" w:ascii="微软雅黑" w:hAnsi="微软雅黑" w:cs="宋体"/>
          <w:b/>
          <w:color w:val="auto"/>
          <w:sz w:val="28"/>
          <w:szCs w:val="28"/>
          <w:highlight w:val="none"/>
        </w:rPr>
        <w:t>现场施工及安全文明施工要求</w:t>
      </w:r>
      <w:bookmarkEnd w:id="1"/>
    </w:p>
    <w:p w14:paraId="078D6B8A">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场容场貌：现场明显处设立按建设部规定的五牌一图（施工现场平面布置图、工程概况牌，管理人员名单及监督电话牌，消防保卫，〈防火责任〉安全生产记录牌，文明施工牌），严格按施工组织设计平面布置图施工。</w:t>
      </w:r>
    </w:p>
    <w:p w14:paraId="3BFE3A7B">
      <w:pPr>
        <w:pStyle w:val="6"/>
        <w:numPr>
          <w:ilvl w:val="255"/>
          <w:numId w:val="0"/>
        </w:numPr>
        <w:spacing w:line="400" w:lineRule="exact"/>
        <w:ind w:firstLine="413" w:firstLineChars="196"/>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29570652">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施工计划安排须考虑周全，并经采购人、监理方审核后方可实施。</w:t>
      </w:r>
    </w:p>
    <w:p w14:paraId="110E7821">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本工程施工管理，供应商应严格遵守国家及地方政府颁发的安全施工、文明施工等规范、条例，遵守采购人的现场管理规定。达不到文明工地标准，采购人即可勒令供应商停工整改。</w:t>
      </w:r>
    </w:p>
    <w:p w14:paraId="241E7920">
      <w:pPr>
        <w:pStyle w:val="6"/>
        <w:numPr>
          <w:ilvl w:val="0"/>
          <w:numId w:val="4"/>
        </w:numPr>
        <w:spacing w:line="400" w:lineRule="exac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供应商现场办公室应配置齐全、完好的办公设备。</w:t>
      </w:r>
      <w:r>
        <w:rPr>
          <w:rFonts w:hint="eastAsia" w:asciiTheme="minorEastAsia" w:hAnsiTheme="minorEastAsia" w:eastAsiaTheme="minorEastAsia" w:cstheme="minorEastAsia"/>
          <w:bCs/>
          <w:color w:val="auto"/>
          <w:sz w:val="21"/>
          <w:szCs w:val="21"/>
          <w:highlight w:val="none"/>
        </w:rPr>
        <w:t>为建设单位代表及监理工程师提供独立办公场所。</w:t>
      </w:r>
    </w:p>
    <w:p w14:paraId="18B27A9D">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供应商在危险环境下施工之前，应制订完善的安全保护措施，经采购人及监理批准后实施。</w:t>
      </w:r>
    </w:p>
    <w:p w14:paraId="75E042E6">
      <w:pPr>
        <w:pStyle w:val="6"/>
        <w:numPr>
          <w:ilvl w:val="0"/>
          <w:numId w:val="4"/>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施工期间，供应商应及时整理和安排所有机械、工具、材料等，工程建设的多余材料、建筑垃圾必须及时清理。否则，每次扣工程款</w:t>
      </w:r>
      <w:r>
        <w:rPr>
          <w:rFonts w:asciiTheme="minorEastAsia" w:hAnsiTheme="minorEastAsia" w:eastAsiaTheme="minorEastAsia" w:cstheme="minorEastAsia"/>
          <w:b/>
          <w:color w:val="auto"/>
          <w:sz w:val="21"/>
          <w:szCs w:val="21"/>
          <w:highlight w:val="none"/>
          <w:u w:val="single"/>
        </w:rPr>
        <w:t>1000</w:t>
      </w:r>
      <w:r>
        <w:rPr>
          <w:rFonts w:hint="eastAsia" w:asciiTheme="minorEastAsia" w:hAnsiTheme="minorEastAsia" w:eastAsiaTheme="minorEastAsia" w:cstheme="minorEastAsia"/>
          <w:b/>
          <w:color w:val="auto"/>
          <w:sz w:val="21"/>
          <w:szCs w:val="21"/>
          <w:highlight w:val="none"/>
          <w:u w:val="single"/>
        </w:rPr>
        <w:t>元。</w:t>
      </w:r>
    </w:p>
    <w:p w14:paraId="03291744">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遵守建设方对施工场地交通、施工噪声、施工现场环境卫生和场外污染管理规定并办理有关手续，供应商造成的罚款等全部责任由供应商自行承担。</w:t>
      </w:r>
    </w:p>
    <w:p w14:paraId="404F0FD6">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施工中发生的一切安全事故，除系因采购人过错造成的外，均由供应商承担全部责任。</w:t>
      </w:r>
    </w:p>
    <w:p w14:paraId="3BF8A8AD">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本项目将按照《建筑工人实名制管理办法（试行）》（建市【2019】18号）文件要求，对项目管理人员及施工现场建筑工人进行实名制管理。</w:t>
      </w:r>
    </w:p>
    <w:p w14:paraId="5D3CF98F">
      <w:pPr>
        <w:pStyle w:val="6"/>
        <w:numPr>
          <w:ilvl w:val="0"/>
          <w:numId w:val="4"/>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报名、投标时拟派的项目班子成员必须一致，且不能中途更换，项目经理每天务必到施工现场严格管理，未经采购人同意不到施工现场每次罚款1000元。</w:t>
      </w:r>
    </w:p>
    <w:p w14:paraId="66619762">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50%给予扣除。安全文明施工费的取费标准</w:t>
      </w:r>
      <w:r>
        <w:rPr>
          <w:rFonts w:hint="eastAsia" w:ascii="宋体" w:hAnsi="宋体" w:eastAsia="宋体" w:cs="宋体"/>
          <w:color w:val="auto"/>
          <w:sz w:val="21"/>
          <w:szCs w:val="21"/>
          <w:highlight w:val="none"/>
        </w:rPr>
        <w:t>按照黑龙江省建设行政主管部门颁发的相关文件执行。</w:t>
      </w:r>
    </w:p>
    <w:p w14:paraId="05EE64D5">
      <w:pPr>
        <w:pStyle w:val="6"/>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原则上每天施工时间为上午8:00-12:00，下午13:30-19:00。特殊情况下，经工程管理部批准才可超出时间段施工。施工单位违反规定，每次罚款1000元。遭到师生投诉，视情节每次罚款2000-10000元。</w:t>
      </w:r>
    </w:p>
    <w:p w14:paraId="1685DEBA">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供应商施工人员进入校园内</w:t>
      </w:r>
      <w:r>
        <w:rPr>
          <w:rFonts w:asciiTheme="minorEastAsia" w:hAnsiTheme="minorEastAsia" w:eastAsiaTheme="minorEastAsia" w:cstheme="minorEastAsia"/>
          <w:color w:val="auto"/>
          <w:sz w:val="21"/>
          <w:szCs w:val="21"/>
          <w:highlight w:val="none"/>
        </w:rPr>
        <w:t>需</w:t>
      </w:r>
      <w:r>
        <w:rPr>
          <w:rFonts w:hint="eastAsia" w:asciiTheme="minorEastAsia" w:hAnsiTheme="minorEastAsia" w:eastAsiaTheme="minorEastAsia" w:cstheme="minorEastAsia"/>
          <w:color w:val="auto"/>
          <w:sz w:val="21"/>
          <w:szCs w:val="21"/>
          <w:highlight w:val="none"/>
        </w:rPr>
        <w:t>统一</w:t>
      </w:r>
      <w:r>
        <w:rPr>
          <w:rFonts w:asciiTheme="minorEastAsia" w:hAnsiTheme="minorEastAsia" w:eastAsiaTheme="minorEastAsia" w:cstheme="minorEastAsia"/>
          <w:color w:val="auto"/>
          <w:sz w:val="21"/>
          <w:szCs w:val="21"/>
          <w:highlight w:val="none"/>
        </w:rPr>
        <w:t>着装，佩戴能够表明人员身份的胸卡，</w:t>
      </w:r>
      <w:r>
        <w:rPr>
          <w:rFonts w:hint="eastAsia" w:asciiTheme="minorEastAsia" w:hAnsiTheme="minorEastAsia" w:eastAsiaTheme="minorEastAsia" w:cstheme="minorEastAsia"/>
          <w:color w:val="auto"/>
          <w:sz w:val="21"/>
          <w:szCs w:val="21"/>
          <w:highlight w:val="none"/>
        </w:rPr>
        <w:t>集中</w:t>
      </w:r>
      <w:r>
        <w:rPr>
          <w:rFonts w:asciiTheme="minorEastAsia" w:hAnsiTheme="minorEastAsia" w:eastAsiaTheme="minorEastAsia" w:cstheme="minorEastAsia"/>
          <w:color w:val="auto"/>
          <w:sz w:val="21"/>
          <w:szCs w:val="21"/>
          <w:highlight w:val="none"/>
        </w:rPr>
        <w:t>进出校园</w:t>
      </w:r>
      <w:r>
        <w:rPr>
          <w:rFonts w:hint="eastAsia" w:asciiTheme="minorEastAsia" w:hAnsiTheme="minorEastAsia" w:eastAsiaTheme="minorEastAsia" w:cstheme="minorEastAsia"/>
          <w:color w:val="auto"/>
          <w:sz w:val="21"/>
          <w:szCs w:val="21"/>
          <w:highlight w:val="none"/>
        </w:rPr>
        <w:t>和工地</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供应商</w:t>
      </w:r>
      <w:r>
        <w:rPr>
          <w:rFonts w:asciiTheme="minorEastAsia" w:hAnsiTheme="minorEastAsia" w:eastAsiaTheme="minorEastAsia" w:cstheme="minorEastAsia"/>
          <w:color w:val="auto"/>
          <w:sz w:val="21"/>
          <w:szCs w:val="21"/>
          <w:highlight w:val="none"/>
        </w:rPr>
        <w:t>施工期间</w:t>
      </w:r>
      <w:r>
        <w:rPr>
          <w:rFonts w:hint="eastAsia" w:asciiTheme="minorEastAsia" w:hAnsiTheme="minorEastAsia" w:eastAsiaTheme="minorEastAsia" w:cstheme="minorEastAsia"/>
          <w:color w:val="auto"/>
          <w:sz w:val="21"/>
          <w:szCs w:val="21"/>
          <w:highlight w:val="none"/>
        </w:rPr>
        <w:t>应</w:t>
      </w:r>
      <w:r>
        <w:rPr>
          <w:rFonts w:asciiTheme="minorEastAsia" w:hAnsiTheme="minorEastAsia" w:eastAsiaTheme="minorEastAsia" w:cstheme="minorEastAsia"/>
          <w:color w:val="auto"/>
          <w:sz w:val="21"/>
          <w:szCs w:val="21"/>
          <w:highlight w:val="none"/>
        </w:rPr>
        <w:t>严格按照学生公寓管理要求进行施工</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stheme="minorEastAsia"/>
          <w:color w:val="auto"/>
          <w:sz w:val="21"/>
          <w:szCs w:val="21"/>
          <w:highlight w:val="none"/>
        </w:rPr>
        <w:t>严禁</w:t>
      </w:r>
      <w:r>
        <w:rPr>
          <w:rFonts w:hint="eastAsia" w:asciiTheme="minorEastAsia" w:hAnsiTheme="minorEastAsia" w:eastAsiaTheme="minorEastAsia" w:cstheme="minorEastAsia"/>
          <w:color w:val="auto"/>
          <w:sz w:val="21"/>
          <w:szCs w:val="21"/>
          <w:highlight w:val="none"/>
        </w:rPr>
        <w:t>偷盗</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如</w:t>
      </w:r>
      <w:r>
        <w:rPr>
          <w:rFonts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rPr>
        <w:t>供应商</w:t>
      </w:r>
      <w:r>
        <w:rPr>
          <w:rFonts w:asciiTheme="minorEastAsia" w:hAnsiTheme="minorEastAsia" w:eastAsiaTheme="minorEastAsia" w:cstheme="minorEastAsia"/>
          <w:color w:val="auto"/>
          <w:sz w:val="21"/>
          <w:szCs w:val="21"/>
          <w:highlight w:val="none"/>
        </w:rPr>
        <w:t>施工人员有</w:t>
      </w:r>
      <w:r>
        <w:rPr>
          <w:rFonts w:hint="eastAsia" w:asciiTheme="minorEastAsia" w:hAnsiTheme="minorEastAsia" w:eastAsiaTheme="minorEastAsia" w:cstheme="minorEastAsia"/>
          <w:color w:val="auto"/>
          <w:sz w:val="21"/>
          <w:szCs w:val="21"/>
          <w:highlight w:val="none"/>
        </w:rPr>
        <w:t>偷盗行为</w:t>
      </w:r>
      <w:r>
        <w:rPr>
          <w:rFonts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rPr>
        <w:t>供应商负责全额赔偿</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同时学校将对</w:t>
      </w:r>
      <w:r>
        <w:rPr>
          <w:rFonts w:asciiTheme="minorEastAsia" w:hAnsiTheme="minorEastAsia" w:eastAsiaTheme="minorEastAsia" w:cstheme="minorEastAsia"/>
          <w:color w:val="auto"/>
          <w:sz w:val="21"/>
          <w:szCs w:val="21"/>
          <w:highlight w:val="none"/>
        </w:rPr>
        <w:t>供应商处以罚款</w:t>
      </w:r>
      <w:r>
        <w:rPr>
          <w:rFonts w:hint="eastAsia" w:asciiTheme="minorEastAsia" w:hAnsiTheme="minorEastAsia" w:eastAsiaTheme="minorEastAsia" w:cstheme="minorEastAsia"/>
          <w:color w:val="auto"/>
          <w:sz w:val="21"/>
          <w:szCs w:val="21"/>
          <w:highlight w:val="none"/>
        </w:rPr>
        <w:t>1万元/次</w:t>
      </w:r>
      <w:r>
        <w:rPr>
          <w:rFonts w:asciiTheme="minorEastAsia" w:hAnsiTheme="minorEastAsia" w:eastAsiaTheme="minorEastAsia" w:cstheme="minorEastAsia"/>
          <w:color w:val="auto"/>
          <w:sz w:val="21"/>
          <w:szCs w:val="21"/>
          <w:highlight w:val="none"/>
        </w:rPr>
        <w:t>。</w:t>
      </w:r>
    </w:p>
    <w:p w14:paraId="7FCBE578">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承包人需按时支付工人劳动报酬，履约期内因承包人原因引起投诉、上访等群体事件，每次承包人须向发包人支违约金</w:t>
      </w:r>
      <w:r>
        <w:rPr>
          <w:rFonts w:asciiTheme="minorEastAsia" w:hAnsiTheme="minorEastAsia" w:eastAsiaTheme="minorEastAsia" w:cstheme="minorEastAsia"/>
          <w:color w:val="auto"/>
          <w:sz w:val="21"/>
          <w:szCs w:val="21"/>
          <w:highlight w:val="none"/>
        </w:rPr>
        <w:t>10000</w:t>
      </w:r>
      <w:r>
        <w:rPr>
          <w:rFonts w:hint="eastAsia" w:asciiTheme="minorEastAsia" w:hAnsiTheme="minorEastAsia" w:eastAsiaTheme="minorEastAsia" w:cstheme="minorEastAsia"/>
          <w:color w:val="auto"/>
          <w:sz w:val="21"/>
          <w:szCs w:val="21"/>
          <w:highlight w:val="none"/>
        </w:rPr>
        <w:t>元，同时发包人保留解除合同的权利。</w:t>
      </w:r>
    </w:p>
    <w:p w14:paraId="2CC7531B">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14:paraId="0372B43A">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部分项工程达到隐蔽验收时，承包人自检合格后，于验收前24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1000元，并且采购人有权暂停支付该部分进度款，直至确认该部分工程合格为止。</w:t>
      </w:r>
    </w:p>
    <w:p w14:paraId="48DE6AA9">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现场用水用电管理：</w:t>
      </w:r>
    </w:p>
    <w:p w14:paraId="2558660A">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承包人应严格遵循《总务处/后勤集团校园修缮工程代收水、电费会签制度》、《哈尔滨工业大学用电管理制度》。</w:t>
      </w:r>
    </w:p>
    <w:p w14:paraId="43DEFFE3">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1、费用计量及收取</w:t>
      </w:r>
    </w:p>
    <w:p w14:paraId="480B81C1">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（1）承包人用电、用水须安装电表、水表计量，承包人水表电表安装及移位须报采购人同意，安装完成后双方共同抄底度数，并签字认可，电表及水表须经过有关部门检测；</w:t>
      </w:r>
    </w:p>
    <w:p w14:paraId="4778E0B5">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（2）承包人用电、用水未挂表计量的，采购人在竣工结算时扣除水电费，金额按签约合同价格的1.05%计算。</w:t>
      </w:r>
    </w:p>
    <w:p w14:paraId="66B97E2B">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2、承包人负责从采购人指定的水电接驳点装箱、接表、敷管、敷线至用水用电地点，费用由承包人承担（注：距离施工部位外边线水平距离150米范围内为承包人承担范围）。</w:t>
      </w:r>
    </w:p>
    <w:p w14:paraId="18A9D433">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3、对计量计费的水、电费的支付由承包人向学校收费部门交付，保留收据，工程结算时提供。</w:t>
      </w:r>
    </w:p>
    <w:p w14:paraId="124FFC73">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4.承包人在施工过程的临时用水用电违反相关规定，采购人有权进行处罚；</w:t>
      </w:r>
    </w:p>
    <w:p w14:paraId="0558B8EC">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承包人有义务接受监管部门监督，不得阻碍持证监管人员检查水、电使用情况。</w:t>
      </w:r>
    </w:p>
    <w:p w14:paraId="6C07B414">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承包人未按学校临时用水用电程序办理审批手续、未通过审批或审批程序未完成即私自用水用电的，采购人扣罚签约合同价的2%作为违约金。</w:t>
      </w:r>
    </w:p>
    <w:p w14:paraId="07DA967A">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水表电表需由学校动力与维修中心统一安装和移动。承包人未经动力与维修中心许可私自安装表具用水用电的，私自移动、改装或改动计量表具的，每发现一次将处以5000元罚款。承包人未安装水表或电表用水用电的，采购人扣罚签约合同价的2%作为违约金。</w:t>
      </w:r>
    </w:p>
    <w:p w14:paraId="680AEB80">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采用挂表计量方式用水用电的，承包人故意损坏合法安装的计量装置或使其计量不准、失效的，每发现一次将处以5000元罚款。</w:t>
      </w:r>
    </w:p>
    <w:p w14:paraId="65446A31">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承包人使用伪造、变造或非法充值的电费卡充值用电的，每发现一次采购人扣罚签约合同价的2%作为违约金。</w:t>
      </w:r>
    </w:p>
    <w:p w14:paraId="3F122DCA">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采用挂表计量方式用水用电的，承包人未经允许私自开启电能表铅封或伪造铅封的，采购人每发现一次扣罚签约合同价的2%作为违约金。</w:t>
      </w:r>
    </w:p>
    <w:p w14:paraId="7D37945A">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2%作为违约金。</w:t>
      </w:r>
    </w:p>
    <w:p w14:paraId="387E5ED6">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2%作为违约金。</w:t>
      </w:r>
    </w:p>
    <w:p w14:paraId="5E0A1AD1">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竣工验收合格后，动力与维修中心、计划财务部双方均同意拆除计量装置并出具书面许可意见，方可拆除电表、水表计量装置。承包人未经许可私自拆除水表或电表的，采购人将扣罚签约合同价的2%作为违约金。</w:t>
      </w:r>
    </w:p>
    <w:p w14:paraId="3A45D3A0">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表设备使用后需归还动力与维修中心，如出现电表设备损坏、改装、改动、破坏铅封或电表不能正常使用等情况的，表具押金不予退还，并按相关条款进行处罚。同时承包人需将电表修复，由此产生的费用由承包人承担。</w:t>
      </w:r>
    </w:p>
    <w:p w14:paraId="1B765692">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未尽事宜按照《哈尔滨工业大学用电管理制度》处理。如承包人出现上述违规行为，学校将停止供水供电，承包人必须立即整改，整改合格后方可恢复供水供电。</w:t>
      </w:r>
    </w:p>
    <w:p w14:paraId="70257D45">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承包人罚款缴纳有两种方案：方案一是在项目竣工结算时从合同价款中直接扣除；方案二是承包人现金缴纳至总务处计财部。采用哪种方案需进一步协商。</w:t>
      </w:r>
    </w:p>
    <w:p w14:paraId="17D62A5E">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14:paraId="74886C6B">
      <w:pPr>
        <w:pStyle w:val="6"/>
        <w:numPr>
          <w:ilvl w:val="0"/>
          <w:numId w:val="6"/>
        </w:numPr>
        <w:spacing w:line="400" w:lineRule="exact"/>
        <w:ind w:firstLine="420"/>
        <w:rPr>
          <w:rFonts w:ascii="宋体" w:hAnsi="宋体" w:eastAsia="宋体" w:cs="宋体"/>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采购人对施工质量有疑问，而要求承包人复测时，承包人应给予积极配合。</w:t>
      </w:r>
    </w:p>
    <w:p w14:paraId="73218F5B">
      <w:pPr>
        <w:pStyle w:val="6"/>
        <w:numPr>
          <w:ilvl w:val="0"/>
          <w:numId w:val="6"/>
        </w:numPr>
        <w:spacing w:line="400" w:lineRule="exact"/>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heme="minorEastAsia" w:hAnsiTheme="minorEastAsia" w:eastAsiaTheme="minorEastAsia" w:cstheme="minorEastAsia"/>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34B5970E">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由于承包人施工质量原因，出现质量问题，承包人除按要求进行整改并承担相应费用和责任外，每次出现质量问题扣工程款0.5万元。</w:t>
      </w:r>
    </w:p>
    <w:p w14:paraId="173B1C84">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6B1FD1CF">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因承包人原因造成工期延误，逾期竣工违约金的上限：</w:t>
      </w:r>
      <w:r>
        <w:rPr>
          <w:rFonts w:hint="eastAsia" w:asciiTheme="minorEastAsia" w:hAnsiTheme="minorEastAsia" w:eastAsiaTheme="minorEastAsia" w:cstheme="minorEastAsia"/>
          <w:color w:val="auto"/>
          <w:sz w:val="21"/>
          <w:szCs w:val="21"/>
          <w:highlight w:val="none"/>
          <w:u w:val="single"/>
        </w:rPr>
        <w:t xml:space="preserve">无  </w:t>
      </w:r>
    </w:p>
    <w:p w14:paraId="62D90175">
      <w:pPr>
        <w:pStyle w:val="6"/>
        <w:numPr>
          <w:ilvl w:val="0"/>
          <w:numId w:val="6"/>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因本项目为维修改造项目，现场情况复杂，采购人有权在总工程造价</w:t>
      </w:r>
      <w:r>
        <w:rPr>
          <w:rFonts w:hint="eastAsia" w:asciiTheme="minorEastAsia" w:hAnsiTheme="minorEastAsia" w:eastAsiaTheme="minorEastAsia" w:cstheme="minorEastAsia"/>
          <w:b/>
          <w:color w:val="auto"/>
          <w:sz w:val="21"/>
          <w:szCs w:val="21"/>
          <w:highlight w:val="none"/>
          <w:u w:val="single"/>
          <w:lang w:val="en-US" w:eastAsia="zh-CN"/>
        </w:rPr>
        <w:t>10</w:t>
      </w:r>
      <w:r>
        <w:rPr>
          <w:rFonts w:hint="eastAsia" w:asciiTheme="minorEastAsia" w:hAnsiTheme="minorEastAsia" w:eastAsiaTheme="minorEastAsia" w:cstheme="minorEastAsia"/>
          <w:b/>
          <w:color w:val="auto"/>
          <w:sz w:val="21"/>
          <w:szCs w:val="21"/>
          <w:highlight w:val="none"/>
          <w:u w:val="single"/>
        </w:rPr>
        <w:t>%内，对招标清单内容及工程量进行调整，中标单位应无条件配合。</w:t>
      </w:r>
    </w:p>
    <w:p w14:paraId="7F283F2C">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7D45D489">
      <w:pPr>
        <w:pStyle w:val="6"/>
        <w:numPr>
          <w:ilvl w:val="0"/>
          <w:numId w:val="6"/>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本工程为维修工程，部分材料、设备利旧，竣工验收时，中标人应保证利旧材料、设备干净整洁，满足使用单位要求，符合使用条件。</w:t>
      </w:r>
    </w:p>
    <w:p w14:paraId="40F17AD5">
      <w:pPr>
        <w:pStyle w:val="6"/>
        <w:numPr>
          <w:ilvl w:val="0"/>
          <w:numId w:val="6"/>
        </w:numPr>
        <w:spacing w:line="400" w:lineRule="exact"/>
        <w:ind w:firstLine="420"/>
        <w:rPr>
          <w:rFonts w:ascii="Times New Roman" w:hAnsi="Times New Roman" w:eastAsia="宋体"/>
          <w:color w:val="auto"/>
          <w:sz w:val="21"/>
          <w:szCs w:val="21"/>
          <w:highlight w:val="none"/>
        </w:rPr>
      </w:pPr>
      <w:r>
        <w:rPr>
          <w:rFonts w:hint="eastAsia" w:asciiTheme="minorEastAsia" w:hAnsiTheme="minorEastAsia" w:eastAsiaTheme="minorEastAsia" w:cstheme="minorEastAsia"/>
          <w:color w:val="auto"/>
          <w:sz w:val="21"/>
          <w:szCs w:val="21"/>
          <w:highlight w:val="none"/>
        </w:rPr>
        <w:t>合同终止：如承包人施工过程中出现的问题已经严重影响工程进度和工程质量，采购人有权终止合同并追究承包人的违约责任。</w:t>
      </w:r>
    </w:p>
    <w:p w14:paraId="0AC5B86A">
      <w:pPr>
        <w:numPr>
          <w:ilvl w:val="0"/>
          <w:numId w:val="0"/>
        </w:numPr>
        <w:spacing w:before="100" w:after="100" w:line="440" w:lineRule="exact"/>
        <w:ind w:left="840" w:leftChars="0" w:hanging="420" w:firstLineChars="0"/>
        <w:outlineLvl w:val="1"/>
        <w:rPr>
          <w:rFonts w:ascii="微软雅黑" w:hAnsi="微软雅黑" w:cs="宋体"/>
          <w:b/>
          <w:color w:val="auto"/>
          <w:sz w:val="28"/>
          <w:szCs w:val="28"/>
          <w:highlight w:val="none"/>
        </w:rPr>
      </w:pPr>
      <w:bookmarkStart w:id="2" w:name="_Toc128210813"/>
      <w:r>
        <w:rPr>
          <w:rFonts w:hint="eastAsia" w:ascii="微软雅黑" w:hAnsi="微软雅黑" w:eastAsia="微软雅黑" w:cs="宋体"/>
          <w:b/>
          <w:color w:val="auto"/>
          <w:kern w:val="2"/>
          <w:sz w:val="28"/>
          <w:szCs w:val="28"/>
          <w:highlight w:val="none"/>
          <w:lang w:val="en-US" w:eastAsia="zh-CN" w:bidi="ar-SA"/>
        </w:rPr>
        <w:t>十六、</w:t>
      </w:r>
      <w:r>
        <w:rPr>
          <w:rFonts w:hint="eastAsia" w:ascii="微软雅黑" w:hAnsi="微软雅黑" w:cs="宋体"/>
          <w:b/>
          <w:color w:val="auto"/>
          <w:sz w:val="28"/>
          <w:szCs w:val="28"/>
          <w:highlight w:val="none"/>
        </w:rPr>
        <w:t>竣工验收及工程移交</w:t>
      </w:r>
      <w:bookmarkEnd w:id="2"/>
    </w:p>
    <w:p w14:paraId="6222ACBE">
      <w:pPr>
        <w:pStyle w:val="6"/>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竣工验收以合同、施工及验收规范、验收标准、政府有关规定及施工图纸等为依据。</w:t>
      </w:r>
    </w:p>
    <w:p w14:paraId="6F175C58">
      <w:pPr>
        <w:pStyle w:val="6"/>
        <w:numPr>
          <w:ilvl w:val="0"/>
          <w:numId w:val="7"/>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初步验收：</w:t>
      </w:r>
    </w:p>
    <w:p w14:paraId="79BB2B4A">
      <w:pPr>
        <w:pStyle w:val="6"/>
        <w:numPr>
          <w:ilvl w:val="255"/>
          <w:numId w:val="0"/>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48小时内组织初步验收，初验由监理方、采购人和承包人共同参加，初验提出的整改要求全部完成并经初验小组核定后（需在初验后7日内完成整改），采购人在3日内，批复承包人工程核验申请。</w:t>
      </w:r>
    </w:p>
    <w:p w14:paraId="2A370566">
      <w:pPr>
        <w:pStyle w:val="6"/>
        <w:numPr>
          <w:ilvl w:val="0"/>
          <w:numId w:val="7"/>
        </w:numPr>
        <w:spacing w:line="400" w:lineRule="exact"/>
        <w:ind w:firstLine="48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承包人应在竣工验收前7天内，提交1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14天内，承包人需提交2套完整的竣工资料给采购人归档（即：满足质监、档案馆要求的竣工资料）两套（正本一套，由原件组成；副本一套）。</w:t>
      </w:r>
    </w:p>
    <w:p w14:paraId="1B0D1137">
      <w:pPr>
        <w:pStyle w:val="6"/>
        <w:numPr>
          <w:ilvl w:val="0"/>
          <w:numId w:val="7"/>
        </w:numPr>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本工程竣工验收需一次性合格，并达到规定验收标准。</w:t>
      </w:r>
    </w:p>
    <w:p w14:paraId="54D246AD">
      <w:pPr>
        <w:numPr>
          <w:ilvl w:val="0"/>
          <w:numId w:val="0"/>
        </w:numPr>
        <w:spacing w:before="100" w:after="100" w:line="440" w:lineRule="exact"/>
        <w:ind w:left="840" w:leftChars="0" w:hanging="420" w:firstLineChars="0"/>
        <w:outlineLvl w:val="1"/>
        <w:rPr>
          <w:rFonts w:ascii="微软雅黑" w:hAnsi="微软雅黑" w:cs="宋体"/>
          <w:b/>
          <w:color w:val="auto"/>
          <w:sz w:val="28"/>
          <w:szCs w:val="28"/>
          <w:highlight w:val="none"/>
        </w:rPr>
      </w:pPr>
      <w:bookmarkStart w:id="3" w:name="_Toc128210814"/>
      <w:r>
        <w:rPr>
          <w:rFonts w:hint="eastAsia" w:ascii="微软雅黑" w:hAnsi="微软雅黑" w:eastAsia="微软雅黑" w:cs="宋体"/>
          <w:b/>
          <w:color w:val="auto"/>
          <w:kern w:val="2"/>
          <w:sz w:val="28"/>
          <w:szCs w:val="28"/>
          <w:highlight w:val="none"/>
          <w:lang w:val="en-US" w:eastAsia="zh-CN" w:bidi="ar-SA"/>
        </w:rPr>
        <w:t>十七、</w:t>
      </w:r>
      <w:r>
        <w:rPr>
          <w:rFonts w:hint="eastAsia" w:ascii="微软雅黑" w:hAnsi="微软雅黑" w:cs="宋体"/>
          <w:b/>
          <w:color w:val="auto"/>
          <w:sz w:val="28"/>
          <w:szCs w:val="28"/>
          <w:highlight w:val="none"/>
        </w:rPr>
        <w:t>工程质量保修</w:t>
      </w:r>
      <w:bookmarkEnd w:id="3"/>
    </w:p>
    <w:p w14:paraId="7A549978">
      <w:pPr>
        <w:pStyle w:val="6"/>
        <w:numPr>
          <w:ilvl w:val="0"/>
          <w:numId w:val="8"/>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保修范围：承包人承包范围内工程项目，由于承包人施工质量问题和材料设备质量问题，均属承包人保修范围。</w:t>
      </w:r>
    </w:p>
    <w:p w14:paraId="471ED23F">
      <w:pPr>
        <w:pStyle w:val="6"/>
        <w:numPr>
          <w:ilvl w:val="0"/>
          <w:numId w:val="8"/>
        </w:numPr>
        <w:spacing w:line="400" w:lineRule="exact"/>
        <w:ind w:firstLine="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宋体" w:hAnsi="宋体" w:eastAsia="宋体" w:cs="宋体"/>
          <w:b/>
          <w:color w:val="auto"/>
          <w:sz w:val="21"/>
          <w:szCs w:val="21"/>
          <w:highlight w:val="none"/>
        </w:rPr>
        <w:t>承包人须在响应文件中明确质量保修期限。</w:t>
      </w:r>
    </w:p>
    <w:p w14:paraId="7A33175D">
      <w:r>
        <w:rPr>
          <w:rFonts w:hint="eastAsia" w:ascii="宋体" w:hAnsi="宋体" w:eastAsia="宋体" w:cs="宋体"/>
          <w:color w:val="auto"/>
          <w:sz w:val="21"/>
          <w:szCs w:val="21"/>
          <w:highlight w:val="none"/>
        </w:rPr>
        <w:t>保修响应时间：承包人</w:t>
      </w:r>
      <w:r>
        <w:rPr>
          <w:rFonts w:ascii="宋体" w:hAnsi="宋体" w:eastAsia="宋体" w:cs="宋体"/>
          <w:color w:val="auto"/>
          <w:sz w:val="21"/>
          <w:szCs w:val="21"/>
          <w:highlight w:val="none"/>
        </w:rPr>
        <w:t>收到保修通知并到达工程现场的合理时间</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售后服务响应时间小于24小时。</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ED328B"/>
    <w:multiLevelType w:val="singleLevel"/>
    <w:tmpl w:val="4EED328B"/>
    <w:lvl w:ilvl="0" w:tentative="0">
      <w:start w:val="1"/>
      <w:numFmt w:val="decimal"/>
      <w:lvlText w:val="%1."/>
      <w:lvlJc w:val="left"/>
      <w:pPr>
        <w:tabs>
          <w:tab w:val="left" w:pos="312"/>
        </w:tabs>
        <w:ind w:left="0" w:firstLine="0"/>
      </w:pPr>
      <w:rPr>
        <w:rFonts w:hint="eastAsia"/>
        <w:b w:val="0"/>
      </w:rPr>
    </w:lvl>
  </w:abstractNum>
  <w:abstractNum w:abstractNumId="4">
    <w:nsid w:val="58CF71B9"/>
    <w:multiLevelType w:val="singleLevel"/>
    <w:tmpl w:val="58CF71B9"/>
    <w:lvl w:ilvl="0" w:tentative="0">
      <w:start w:val="1"/>
      <w:numFmt w:val="chineseCounting"/>
      <w:suff w:val="nothing"/>
      <w:lvlText w:val="（%1）"/>
      <w:lvlJc w:val="left"/>
    </w:lvl>
  </w:abstractNum>
  <w:abstractNum w:abstractNumId="5">
    <w:nsid w:val="58CF7217"/>
    <w:multiLevelType w:val="singleLevel"/>
    <w:tmpl w:val="58CF7217"/>
    <w:lvl w:ilvl="0" w:tentative="0">
      <w:start w:val="1"/>
      <w:numFmt w:val="chineseCounting"/>
      <w:suff w:val="nothing"/>
      <w:lvlText w:val="（%1）"/>
      <w:lvlJc w:val="left"/>
    </w:lvl>
  </w:abstractNum>
  <w:abstractNum w:abstractNumId="6">
    <w:nsid w:val="58CF726B"/>
    <w:multiLevelType w:val="singleLevel"/>
    <w:tmpl w:val="58CF726B"/>
    <w:lvl w:ilvl="0" w:tentative="0">
      <w:start w:val="1"/>
      <w:numFmt w:val="chineseCounting"/>
      <w:suff w:val="nothing"/>
      <w:lvlText w:val="（%1）"/>
      <w:lvlJc w:val="left"/>
    </w:lvl>
  </w:abstractNum>
  <w:abstractNum w:abstractNumId="7">
    <w:nsid w:val="58CF7294"/>
    <w:multiLevelType w:val="singleLevel"/>
    <w:tmpl w:val="58CF7294"/>
    <w:lvl w:ilvl="0" w:tentative="0">
      <w:start w:val="1"/>
      <w:numFmt w:val="chineseCounting"/>
      <w:suff w:val="nothing"/>
      <w:lvlText w:val="（%1）"/>
      <w:lvlJc w:val="left"/>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8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styleId="4">
    <w:name w:val="Table Grid"/>
    <w:basedOn w:val="3"/>
    <w:qFormat/>
    <w:uiPriority w:val="0"/>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autoRedefine/>
    <w:qFormat/>
    <w:uiPriority w:val="99"/>
    <w:pPr>
      <w:ind w:firstLine="420" w:firstLineChars="200"/>
    </w:pPr>
    <w:rPr>
      <w:color w:val="595959"/>
    </w:rPr>
  </w:style>
  <w:style w:type="paragraph" w:customStyle="1" w:styleId="7">
    <w:name w:val="列出段落4"/>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2025-01-14T06:29:51Z</dcterms:created>
  <dc:creator>Administrator</dc:creator>
  <cp:lastModifiedBy>微信用户</cp:lastModifiedBy>
  <dcterms:modified xsi:type="dcterms:W3CDTF">2025-01-14T06:30:10Z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eyJoZGlkIjoiOTI5YjBlNWU0ZGZjYTMyYTFkMmVlYzc0YzkzZmFjNTUiLCJ1c2VySWQiOiIxMjExNzkxNzI5In0=</vt:lpwstr>
  </property>
  <property fmtid="{D5CDD505-2E9C-101B-9397-08002B2CF9AE}" pid="4" name="ICV">
    <vt:lpwstr>142F975614BD4DE7B8A973AAB04DDCE9_12</vt:lpwstr>
  </property>
</Properties>
</file>