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8144">
      <w:pPr>
        <w:tabs>
          <w:tab w:val="left" w:pos="420"/>
          <w:tab w:val="left" w:pos="6660"/>
        </w:tabs>
        <w:adjustRightInd w:val="0"/>
        <w:snapToGrid w:val="0"/>
        <w:spacing w:before="72" w:after="72" w:line="600" w:lineRule="atLeast"/>
        <w:jc w:val="center"/>
        <w:rPr>
          <w:rFonts w:ascii="楷体" w:hAnsi="楷体" w:eastAsia="楷体" w:cs="楷体"/>
          <w:b/>
          <w:color w:val="auto"/>
          <w:sz w:val="60"/>
          <w:szCs w:val="60"/>
          <w:highlight w:val="none"/>
        </w:rPr>
      </w:pPr>
    </w:p>
    <w:p w14:paraId="1F9C46D1">
      <w:pPr>
        <w:tabs>
          <w:tab w:val="left" w:pos="420"/>
          <w:tab w:val="left" w:pos="6660"/>
        </w:tabs>
        <w:adjustRightInd w:val="0"/>
        <w:snapToGrid w:val="0"/>
        <w:spacing w:before="72" w:after="72" w:line="600" w:lineRule="atLeast"/>
        <w:jc w:val="center"/>
        <w:rPr>
          <w:rFonts w:ascii="楷体" w:hAnsi="楷体" w:eastAsia="楷体" w:cs="楷体"/>
          <w:b/>
          <w:color w:val="auto"/>
          <w:sz w:val="60"/>
          <w:szCs w:val="60"/>
          <w:highlight w:val="none"/>
        </w:rPr>
      </w:pPr>
    </w:p>
    <w:p w14:paraId="123A4C33">
      <w:pPr>
        <w:tabs>
          <w:tab w:val="left" w:pos="420"/>
          <w:tab w:val="left" w:pos="6660"/>
        </w:tabs>
        <w:adjustRightInd w:val="0"/>
        <w:snapToGrid w:val="0"/>
        <w:spacing w:before="72" w:after="72"/>
        <w:jc w:val="center"/>
        <w:rPr>
          <w:rFonts w:hint="eastAsia" w:ascii="楷体" w:hAnsi="楷体" w:eastAsia="楷体" w:cs="楷体"/>
          <w:b/>
          <w:color w:val="auto"/>
          <w:sz w:val="58"/>
          <w:szCs w:val="58"/>
          <w:highlight w:val="none"/>
          <w:lang w:eastAsia="zh-CN"/>
        </w:rPr>
      </w:pPr>
      <w:r>
        <w:rPr>
          <w:rFonts w:hint="eastAsia" w:ascii="楷体" w:hAnsi="楷体" w:eastAsia="楷体" w:cs="楷体"/>
          <w:b/>
          <w:color w:val="auto"/>
          <w:sz w:val="58"/>
          <w:szCs w:val="58"/>
          <w:highlight w:val="none"/>
          <w:lang w:eastAsia="zh-CN"/>
        </w:rPr>
        <w:t>广东烟草清远市有限公司卷烟</w:t>
      </w:r>
    </w:p>
    <w:p w14:paraId="5049F68B">
      <w:pPr>
        <w:tabs>
          <w:tab w:val="left" w:pos="420"/>
          <w:tab w:val="left" w:pos="6660"/>
        </w:tabs>
        <w:adjustRightInd w:val="0"/>
        <w:snapToGrid w:val="0"/>
        <w:spacing w:before="72" w:after="72"/>
        <w:jc w:val="center"/>
        <w:rPr>
          <w:rFonts w:hint="eastAsia" w:ascii="楷体" w:hAnsi="楷体" w:eastAsia="楷体" w:cs="楷体"/>
          <w:b/>
          <w:color w:val="auto"/>
          <w:sz w:val="58"/>
          <w:szCs w:val="58"/>
          <w:highlight w:val="none"/>
          <w:lang w:eastAsia="zh-CN"/>
        </w:rPr>
      </w:pPr>
      <w:r>
        <w:rPr>
          <w:rFonts w:hint="eastAsia" w:ascii="楷体" w:hAnsi="楷体" w:eastAsia="楷体" w:cs="楷体"/>
          <w:b/>
          <w:color w:val="auto"/>
          <w:sz w:val="58"/>
          <w:szCs w:val="58"/>
          <w:highlight w:val="none"/>
          <w:lang w:eastAsia="zh-CN"/>
        </w:rPr>
        <w:t>物流配送中心易地技术改造项目雷击风险评估项目</w:t>
      </w:r>
    </w:p>
    <w:p w14:paraId="12F96E1B">
      <w:pPr>
        <w:tabs>
          <w:tab w:val="left" w:pos="420"/>
          <w:tab w:val="left" w:pos="2093"/>
          <w:tab w:val="left" w:pos="6660"/>
        </w:tabs>
        <w:adjustRightInd w:val="0"/>
        <w:snapToGrid w:val="0"/>
        <w:spacing w:before="72" w:after="72" w:line="600" w:lineRule="atLeast"/>
        <w:rPr>
          <w:rFonts w:ascii="楷体" w:hAnsi="楷体" w:eastAsia="楷体" w:cs="楷体"/>
          <w:b/>
          <w:color w:val="auto"/>
          <w:sz w:val="70"/>
          <w:szCs w:val="70"/>
          <w:highlight w:val="none"/>
        </w:rPr>
      </w:pPr>
      <w:r>
        <w:rPr>
          <w:rFonts w:hint="eastAsia" w:ascii="楷体" w:hAnsi="楷体" w:eastAsia="楷体" w:cs="楷体"/>
          <w:b/>
          <w:color w:val="auto"/>
          <w:sz w:val="70"/>
          <w:szCs w:val="70"/>
          <w:highlight w:val="none"/>
        </w:rPr>
        <w:tab/>
      </w:r>
      <w:r>
        <w:rPr>
          <w:rFonts w:hint="eastAsia" w:ascii="楷体" w:hAnsi="楷体" w:eastAsia="楷体" w:cs="楷体"/>
          <w:b/>
          <w:color w:val="auto"/>
          <w:sz w:val="70"/>
          <w:szCs w:val="70"/>
          <w:highlight w:val="none"/>
        </w:rPr>
        <w:tab/>
      </w:r>
    </w:p>
    <w:p w14:paraId="0D199D6D">
      <w:pPr>
        <w:tabs>
          <w:tab w:val="left" w:pos="420"/>
          <w:tab w:val="left" w:pos="6660"/>
        </w:tabs>
        <w:adjustRightInd w:val="0"/>
        <w:snapToGrid w:val="0"/>
        <w:spacing w:before="72" w:after="72" w:line="600" w:lineRule="atLeast"/>
        <w:jc w:val="center"/>
        <w:rPr>
          <w:rFonts w:ascii="楷体" w:hAnsi="楷体" w:eastAsia="楷体" w:cs="楷体"/>
          <w:b/>
          <w:color w:val="auto"/>
          <w:sz w:val="70"/>
          <w:szCs w:val="70"/>
          <w:highlight w:val="none"/>
        </w:rPr>
      </w:pPr>
    </w:p>
    <w:p w14:paraId="5451AF37">
      <w:pPr>
        <w:tabs>
          <w:tab w:val="left" w:pos="420"/>
          <w:tab w:val="left" w:pos="6660"/>
        </w:tabs>
        <w:spacing w:before="72" w:after="72" w:line="1200" w:lineRule="atLeast"/>
        <w:jc w:val="center"/>
        <w:rPr>
          <w:rFonts w:ascii="楷体" w:hAnsi="楷体" w:eastAsia="楷体" w:cs="楷体"/>
          <w:b/>
          <w:color w:val="auto"/>
          <w:sz w:val="90"/>
          <w:szCs w:val="90"/>
          <w:highlight w:val="none"/>
        </w:rPr>
      </w:pPr>
      <w:r>
        <w:rPr>
          <w:rFonts w:hint="eastAsia" w:ascii="楷体" w:hAnsi="楷体" w:eastAsia="楷体" w:cs="楷体"/>
          <w:b/>
          <w:color w:val="auto"/>
          <w:sz w:val="90"/>
          <w:szCs w:val="90"/>
          <w:highlight w:val="none"/>
        </w:rPr>
        <w:t>公开招标文件</w:t>
      </w:r>
    </w:p>
    <w:p w14:paraId="205F2058">
      <w:pPr>
        <w:pStyle w:val="25"/>
        <w:spacing w:line="360" w:lineRule="auto"/>
        <w:ind w:left="0" w:leftChars="0"/>
        <w:jc w:val="center"/>
        <w:rPr>
          <w:rFonts w:ascii="楷体" w:hAnsi="楷体" w:eastAsia="楷体" w:cs="楷体"/>
          <w:color w:val="auto"/>
          <w:sz w:val="36"/>
          <w:szCs w:val="36"/>
          <w:highlight w:val="none"/>
        </w:rPr>
      </w:pPr>
      <w:r>
        <w:rPr>
          <w:rFonts w:hint="eastAsia" w:ascii="楷体" w:hAnsi="楷体" w:eastAsia="楷体" w:cs="楷体"/>
          <w:color w:val="auto"/>
          <w:sz w:val="36"/>
          <w:szCs w:val="36"/>
          <w:highlight w:val="none"/>
        </w:rPr>
        <w:t>(项目编号：</w:t>
      </w:r>
      <w:r>
        <w:rPr>
          <w:rFonts w:hint="eastAsia" w:ascii="楷体" w:hAnsi="楷体" w:eastAsia="楷体" w:cs="楷体"/>
          <w:color w:val="auto"/>
          <w:sz w:val="36"/>
          <w:szCs w:val="36"/>
          <w:highlight w:val="none"/>
          <w:lang w:eastAsia="zh-CN"/>
        </w:rPr>
        <w:t>DXZB-2025GPA0029</w:t>
      </w:r>
      <w:r>
        <w:rPr>
          <w:rFonts w:hint="eastAsia" w:ascii="楷体" w:hAnsi="楷体" w:eastAsia="楷体" w:cs="楷体"/>
          <w:color w:val="auto"/>
          <w:sz w:val="36"/>
          <w:szCs w:val="36"/>
          <w:highlight w:val="none"/>
        </w:rPr>
        <w:t>)</w:t>
      </w:r>
    </w:p>
    <w:p w14:paraId="31BBAEE1">
      <w:pPr>
        <w:rPr>
          <w:rFonts w:ascii="楷体" w:hAnsi="楷体" w:eastAsia="楷体" w:cs="楷体"/>
          <w:color w:val="auto"/>
          <w:sz w:val="36"/>
          <w:szCs w:val="36"/>
          <w:highlight w:val="none"/>
        </w:rPr>
      </w:pPr>
    </w:p>
    <w:p w14:paraId="071EAB58">
      <w:pPr>
        <w:rPr>
          <w:rFonts w:ascii="楷体" w:hAnsi="楷体" w:eastAsia="楷体" w:cs="楷体"/>
          <w:color w:val="auto"/>
          <w:sz w:val="36"/>
          <w:szCs w:val="36"/>
          <w:highlight w:val="none"/>
        </w:rPr>
      </w:pPr>
    </w:p>
    <w:p w14:paraId="303C9E0D">
      <w:pPr>
        <w:jc w:val="center"/>
        <w:rPr>
          <w:rFonts w:ascii="楷体" w:hAnsi="楷体" w:eastAsia="楷体" w:cs="楷体"/>
          <w:color w:val="auto"/>
          <w:sz w:val="36"/>
          <w:szCs w:val="36"/>
          <w:highlight w:val="none"/>
        </w:rPr>
      </w:pPr>
      <w:r>
        <w:rPr>
          <w:color w:val="auto"/>
          <w:highlight w:val="none"/>
        </w:rP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2914650" cy="1215390"/>
                    </a:xfrm>
                    <a:prstGeom prst="rect">
                      <a:avLst/>
                    </a:prstGeom>
                    <a:noFill/>
                    <a:ln>
                      <a:noFill/>
                    </a:ln>
                  </pic:spPr>
                </pic:pic>
              </a:graphicData>
            </a:graphic>
          </wp:inline>
        </w:drawing>
      </w:r>
      <w:bookmarkStart w:id="536" w:name="_GoBack"/>
      <w:bookmarkEnd w:id="536"/>
    </w:p>
    <w:p w14:paraId="00AEFCF8">
      <w:pPr>
        <w:rPr>
          <w:rFonts w:ascii="楷体" w:hAnsi="楷体" w:eastAsia="楷体" w:cs="楷体"/>
          <w:color w:val="auto"/>
          <w:sz w:val="36"/>
          <w:szCs w:val="36"/>
          <w:highlight w:val="none"/>
        </w:rPr>
      </w:pPr>
    </w:p>
    <w:p w14:paraId="600EA53A">
      <w:pPr>
        <w:rPr>
          <w:rFonts w:ascii="楷体" w:hAnsi="楷体" w:eastAsia="楷体" w:cs="楷体"/>
          <w:color w:val="auto"/>
          <w:sz w:val="36"/>
          <w:szCs w:val="36"/>
          <w:highlight w:val="none"/>
        </w:rPr>
      </w:pPr>
    </w:p>
    <w:p w14:paraId="5D744744">
      <w:pPr>
        <w:spacing w:line="700" w:lineRule="exact"/>
        <w:jc w:val="center"/>
        <w:rPr>
          <w:rFonts w:ascii="楷体" w:hAnsi="楷体" w:eastAsia="楷体" w:cs="楷体"/>
          <w:color w:val="auto"/>
          <w:sz w:val="48"/>
          <w:szCs w:val="48"/>
          <w:highlight w:val="none"/>
        </w:rPr>
      </w:pPr>
      <w:bookmarkStart w:id="0" w:name="_Toc50736465"/>
      <w:bookmarkStart w:id="1" w:name="_Toc183316708"/>
      <w:bookmarkStart w:id="2" w:name="_Toc50691018"/>
      <w:bookmarkStart w:id="3" w:name="_Toc182886646"/>
      <w:bookmarkStart w:id="4" w:name="_Toc50737285"/>
      <w:bookmarkStart w:id="5" w:name="_Toc50737317"/>
      <w:bookmarkStart w:id="6" w:name="_Toc168288363"/>
      <w:bookmarkStart w:id="7" w:name="_Toc372468299"/>
      <w:bookmarkStart w:id="8" w:name="_Toc423021938"/>
      <w:r>
        <w:rPr>
          <w:rFonts w:hint="eastAsia" w:ascii="楷体" w:hAnsi="楷体" w:eastAsia="楷体" w:cs="楷体"/>
          <w:color w:val="auto"/>
          <w:sz w:val="48"/>
          <w:szCs w:val="48"/>
          <w:highlight w:val="none"/>
        </w:rPr>
        <w:t>广东鼎信招标采购有限公司</w:t>
      </w:r>
    </w:p>
    <w:p w14:paraId="0C83CD33">
      <w:pPr>
        <w:spacing w:line="700" w:lineRule="exact"/>
        <w:jc w:val="center"/>
        <w:rPr>
          <w:rFonts w:ascii="楷体" w:hAnsi="楷体" w:eastAsia="楷体" w:cs="楷体"/>
          <w:color w:val="auto"/>
          <w:highlight w:val="none"/>
        </w:rPr>
      </w:pPr>
      <w:r>
        <w:rPr>
          <w:rFonts w:hint="eastAsia" w:ascii="楷体" w:hAnsi="楷体" w:eastAsia="楷体" w:cs="楷体"/>
          <w:color w:val="auto"/>
          <w:sz w:val="48"/>
          <w:szCs w:val="48"/>
          <w:highlight w:val="none"/>
        </w:rPr>
        <w:t>二〇二</w:t>
      </w:r>
      <w:r>
        <w:rPr>
          <w:rFonts w:hint="eastAsia" w:ascii="楷体" w:hAnsi="楷体" w:eastAsia="楷体" w:cs="楷体"/>
          <w:color w:val="auto"/>
          <w:sz w:val="48"/>
          <w:szCs w:val="48"/>
          <w:highlight w:val="none"/>
          <w:lang w:val="en-US" w:eastAsia="zh-CN"/>
        </w:rPr>
        <w:t>五</w:t>
      </w:r>
      <w:r>
        <w:rPr>
          <w:rFonts w:hint="eastAsia" w:ascii="楷体" w:hAnsi="楷体" w:eastAsia="楷体" w:cs="楷体"/>
          <w:color w:val="auto"/>
          <w:sz w:val="48"/>
          <w:szCs w:val="48"/>
          <w:highlight w:val="none"/>
        </w:rPr>
        <w:t>年</w:t>
      </w:r>
      <w:r>
        <w:rPr>
          <w:rFonts w:hint="eastAsia" w:ascii="楷体" w:hAnsi="楷体" w:eastAsia="楷体" w:cs="楷体"/>
          <w:color w:val="auto"/>
          <w:sz w:val="48"/>
          <w:szCs w:val="48"/>
          <w:highlight w:val="none"/>
          <w:lang w:val="en-US" w:eastAsia="zh-CN"/>
        </w:rPr>
        <w:t>二</w:t>
      </w:r>
      <w:r>
        <w:rPr>
          <w:rFonts w:hint="eastAsia" w:ascii="楷体" w:hAnsi="楷体" w:eastAsia="楷体" w:cs="楷体"/>
          <w:color w:val="auto"/>
          <w:sz w:val="48"/>
          <w:szCs w:val="48"/>
          <w:highlight w:val="none"/>
        </w:rPr>
        <w:t>月</w:t>
      </w:r>
    </w:p>
    <w:p w14:paraId="072F5AE9">
      <w:pPr>
        <w:pStyle w:val="3"/>
        <w:adjustRightInd w:val="0"/>
        <w:snapToGrid w:val="0"/>
        <w:spacing w:before="0" w:after="0" w:line="360" w:lineRule="auto"/>
        <w:jc w:val="center"/>
        <w:rPr>
          <w:rFonts w:ascii="楷体" w:hAnsi="楷体" w:eastAsia="楷体" w:cs="楷体"/>
          <w:color w:val="auto"/>
          <w:highlight w:val="none"/>
        </w:rPr>
        <w:sectPr>
          <w:headerReference r:id="rId3" w:type="first"/>
          <w:footerReference r:id="rId4" w:type="default"/>
          <w:pgSz w:w="11906" w:h="16838"/>
          <w:pgMar w:top="1440" w:right="1800" w:bottom="1440" w:left="1800" w:header="851" w:footer="822" w:gutter="0"/>
          <w:pgNumType w:start="1"/>
          <w:cols w:space="720" w:num="1"/>
          <w:docGrid w:linePitch="312" w:charSpace="0"/>
        </w:sectPr>
      </w:pPr>
      <w:bookmarkStart w:id="9" w:name="_Toc24194"/>
      <w:bookmarkStart w:id="10" w:name="_Toc628"/>
    </w:p>
    <w:p w14:paraId="34BA7519">
      <w:pPr>
        <w:pStyle w:val="3"/>
        <w:adjustRightInd w:val="0"/>
        <w:snapToGrid w:val="0"/>
        <w:spacing w:before="0" w:after="0" w:line="360" w:lineRule="auto"/>
        <w:jc w:val="center"/>
        <w:rPr>
          <w:rFonts w:ascii="楷体" w:hAnsi="楷体" w:eastAsia="楷体" w:cs="楷体"/>
          <w:color w:val="auto"/>
          <w:highlight w:val="none"/>
        </w:rPr>
      </w:pPr>
      <w:bookmarkStart w:id="11" w:name="_Toc2064"/>
      <w:bookmarkStart w:id="12" w:name="_Toc3138"/>
      <w:bookmarkStart w:id="13" w:name="_Toc506125798"/>
      <w:bookmarkStart w:id="14" w:name="_Toc10488236"/>
      <w:bookmarkStart w:id="15" w:name="_Toc26278"/>
      <w:bookmarkStart w:id="16" w:name="_Toc25387"/>
      <w:bookmarkStart w:id="17" w:name="_Toc497396900"/>
      <w:bookmarkStart w:id="18" w:name="_Toc40084128"/>
      <w:bookmarkStart w:id="19" w:name="_Toc20372"/>
      <w:bookmarkStart w:id="20" w:name="_Toc24293"/>
      <w:bookmarkStart w:id="21" w:name="_Toc37318718"/>
      <w:bookmarkStart w:id="22" w:name="_Toc506124737"/>
      <w:bookmarkStart w:id="23" w:name="_Toc17388"/>
      <w:r>
        <w:rPr>
          <w:rFonts w:hint="eastAsia" w:ascii="楷体" w:hAnsi="楷体" w:eastAsia="楷体" w:cs="楷体"/>
          <w:color w:val="auto"/>
          <w:highlight w:val="none"/>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6D9F3A">
      <w:pPr>
        <w:numPr>
          <w:ilvl w:val="0"/>
          <w:numId w:val="2"/>
        </w:numPr>
        <w:spacing w:line="360" w:lineRule="auto"/>
        <w:rPr>
          <w:rFonts w:ascii="楷体" w:hAnsi="楷体" w:eastAsia="楷体" w:cs="楷体"/>
          <w:b/>
          <w:bCs/>
          <w:color w:val="auto"/>
          <w:sz w:val="24"/>
          <w:highlight w:val="none"/>
        </w:rPr>
      </w:pPr>
      <w:r>
        <w:rPr>
          <w:rFonts w:hint="eastAsia" w:ascii="楷体" w:hAnsi="楷体" w:eastAsia="楷体" w:cs="楷体"/>
          <w:color w:val="auto"/>
          <w:sz w:val="24"/>
          <w:highlight w:val="none"/>
        </w:rPr>
        <w:t>本项目为全流程电子化招投标项目。在线注册、发售并下载招标文件，在线制作投标文件及在线开评标。凡有意购买文件的单位，请在www.gddingxin.com电子招标平台界面免费注册。（如有疑问可拨打平台统一服务热线020-83527049或010-86397110进行咨询）。</w:t>
      </w:r>
    </w:p>
    <w:p w14:paraId="7800B3B2">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1DECC57C">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2、未按照招标文件要求签字或签章的电子投标文件为无效投标文件，其投标将被否决。</w:t>
      </w:r>
    </w:p>
    <w:p w14:paraId="1726C630">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3、开标时，请投标人准时登录平台观看开标流程并查看开标结果，招标代理机构将通过平台对成功上传的电子投标文件进行集中解密</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集中解密后，请投标人登录平台对投标报价进行签字确认，逾期不确认，视同认可开标结果</w:t>
      </w:r>
      <w:r>
        <w:rPr>
          <w:rFonts w:hint="eastAsia" w:ascii="楷体" w:hAnsi="楷体" w:eastAsia="楷体" w:cs="楷体"/>
          <w:color w:val="auto"/>
          <w:sz w:val="24"/>
          <w:highlight w:val="none"/>
        </w:rPr>
        <w:t>。</w:t>
      </w:r>
    </w:p>
    <w:p w14:paraId="3A129FD6">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4、逾期上传或者未上传投标文件的，视为无效投标。</w:t>
      </w:r>
    </w:p>
    <w:p w14:paraId="339F4824">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3D3AC9EF">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color w:val="auto"/>
          <w:sz w:val="24"/>
          <w:highlight w:val="none"/>
        </w:rPr>
        <w:t>办理“粤企签”可在多地交易系统通用，详情可微信搜索“粤企签”。</w:t>
      </w:r>
    </w:p>
    <w:p w14:paraId="72782699">
      <w:p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投标人操作步骤如下：</w:t>
      </w:r>
    </w:p>
    <w:p w14:paraId="31CFCAE8">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1 登录www.gddingxin.com电子招标平台按钮进行供应商注册。</w:t>
      </w:r>
    </w:p>
    <w:p w14:paraId="5435B54F">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2 注册完成后，进入系统，点击 “寻找商机”进行项目名称查询，找到项目点击“我要参与”。</w:t>
      </w:r>
    </w:p>
    <w:p w14:paraId="351BFD8F">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3 等待项目经理审核通过后，投标人选中需要投标的包加入购物车进行标书费用支付。</w:t>
      </w:r>
    </w:p>
    <w:p w14:paraId="39CC342C">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4 支付完成后，投标人可以进行招标文件下载。</w:t>
      </w:r>
    </w:p>
    <w:p w14:paraId="618029DC">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5 通过平台中的CA申请，进行CA办理（如有问题可致电平台公司咨询）。</w:t>
      </w:r>
    </w:p>
    <w:p w14:paraId="125F13BE">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6  CA办理完成后，登录平台，下载“环境检测工具”，安装“投标文件客户端”打开招标文件，并按照提示进行逐步填写，生成投标文件，投标文件编辑完成后通过平台进行上传。</w:t>
      </w:r>
    </w:p>
    <w:p w14:paraId="19B9CC8D">
      <w:pPr>
        <w:spacing w:line="360" w:lineRule="auto"/>
        <w:ind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7 评标结束后，可登录系统查看中标结果。</w:t>
      </w:r>
    </w:p>
    <w:p w14:paraId="704ACAE1">
      <w:pPr>
        <w:numPr>
          <w:ilvl w:val="0"/>
          <w:numId w:val="2"/>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购买招标文件或缴交中标服务费的账户：</w:t>
      </w:r>
    </w:p>
    <w:p w14:paraId="48AF7AEC">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账号：44050158050200000686，开户银行：中国建设银行股份有限公司广州石牌支行，收款人：广东鼎信招标采购有限公司</w:t>
      </w:r>
    </w:p>
    <w:p w14:paraId="34C37FC1">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招标文件有“★”的地方为实质性的指标要求，必须一一响应。若有一项带“★”的指标要求未响应或不满足，将按投标无效处理。</w:t>
      </w:r>
    </w:p>
    <w:p w14:paraId="1F43AF24">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请正确填写《开标一览表》，含有包组的投标项目需分开报价，制作投标文件时可分开装订也可统一装订，但都必须密封。</w:t>
      </w:r>
    </w:p>
    <w:p w14:paraId="15D9F717">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请仔细检查《投标函》、《开标一览表》等重要格式文件是否有按要求盖公章或签名。</w:t>
      </w:r>
    </w:p>
    <w:p w14:paraId="621B2E2F">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投标文件应按顺序编制页码。</w:t>
      </w:r>
    </w:p>
    <w:p w14:paraId="0C91339A">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招标文件如允许分公司投标的，需提供具有法人资格的总公司有效的营业执照副本复印件及对被授权人的授权书。</w:t>
      </w:r>
    </w:p>
    <w:p w14:paraId="75B4E6D5">
      <w:pPr>
        <w:numPr>
          <w:ilvl w:val="0"/>
          <w:numId w:val="2"/>
        </w:numPr>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05083073">
      <w:pPr>
        <w:numPr>
          <w:ilvl w:val="0"/>
          <w:numId w:val="2"/>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为了提高采购效率，节约社会交易成本与时间，本司希望购买了采购文件而决定不参加本次投标的投标人，在投标文件递交截止时间的2日前，按《投标邀请函》中的联系方式，以书面形式告知招标代理机构。对您的支持与配合，谨此致谢。</w:t>
      </w:r>
    </w:p>
    <w:p w14:paraId="24707B78">
      <w:pPr>
        <w:spacing w:line="360" w:lineRule="auto"/>
        <w:jc w:val="left"/>
        <w:rPr>
          <w:rFonts w:ascii="楷体" w:hAnsi="楷体" w:eastAsia="楷体" w:cs="楷体"/>
          <w:b/>
          <w:bCs/>
          <w:color w:val="auto"/>
          <w:szCs w:val="21"/>
          <w:highlight w:val="none"/>
        </w:rPr>
      </w:pPr>
      <w:r>
        <w:rPr>
          <w:rFonts w:hint="eastAsia" w:ascii="楷体" w:hAnsi="楷体" w:eastAsia="楷体" w:cs="楷体"/>
          <w:b/>
          <w:bCs/>
          <w:color w:val="auto"/>
          <w:szCs w:val="21"/>
          <w:highlight w:val="none"/>
        </w:rPr>
        <w:t>（本提示非招标文件的组成部分，仅作善意提醒。若与招标文件有不同之处，以招标文件为准。）</w:t>
      </w:r>
    </w:p>
    <w:p w14:paraId="2724CCEB">
      <w:pPr>
        <w:rPr>
          <w:rFonts w:ascii="楷体" w:hAnsi="楷体" w:eastAsia="楷体" w:cs="楷体"/>
          <w:color w:val="auto"/>
          <w:highlight w:val="none"/>
        </w:rPr>
        <w:sectPr>
          <w:headerReference r:id="rId5" w:type="default"/>
          <w:footerReference r:id="rId6" w:type="default"/>
          <w:pgSz w:w="11906" w:h="16838"/>
          <w:pgMar w:top="1440" w:right="1800" w:bottom="1440" w:left="1800" w:header="851" w:footer="822" w:gutter="0"/>
          <w:pgNumType w:start="1"/>
          <w:cols w:space="720" w:num="1"/>
          <w:docGrid w:linePitch="312" w:charSpace="0"/>
        </w:sectPr>
      </w:pPr>
    </w:p>
    <w:p w14:paraId="0105E536">
      <w:pPr>
        <w:pStyle w:val="3"/>
        <w:adjustRightInd w:val="0"/>
        <w:snapToGrid w:val="0"/>
        <w:spacing w:before="0" w:after="0" w:line="360" w:lineRule="auto"/>
        <w:jc w:val="center"/>
        <w:rPr>
          <w:rFonts w:ascii="楷体" w:hAnsi="楷体" w:eastAsia="楷体" w:cs="楷体"/>
          <w:color w:val="auto"/>
          <w:highlight w:val="none"/>
        </w:rPr>
      </w:pPr>
      <w:bookmarkStart w:id="24" w:name="_Toc506125799"/>
      <w:bookmarkStart w:id="25" w:name="_Toc7162"/>
      <w:bookmarkStart w:id="26" w:name="_Toc9520"/>
      <w:bookmarkStart w:id="27" w:name="_Toc10488237"/>
      <w:bookmarkStart w:id="28" w:name="_Toc40084129"/>
      <w:bookmarkStart w:id="29" w:name="_Toc506124738"/>
      <w:bookmarkStart w:id="30" w:name="_Toc37318719"/>
      <w:bookmarkStart w:id="31" w:name="_Toc7915"/>
      <w:bookmarkStart w:id="32" w:name="_Toc26469"/>
      <w:bookmarkStart w:id="33" w:name="_Toc20643"/>
      <w:bookmarkStart w:id="34" w:name="_Toc26380"/>
      <w:bookmarkStart w:id="35" w:name="_Toc11722"/>
      <w:bookmarkStart w:id="36" w:name="_Toc25842"/>
      <w:bookmarkStart w:id="37" w:name="_Toc497396901"/>
      <w:bookmarkStart w:id="38" w:name="_Toc3959"/>
      <w:bookmarkStart w:id="39" w:name="_Toc30057"/>
      <w:r>
        <w:rPr>
          <w:rFonts w:hint="eastAsia" w:ascii="楷体" w:hAnsi="楷体" w:eastAsia="楷体" w:cs="楷体"/>
          <w:color w:val="auto"/>
          <w:highlight w:val="none"/>
        </w:rPr>
        <w:t>目录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62D8C55">
      <w:pPr>
        <w:pStyle w:val="30"/>
        <w:tabs>
          <w:tab w:val="right" w:leader="dot" w:pos="8306"/>
        </w:tabs>
        <w:adjustRightInd w:val="0"/>
        <w:snapToGrid w:val="0"/>
        <w:spacing w:before="0" w:line="360" w:lineRule="auto"/>
        <w:rPr>
          <w:rFonts w:ascii="楷体" w:hAnsi="楷体" w:eastAsia="楷体" w:cs="楷体"/>
          <w:i w:val="0"/>
          <w:color w:val="auto"/>
          <w:highlight w:val="none"/>
        </w:rPr>
      </w:pPr>
      <w:r>
        <w:rPr>
          <w:rFonts w:hint="eastAsia" w:ascii="楷体" w:hAnsi="楷体" w:eastAsia="楷体" w:cs="楷体"/>
          <w:b w:val="0"/>
          <w:bCs w:val="0"/>
          <w:i w:val="0"/>
          <w:color w:val="auto"/>
          <w:highlight w:val="none"/>
        </w:rPr>
        <w:fldChar w:fldCharType="begin"/>
      </w:r>
      <w:r>
        <w:rPr>
          <w:rFonts w:hint="eastAsia" w:ascii="楷体" w:hAnsi="楷体" w:eastAsia="楷体" w:cs="楷体"/>
          <w:b w:val="0"/>
          <w:bCs w:val="0"/>
          <w:i w:val="0"/>
          <w:color w:val="auto"/>
          <w:highlight w:val="none"/>
        </w:rPr>
        <w:instrText xml:space="preserve"> TOC \o "1-3" \h \z \u </w:instrText>
      </w:r>
      <w:r>
        <w:rPr>
          <w:rFonts w:hint="eastAsia" w:ascii="楷体" w:hAnsi="楷体" w:eastAsia="楷体" w:cs="楷体"/>
          <w:b w:val="0"/>
          <w:bCs w:val="0"/>
          <w:i w:val="0"/>
          <w:color w:val="auto"/>
          <w:highlight w:val="none"/>
        </w:rPr>
        <w:fldChar w:fldCharType="separate"/>
      </w:r>
      <w:r>
        <w:rPr>
          <w:color w:val="auto"/>
          <w:highlight w:val="none"/>
        </w:rPr>
        <w:fldChar w:fldCharType="begin"/>
      </w:r>
      <w:r>
        <w:rPr>
          <w:color w:val="auto"/>
          <w:highlight w:val="none"/>
        </w:rPr>
        <w:instrText xml:space="preserve"> HYPERLINK \l "_Toc8175" </w:instrText>
      </w:r>
      <w:r>
        <w:rPr>
          <w:color w:val="auto"/>
          <w:highlight w:val="none"/>
        </w:rPr>
        <w:fldChar w:fldCharType="separate"/>
      </w:r>
      <w:r>
        <w:rPr>
          <w:rFonts w:hint="eastAsia" w:ascii="楷体" w:hAnsi="楷体" w:eastAsia="楷体" w:cs="楷体"/>
          <w:i w:val="0"/>
          <w:color w:val="auto"/>
          <w:highlight w:val="none"/>
        </w:rPr>
        <w:t>第一章投标邀请函</w:t>
      </w:r>
      <w:r>
        <w:rPr>
          <w:rFonts w:hint="eastAsia" w:ascii="楷体" w:hAnsi="楷体" w:eastAsia="楷体" w:cs="楷体"/>
          <w:i w:val="0"/>
          <w:color w:val="auto"/>
          <w:highlight w:val="none"/>
        </w:rPr>
        <w:tab/>
      </w:r>
      <w:r>
        <w:rPr>
          <w:rFonts w:hint="eastAsia" w:ascii="楷体" w:hAnsi="楷体" w:eastAsia="楷体" w:cs="楷体"/>
          <w:i w:val="0"/>
          <w:color w:val="auto"/>
          <w:highlight w:val="none"/>
        </w:rPr>
        <w:fldChar w:fldCharType="begin"/>
      </w:r>
      <w:r>
        <w:rPr>
          <w:rFonts w:hint="eastAsia" w:ascii="楷体" w:hAnsi="楷体" w:eastAsia="楷体" w:cs="楷体"/>
          <w:i w:val="0"/>
          <w:color w:val="auto"/>
          <w:highlight w:val="none"/>
        </w:rPr>
        <w:instrText xml:space="preserve"> PAGEREF _Toc8175 \h </w:instrText>
      </w:r>
      <w:r>
        <w:rPr>
          <w:rFonts w:hint="eastAsia" w:ascii="楷体" w:hAnsi="楷体" w:eastAsia="楷体" w:cs="楷体"/>
          <w:i w:val="0"/>
          <w:color w:val="auto"/>
          <w:highlight w:val="none"/>
        </w:rPr>
        <w:fldChar w:fldCharType="separate"/>
      </w:r>
      <w:r>
        <w:rPr>
          <w:rFonts w:hint="eastAsia" w:ascii="楷体" w:hAnsi="楷体" w:eastAsia="楷体" w:cs="楷体"/>
          <w:i w:val="0"/>
          <w:color w:val="auto"/>
          <w:highlight w:val="none"/>
        </w:rPr>
        <w:t>5</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fldChar w:fldCharType="end"/>
      </w:r>
    </w:p>
    <w:p w14:paraId="54986CD0">
      <w:pPr>
        <w:pStyle w:val="30"/>
        <w:tabs>
          <w:tab w:val="right" w:leader="dot" w:pos="8306"/>
        </w:tabs>
        <w:adjustRightInd w:val="0"/>
        <w:snapToGrid w:val="0"/>
        <w:spacing w:before="0" w:line="360" w:lineRule="auto"/>
        <w:rPr>
          <w:rFonts w:ascii="楷体" w:hAnsi="楷体" w:eastAsia="楷体" w:cs="楷体"/>
          <w:i w:val="0"/>
          <w:color w:val="auto"/>
          <w:highlight w:val="none"/>
        </w:rPr>
      </w:pPr>
      <w:r>
        <w:rPr>
          <w:color w:val="auto"/>
          <w:highlight w:val="none"/>
        </w:rPr>
        <w:fldChar w:fldCharType="begin"/>
      </w:r>
      <w:r>
        <w:rPr>
          <w:color w:val="auto"/>
          <w:highlight w:val="none"/>
        </w:rPr>
        <w:instrText xml:space="preserve"> HYPERLINK \l "_Toc9532" </w:instrText>
      </w:r>
      <w:r>
        <w:rPr>
          <w:color w:val="auto"/>
          <w:highlight w:val="none"/>
        </w:rPr>
        <w:fldChar w:fldCharType="separate"/>
      </w:r>
      <w:r>
        <w:rPr>
          <w:rFonts w:hint="eastAsia" w:ascii="楷体" w:hAnsi="楷体" w:eastAsia="楷体" w:cs="楷体"/>
          <w:i w:val="0"/>
          <w:color w:val="auto"/>
          <w:kern w:val="44"/>
          <w:highlight w:val="none"/>
        </w:rPr>
        <w:t>第二章投标人须知</w:t>
      </w:r>
      <w:r>
        <w:rPr>
          <w:rFonts w:hint="eastAsia" w:ascii="楷体" w:hAnsi="楷体" w:eastAsia="楷体" w:cs="楷体"/>
          <w:i w:val="0"/>
          <w:color w:val="auto"/>
          <w:highlight w:val="none"/>
        </w:rPr>
        <w:tab/>
      </w:r>
      <w:r>
        <w:rPr>
          <w:rFonts w:hint="eastAsia" w:ascii="楷体" w:hAnsi="楷体" w:eastAsia="楷体" w:cs="楷体"/>
          <w:i w:val="0"/>
          <w:color w:val="auto"/>
          <w:highlight w:val="none"/>
        </w:rPr>
        <w:fldChar w:fldCharType="begin"/>
      </w:r>
      <w:r>
        <w:rPr>
          <w:rFonts w:hint="eastAsia" w:ascii="楷体" w:hAnsi="楷体" w:eastAsia="楷体" w:cs="楷体"/>
          <w:i w:val="0"/>
          <w:color w:val="auto"/>
          <w:highlight w:val="none"/>
        </w:rPr>
        <w:instrText xml:space="preserve"> PAGEREF _Toc9532 \h </w:instrText>
      </w:r>
      <w:r>
        <w:rPr>
          <w:rFonts w:hint="eastAsia" w:ascii="楷体" w:hAnsi="楷体" w:eastAsia="楷体" w:cs="楷体"/>
          <w:i w:val="0"/>
          <w:color w:val="auto"/>
          <w:highlight w:val="none"/>
        </w:rPr>
        <w:fldChar w:fldCharType="separate"/>
      </w:r>
      <w:r>
        <w:rPr>
          <w:rFonts w:hint="eastAsia" w:ascii="楷体" w:hAnsi="楷体" w:eastAsia="楷体" w:cs="楷体"/>
          <w:i w:val="0"/>
          <w:color w:val="auto"/>
          <w:highlight w:val="none"/>
        </w:rPr>
        <w:t>9</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fldChar w:fldCharType="end"/>
      </w:r>
    </w:p>
    <w:p w14:paraId="37D34595">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"_Toc9865" </w:instrText>
      </w:r>
      <w:r>
        <w:rPr>
          <w:color w:val="auto"/>
          <w:highlight w:val="none"/>
        </w:rPr>
        <w:fldChar w:fldCharType="separate"/>
      </w:r>
      <w:r>
        <w:rPr>
          <w:rFonts w:hint="eastAsia" w:ascii="楷体" w:hAnsi="楷体" w:eastAsia="楷体" w:cs="楷体"/>
          <w:iCs/>
          <w:color w:val="auto"/>
          <w:sz w:val="24"/>
          <w:szCs w:val="24"/>
          <w:highlight w:val="none"/>
        </w:rPr>
        <w:t>（一） 总则</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_Toc9865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6107C79F">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"_Toc351" </w:instrText>
      </w:r>
      <w:r>
        <w:rPr>
          <w:color w:val="auto"/>
          <w:highlight w:val="none"/>
        </w:rPr>
        <w:fldChar w:fldCharType="separate"/>
      </w:r>
      <w:r>
        <w:rPr>
          <w:rFonts w:hint="eastAsia" w:ascii="楷体" w:hAnsi="楷体" w:eastAsia="楷体" w:cs="楷体"/>
          <w:iCs/>
          <w:color w:val="auto"/>
          <w:sz w:val="24"/>
          <w:szCs w:val="24"/>
          <w:highlight w:val="none"/>
          <w:lang w:val="zh-CN"/>
        </w:rPr>
        <w:t>1. 招标项目与采购当事人</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_Toc351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41D834FB">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"_Toc27836" </w:instrText>
      </w:r>
      <w:r>
        <w:rPr>
          <w:color w:val="auto"/>
          <w:highlight w:val="none"/>
        </w:rPr>
        <w:fldChar w:fldCharType="separate"/>
      </w:r>
      <w:r>
        <w:rPr>
          <w:rFonts w:hint="eastAsia" w:ascii="楷体" w:hAnsi="楷体" w:eastAsia="楷体" w:cs="楷体"/>
          <w:iCs/>
          <w:color w:val="auto"/>
          <w:sz w:val="24"/>
          <w:szCs w:val="24"/>
          <w:highlight w:val="none"/>
          <w:lang w:val="zh-CN"/>
        </w:rPr>
        <w:t>2. 合格的投标人</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_Toc27836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6F2D1B9A">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"_Toc24118" </w:instrText>
      </w:r>
      <w:r>
        <w:rPr>
          <w:color w:val="auto"/>
          <w:highlight w:val="none"/>
        </w:rPr>
        <w:fldChar w:fldCharType="separate"/>
      </w:r>
      <w:r>
        <w:rPr>
          <w:rFonts w:hint="eastAsia" w:ascii="楷体" w:hAnsi="楷体" w:eastAsia="楷体" w:cs="楷体"/>
          <w:iCs/>
          <w:color w:val="auto"/>
          <w:sz w:val="24"/>
          <w:szCs w:val="24"/>
          <w:highlight w:val="none"/>
          <w:lang w:val="zh-CN"/>
        </w:rPr>
        <w:t>3. 合格的货物、服务</w:t>
      </w:r>
      <w:r>
        <w:rPr>
          <w:rFonts w:hint="eastAsia" w:ascii="楷体" w:hAnsi="楷体" w:eastAsia="楷体" w:cs="楷体"/>
          <w:iCs/>
          <w:color w:val="auto"/>
          <w:sz w:val="24"/>
          <w:szCs w:val="24"/>
          <w:highlight w:val="none"/>
        </w:rPr>
        <w:t>和工程</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_Toc24118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619485CB">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"_Toc14728" </w:instrText>
      </w:r>
      <w:r>
        <w:rPr>
          <w:color w:val="auto"/>
          <w:highlight w:val="none"/>
        </w:rPr>
        <w:fldChar w:fldCharType="separate"/>
      </w:r>
      <w:r>
        <w:rPr>
          <w:rFonts w:hint="eastAsia" w:ascii="楷体" w:hAnsi="楷体" w:eastAsia="楷体" w:cs="楷体"/>
          <w:iCs/>
          <w:color w:val="auto"/>
          <w:sz w:val="24"/>
          <w:szCs w:val="24"/>
          <w:highlight w:val="none"/>
        </w:rPr>
        <w:t>（二） 招标文件</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_Toc14728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13</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2F221940">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"_Toc30977" </w:instrText>
      </w:r>
      <w:r>
        <w:rPr>
          <w:color w:val="auto"/>
          <w:highlight w:val="none"/>
        </w:rPr>
        <w:fldChar w:fldCharType="separate"/>
      </w:r>
      <w:r>
        <w:rPr>
          <w:rFonts w:hint="eastAsia" w:ascii="楷体" w:hAnsi="楷体" w:eastAsia="楷体" w:cs="楷体"/>
          <w:iCs/>
          <w:color w:val="auto"/>
          <w:sz w:val="24"/>
          <w:szCs w:val="24"/>
          <w:highlight w:val="none"/>
          <w:lang w:val="zh-CN"/>
        </w:rPr>
        <w:t>4. 招标文件的编制依据和组成</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_Toc30977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13</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30638484">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"_Toc25656" </w:instrText>
      </w:r>
      <w:r>
        <w:rPr>
          <w:color w:val="auto"/>
          <w:highlight w:val="none"/>
        </w:rPr>
        <w:fldChar w:fldCharType="separate"/>
      </w:r>
      <w:r>
        <w:rPr>
          <w:rFonts w:hint="eastAsia" w:ascii="楷体" w:hAnsi="楷体" w:eastAsia="楷体" w:cs="楷体"/>
          <w:iCs/>
          <w:color w:val="auto"/>
          <w:sz w:val="24"/>
          <w:szCs w:val="24"/>
          <w:highlight w:val="none"/>
          <w:lang w:val="zh-CN"/>
        </w:rPr>
        <w:t>5. 招标文件的澄清和修改</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_Toc25656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14</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1AFA31C2">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"_Toc3032" </w:instrText>
      </w:r>
      <w:r>
        <w:rPr>
          <w:color w:val="auto"/>
          <w:highlight w:val="none"/>
        </w:rPr>
        <w:fldChar w:fldCharType="separate"/>
      </w:r>
      <w:r>
        <w:rPr>
          <w:rFonts w:hint="eastAsia" w:ascii="楷体" w:hAnsi="楷体" w:eastAsia="楷体" w:cs="楷体"/>
          <w:iCs/>
          <w:color w:val="auto"/>
          <w:sz w:val="24"/>
          <w:szCs w:val="24"/>
          <w:highlight w:val="none"/>
          <w:lang w:val="zh-CN"/>
        </w:rPr>
        <w:t>6. 答疑会或踏勘现场</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_Toc3032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14</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1C89384F">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"_Toc26267" </w:instrText>
      </w:r>
      <w:r>
        <w:rPr>
          <w:color w:val="auto"/>
          <w:highlight w:val="none"/>
        </w:rPr>
        <w:fldChar w:fldCharType="separate"/>
      </w:r>
      <w:r>
        <w:rPr>
          <w:rFonts w:hint="eastAsia" w:ascii="楷体" w:hAnsi="楷体" w:eastAsia="楷体" w:cs="楷体"/>
          <w:iCs/>
          <w:color w:val="auto"/>
          <w:sz w:val="24"/>
          <w:szCs w:val="24"/>
          <w:highlight w:val="none"/>
        </w:rPr>
        <w:t>（三） 投标文件的编制</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_Toc26267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15</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7F1EB288">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"_Toc31004" </w:instrText>
      </w:r>
      <w:r>
        <w:rPr>
          <w:color w:val="auto"/>
          <w:highlight w:val="none"/>
        </w:rPr>
        <w:fldChar w:fldCharType="separate"/>
      </w:r>
      <w:r>
        <w:rPr>
          <w:rFonts w:hint="eastAsia" w:ascii="楷体" w:hAnsi="楷体" w:eastAsia="楷体" w:cs="楷体"/>
          <w:iCs/>
          <w:color w:val="auto"/>
          <w:sz w:val="24"/>
          <w:szCs w:val="24"/>
          <w:highlight w:val="none"/>
          <w:lang w:val="zh-CN"/>
        </w:rPr>
        <w:t>7. 投标语言和计量单位</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_Toc31004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15</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202ED2FA">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"_Toc21036" </w:instrText>
      </w:r>
      <w:r>
        <w:rPr>
          <w:color w:val="auto"/>
          <w:highlight w:val="none"/>
        </w:rPr>
        <w:fldChar w:fldCharType="separate"/>
      </w:r>
      <w:r>
        <w:rPr>
          <w:rFonts w:hint="eastAsia" w:ascii="楷体" w:hAnsi="楷体" w:eastAsia="楷体" w:cs="楷体"/>
          <w:iCs/>
          <w:color w:val="auto"/>
          <w:sz w:val="24"/>
          <w:szCs w:val="24"/>
          <w:highlight w:val="none"/>
          <w:lang w:val="zh-CN"/>
        </w:rPr>
        <w:t>8. 投标文件的构成</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_Toc21036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15</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67372E79">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"_Toc27249" </w:instrText>
      </w:r>
      <w:r>
        <w:rPr>
          <w:color w:val="auto"/>
          <w:highlight w:val="none"/>
        </w:rPr>
        <w:fldChar w:fldCharType="separate"/>
      </w:r>
      <w:r>
        <w:rPr>
          <w:rFonts w:hint="eastAsia" w:ascii="楷体" w:hAnsi="楷体" w:eastAsia="楷体" w:cs="楷体"/>
          <w:iCs/>
          <w:color w:val="auto"/>
          <w:sz w:val="24"/>
          <w:szCs w:val="24"/>
          <w:highlight w:val="none"/>
          <w:lang w:val="zh-CN"/>
        </w:rPr>
        <w:t>9. 投标文件编制注意事项</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_Toc27249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15</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3993E80A">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"_Toc30643" </w:instrText>
      </w:r>
      <w:r>
        <w:rPr>
          <w:color w:val="auto"/>
          <w:highlight w:val="none"/>
        </w:rPr>
        <w:fldChar w:fldCharType="separate"/>
      </w:r>
      <w:r>
        <w:rPr>
          <w:rFonts w:hint="eastAsia" w:ascii="楷体" w:hAnsi="楷体" w:eastAsia="楷体" w:cs="楷体"/>
          <w:iCs/>
          <w:color w:val="auto"/>
          <w:sz w:val="24"/>
          <w:szCs w:val="24"/>
          <w:highlight w:val="none"/>
          <w:lang w:val="zh-CN"/>
        </w:rPr>
        <w:t>10. 投标文件的式样和签署</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_Toc30643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16</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5E9284A8">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"_Toc19565" </w:instrText>
      </w:r>
      <w:r>
        <w:rPr>
          <w:color w:val="auto"/>
          <w:highlight w:val="none"/>
        </w:rPr>
        <w:fldChar w:fldCharType="separate"/>
      </w:r>
      <w:r>
        <w:rPr>
          <w:rFonts w:hint="eastAsia" w:ascii="楷体" w:hAnsi="楷体" w:eastAsia="楷体" w:cs="楷体"/>
          <w:iCs/>
          <w:color w:val="auto"/>
          <w:sz w:val="24"/>
          <w:szCs w:val="24"/>
          <w:highlight w:val="none"/>
          <w:lang w:val="zh-CN"/>
        </w:rPr>
        <w:t>11. 投标有效期</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fldChar w:fldCharType="begin"/>
      </w:r>
      <w:r>
        <w:rPr>
          <w:rFonts w:hint="eastAsia" w:ascii="楷体" w:hAnsi="楷体" w:eastAsia="楷体" w:cs="楷体"/>
          <w:iCs/>
          <w:color w:val="auto"/>
          <w:sz w:val="24"/>
          <w:szCs w:val="24"/>
          <w:highlight w:val="none"/>
        </w:rPr>
        <w:instrText xml:space="preserve"> PAGEREF _Toc19565 \h </w:instrText>
      </w:r>
      <w:r>
        <w:rPr>
          <w:rFonts w:hint="eastAsia" w:ascii="楷体" w:hAnsi="楷体" w:eastAsia="楷体" w:cs="楷体"/>
          <w:iCs/>
          <w:color w:val="auto"/>
          <w:sz w:val="24"/>
          <w:szCs w:val="24"/>
          <w:highlight w:val="none"/>
        </w:rPr>
        <w:fldChar w:fldCharType="separate"/>
      </w:r>
      <w:r>
        <w:rPr>
          <w:rFonts w:hint="eastAsia" w:ascii="楷体" w:hAnsi="楷体" w:eastAsia="楷体" w:cs="楷体"/>
          <w:iCs/>
          <w:color w:val="auto"/>
          <w:sz w:val="24"/>
          <w:szCs w:val="24"/>
          <w:highlight w:val="none"/>
        </w:rPr>
        <w:t>16</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fldChar w:fldCharType="end"/>
      </w:r>
    </w:p>
    <w:p w14:paraId="746F673F">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"_Toc7344" </w:instrText>
      </w:r>
      <w:r>
        <w:rPr>
          <w:color w:val="auto"/>
          <w:highlight w:val="none"/>
        </w:rPr>
        <w:fldChar w:fldCharType="separate"/>
      </w:r>
      <w:r>
        <w:rPr>
          <w:rFonts w:hint="eastAsia" w:ascii="楷体" w:hAnsi="楷体" w:eastAsia="楷体" w:cs="楷体"/>
          <w:iCs/>
          <w:color w:val="auto"/>
          <w:sz w:val="24"/>
          <w:szCs w:val="24"/>
          <w:highlight w:val="none"/>
          <w:lang w:val="zh-CN"/>
        </w:rPr>
        <w:t>12. 投标报价</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7</w:t>
      </w:r>
    </w:p>
    <w:p w14:paraId="201B83DD">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"_Toc13512" </w:instrText>
      </w:r>
      <w:r>
        <w:rPr>
          <w:color w:val="auto"/>
          <w:highlight w:val="none"/>
        </w:rPr>
        <w:fldChar w:fldCharType="separate"/>
      </w:r>
      <w:r>
        <w:rPr>
          <w:rFonts w:hint="eastAsia" w:ascii="楷体" w:hAnsi="楷体" w:eastAsia="楷体" w:cs="楷体"/>
          <w:iCs/>
          <w:color w:val="auto"/>
          <w:sz w:val="24"/>
          <w:szCs w:val="24"/>
          <w:highlight w:val="none"/>
          <w:lang w:val="zh-CN"/>
        </w:rPr>
        <w:t>13. 联合体投标</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8</w:t>
      </w:r>
    </w:p>
    <w:p w14:paraId="646A5B70">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"_Toc13641" </w:instrText>
      </w:r>
      <w:r>
        <w:rPr>
          <w:color w:val="auto"/>
          <w:highlight w:val="none"/>
        </w:rPr>
        <w:fldChar w:fldCharType="separate"/>
      </w:r>
      <w:r>
        <w:rPr>
          <w:rFonts w:hint="eastAsia" w:ascii="楷体" w:hAnsi="楷体" w:eastAsia="楷体" w:cs="楷体"/>
          <w:iCs/>
          <w:color w:val="auto"/>
          <w:sz w:val="24"/>
          <w:szCs w:val="24"/>
          <w:highlight w:val="none"/>
          <w:lang w:val="zh-CN"/>
        </w:rPr>
        <w:t>14. 证明投标人合格和资格的文件</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8</w:t>
      </w:r>
    </w:p>
    <w:p w14:paraId="1263C1D4">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"_Toc28442" </w:instrText>
      </w:r>
      <w:r>
        <w:rPr>
          <w:color w:val="auto"/>
          <w:highlight w:val="none"/>
        </w:rPr>
        <w:fldChar w:fldCharType="separate"/>
      </w:r>
      <w:r>
        <w:rPr>
          <w:rFonts w:hint="eastAsia" w:ascii="楷体" w:hAnsi="楷体" w:eastAsia="楷体" w:cs="楷体"/>
          <w:iCs/>
          <w:color w:val="auto"/>
          <w:sz w:val="24"/>
          <w:szCs w:val="24"/>
          <w:highlight w:val="none"/>
          <w:lang w:val="zh-CN"/>
        </w:rPr>
        <w:t>15. 证明</w:t>
      </w:r>
      <w:r>
        <w:rPr>
          <w:rFonts w:hint="eastAsia" w:ascii="楷体" w:hAnsi="楷体" w:eastAsia="楷体" w:cs="楷体"/>
          <w:iCs/>
          <w:color w:val="auto"/>
          <w:sz w:val="24"/>
          <w:szCs w:val="24"/>
          <w:highlight w:val="none"/>
        </w:rPr>
        <w:t>货物、服务和工程</w:t>
      </w:r>
      <w:r>
        <w:rPr>
          <w:rFonts w:hint="eastAsia" w:ascii="楷体" w:hAnsi="楷体" w:eastAsia="楷体" w:cs="楷体"/>
          <w:iCs/>
          <w:color w:val="auto"/>
          <w:sz w:val="24"/>
          <w:szCs w:val="24"/>
          <w:highlight w:val="none"/>
          <w:lang w:val="zh-CN"/>
        </w:rPr>
        <w:t>的合格性和符合招标文件规定的文件</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8</w:t>
      </w:r>
    </w:p>
    <w:p w14:paraId="72ACB97D">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"_Toc3740" </w:instrText>
      </w:r>
      <w:r>
        <w:rPr>
          <w:color w:val="auto"/>
          <w:highlight w:val="none"/>
        </w:rPr>
        <w:fldChar w:fldCharType="separate"/>
      </w:r>
      <w:r>
        <w:rPr>
          <w:rFonts w:hint="eastAsia" w:ascii="楷体" w:hAnsi="楷体" w:eastAsia="楷体" w:cs="楷体"/>
          <w:iCs/>
          <w:color w:val="auto"/>
          <w:sz w:val="24"/>
          <w:szCs w:val="24"/>
          <w:highlight w:val="none"/>
          <w:lang w:val="zh-CN"/>
        </w:rPr>
        <w:t>16. 投标保证金</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9</w:t>
      </w:r>
    </w:p>
    <w:p w14:paraId="7943C38C">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"_Toc3170" </w:instrText>
      </w:r>
      <w:r>
        <w:rPr>
          <w:color w:val="auto"/>
          <w:highlight w:val="none"/>
        </w:rPr>
        <w:fldChar w:fldCharType="separate"/>
      </w:r>
      <w:r>
        <w:rPr>
          <w:rFonts w:hint="eastAsia" w:ascii="楷体" w:hAnsi="楷体" w:eastAsia="楷体" w:cs="楷体"/>
          <w:iCs/>
          <w:color w:val="auto"/>
          <w:sz w:val="24"/>
          <w:szCs w:val="24"/>
          <w:highlight w:val="none"/>
          <w:lang w:val="zh-CN"/>
        </w:rPr>
        <w:t>17. 投标保证金的退还条件</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1</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9</w:t>
      </w:r>
    </w:p>
    <w:p w14:paraId="4F824780">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"_Toc29855" </w:instrText>
      </w:r>
      <w:r>
        <w:rPr>
          <w:color w:val="auto"/>
          <w:highlight w:val="none"/>
        </w:rPr>
        <w:fldChar w:fldCharType="separate"/>
      </w:r>
      <w:r>
        <w:rPr>
          <w:rFonts w:hint="eastAsia" w:ascii="楷体" w:hAnsi="楷体" w:eastAsia="楷体" w:cs="楷体"/>
          <w:iCs/>
          <w:color w:val="auto"/>
          <w:sz w:val="24"/>
          <w:szCs w:val="24"/>
          <w:highlight w:val="none"/>
        </w:rPr>
        <w:t>（四） 投标文件的递交</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0</w:t>
      </w:r>
    </w:p>
    <w:p w14:paraId="2A0D1F7F">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"_Toc29676" </w:instrText>
      </w:r>
      <w:r>
        <w:rPr>
          <w:color w:val="auto"/>
          <w:highlight w:val="none"/>
        </w:rPr>
        <w:fldChar w:fldCharType="separate"/>
      </w:r>
      <w:r>
        <w:rPr>
          <w:rFonts w:hint="eastAsia" w:ascii="楷体" w:hAnsi="楷体" w:eastAsia="楷体" w:cs="楷体"/>
          <w:iCs/>
          <w:color w:val="auto"/>
          <w:sz w:val="24"/>
          <w:szCs w:val="24"/>
          <w:highlight w:val="none"/>
          <w:lang w:val="zh-CN"/>
        </w:rPr>
        <w:t>18. 投标文件的密封和标记</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0</w:t>
      </w:r>
    </w:p>
    <w:p w14:paraId="787554DD">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"_Toc30703" </w:instrText>
      </w:r>
      <w:r>
        <w:rPr>
          <w:color w:val="auto"/>
          <w:highlight w:val="none"/>
        </w:rPr>
        <w:fldChar w:fldCharType="separate"/>
      </w:r>
      <w:r>
        <w:rPr>
          <w:rFonts w:hint="eastAsia" w:ascii="楷体" w:hAnsi="楷体" w:eastAsia="楷体" w:cs="楷体"/>
          <w:iCs/>
          <w:color w:val="auto"/>
          <w:sz w:val="24"/>
          <w:szCs w:val="24"/>
          <w:highlight w:val="none"/>
          <w:lang w:val="zh-CN"/>
        </w:rPr>
        <w:t>19. 投标文件递交要求</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0</w:t>
      </w:r>
    </w:p>
    <w:p w14:paraId="241C325F">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"_Toc10324" </w:instrText>
      </w:r>
      <w:r>
        <w:rPr>
          <w:color w:val="auto"/>
          <w:highlight w:val="none"/>
        </w:rPr>
        <w:fldChar w:fldCharType="separate"/>
      </w:r>
      <w:r>
        <w:rPr>
          <w:rFonts w:hint="eastAsia" w:ascii="楷体" w:hAnsi="楷体" w:eastAsia="楷体" w:cs="楷体"/>
          <w:iCs/>
          <w:color w:val="auto"/>
          <w:sz w:val="24"/>
          <w:szCs w:val="24"/>
          <w:highlight w:val="none"/>
          <w:lang w:val="zh-CN"/>
        </w:rPr>
        <w:t>20. 投标截止</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0</w:t>
      </w:r>
    </w:p>
    <w:p w14:paraId="19070990">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"_Toc23368" </w:instrText>
      </w:r>
      <w:r>
        <w:rPr>
          <w:color w:val="auto"/>
          <w:highlight w:val="none"/>
        </w:rPr>
        <w:fldChar w:fldCharType="separate"/>
      </w:r>
      <w:r>
        <w:rPr>
          <w:rFonts w:hint="eastAsia" w:ascii="楷体" w:hAnsi="楷体" w:eastAsia="楷体" w:cs="楷体"/>
          <w:iCs/>
          <w:color w:val="auto"/>
          <w:sz w:val="24"/>
          <w:szCs w:val="24"/>
          <w:highlight w:val="none"/>
          <w:lang w:val="zh-CN"/>
        </w:rPr>
        <w:t>21. 投标文件的修改和撤回</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0</w:t>
      </w:r>
    </w:p>
    <w:p w14:paraId="3B074212">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"_Toc18872" </w:instrText>
      </w:r>
      <w:r>
        <w:rPr>
          <w:color w:val="auto"/>
          <w:highlight w:val="none"/>
        </w:rPr>
        <w:fldChar w:fldCharType="separate"/>
      </w:r>
      <w:r>
        <w:rPr>
          <w:rFonts w:hint="eastAsia" w:ascii="楷体" w:hAnsi="楷体" w:eastAsia="楷体" w:cs="楷体"/>
          <w:iCs/>
          <w:color w:val="auto"/>
          <w:sz w:val="24"/>
          <w:szCs w:val="24"/>
          <w:highlight w:val="none"/>
        </w:rPr>
        <w:t>（五） 开标与评标</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1</w:t>
      </w:r>
    </w:p>
    <w:p w14:paraId="18FE0DF1">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"_Toc11634" </w:instrText>
      </w:r>
      <w:r>
        <w:rPr>
          <w:color w:val="auto"/>
          <w:highlight w:val="none"/>
        </w:rPr>
        <w:fldChar w:fldCharType="separate"/>
      </w:r>
      <w:r>
        <w:rPr>
          <w:rFonts w:hint="eastAsia" w:ascii="楷体" w:hAnsi="楷体" w:eastAsia="楷体" w:cs="楷体"/>
          <w:iCs/>
          <w:color w:val="auto"/>
          <w:sz w:val="24"/>
          <w:szCs w:val="24"/>
          <w:highlight w:val="none"/>
          <w:lang w:val="zh-CN"/>
        </w:rPr>
        <w:t>22. 开标</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1</w:t>
      </w:r>
    </w:p>
    <w:p w14:paraId="4072A068">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"_Toc26197" </w:instrText>
      </w:r>
      <w:r>
        <w:rPr>
          <w:color w:val="auto"/>
          <w:highlight w:val="none"/>
        </w:rPr>
        <w:fldChar w:fldCharType="separate"/>
      </w:r>
      <w:r>
        <w:rPr>
          <w:rFonts w:hint="eastAsia" w:ascii="楷体" w:hAnsi="楷体" w:eastAsia="楷体" w:cs="楷体"/>
          <w:iCs/>
          <w:color w:val="auto"/>
          <w:sz w:val="24"/>
          <w:szCs w:val="24"/>
          <w:highlight w:val="none"/>
          <w:lang w:val="zh-CN"/>
        </w:rPr>
        <w:t>23. 评标</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1</w:t>
      </w:r>
    </w:p>
    <w:p w14:paraId="3D5EF321">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"_Toc31722" </w:instrText>
      </w:r>
      <w:r>
        <w:rPr>
          <w:color w:val="auto"/>
          <w:highlight w:val="none"/>
        </w:rPr>
        <w:fldChar w:fldCharType="separate"/>
      </w:r>
      <w:r>
        <w:rPr>
          <w:rFonts w:hint="eastAsia" w:ascii="楷体" w:hAnsi="楷体" w:eastAsia="楷体" w:cs="楷体"/>
          <w:iCs/>
          <w:color w:val="auto"/>
          <w:sz w:val="24"/>
          <w:szCs w:val="24"/>
          <w:highlight w:val="none"/>
          <w:lang w:val="zh-CN"/>
        </w:rPr>
        <w:t>24. 定标原则和授标</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2</w:t>
      </w:r>
    </w:p>
    <w:p w14:paraId="26C72648">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"_Toc29982" </w:instrText>
      </w:r>
      <w:r>
        <w:rPr>
          <w:color w:val="auto"/>
          <w:highlight w:val="none"/>
        </w:rPr>
        <w:fldChar w:fldCharType="separate"/>
      </w:r>
      <w:r>
        <w:rPr>
          <w:rFonts w:hint="eastAsia" w:ascii="楷体" w:hAnsi="楷体" w:eastAsia="楷体" w:cs="楷体"/>
          <w:iCs/>
          <w:color w:val="auto"/>
          <w:sz w:val="24"/>
          <w:szCs w:val="24"/>
          <w:highlight w:val="none"/>
          <w:lang w:val="zh-CN"/>
        </w:rPr>
        <w:t>25. 中标通知书</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2</w:t>
      </w:r>
    </w:p>
    <w:p w14:paraId="2564F56A">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"_Toc11160" </w:instrText>
      </w:r>
      <w:r>
        <w:rPr>
          <w:color w:val="auto"/>
          <w:highlight w:val="none"/>
        </w:rPr>
        <w:fldChar w:fldCharType="separate"/>
      </w:r>
      <w:r>
        <w:rPr>
          <w:rFonts w:hint="eastAsia" w:ascii="楷体" w:hAnsi="楷体" w:eastAsia="楷体" w:cs="楷体"/>
          <w:iCs/>
          <w:color w:val="auto"/>
          <w:sz w:val="24"/>
          <w:szCs w:val="24"/>
          <w:highlight w:val="none"/>
        </w:rPr>
        <w:t>（六） 异议及投诉</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3</w:t>
      </w:r>
    </w:p>
    <w:p w14:paraId="29089ACB">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"_Toc29207" </w:instrText>
      </w:r>
      <w:r>
        <w:rPr>
          <w:color w:val="auto"/>
          <w:highlight w:val="none"/>
        </w:rPr>
        <w:fldChar w:fldCharType="separate"/>
      </w:r>
      <w:r>
        <w:rPr>
          <w:rFonts w:hint="eastAsia" w:ascii="楷体" w:hAnsi="楷体" w:eastAsia="楷体" w:cs="楷体"/>
          <w:iCs/>
          <w:color w:val="auto"/>
          <w:sz w:val="24"/>
          <w:szCs w:val="24"/>
          <w:highlight w:val="none"/>
          <w:lang w:val="zh-CN"/>
        </w:rPr>
        <w:t>26. 异议</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3</w:t>
      </w:r>
    </w:p>
    <w:p w14:paraId="6623D642">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"_Toc12355" </w:instrText>
      </w:r>
      <w:r>
        <w:rPr>
          <w:color w:val="auto"/>
          <w:highlight w:val="none"/>
        </w:rPr>
        <w:fldChar w:fldCharType="separate"/>
      </w:r>
      <w:r>
        <w:rPr>
          <w:rFonts w:hint="eastAsia" w:ascii="楷体" w:hAnsi="楷体" w:eastAsia="楷体" w:cs="楷体"/>
          <w:iCs/>
          <w:color w:val="auto"/>
          <w:sz w:val="24"/>
          <w:szCs w:val="24"/>
          <w:highlight w:val="none"/>
          <w:lang w:val="zh-CN"/>
        </w:rPr>
        <w:t>27. 投诉</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3</w:t>
      </w:r>
    </w:p>
    <w:p w14:paraId="42A373BC">
      <w:pPr>
        <w:pStyle w:val="36"/>
        <w:tabs>
          <w:tab w:val="right" w:leader="dot" w:pos="8306"/>
        </w:tabs>
        <w:adjustRightInd w:val="0"/>
        <w:snapToGrid w:val="0"/>
        <w:spacing w:before="0"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"_Toc4726" </w:instrText>
      </w:r>
      <w:r>
        <w:rPr>
          <w:color w:val="auto"/>
          <w:highlight w:val="none"/>
        </w:rPr>
        <w:fldChar w:fldCharType="separate"/>
      </w:r>
      <w:r>
        <w:rPr>
          <w:rFonts w:hint="eastAsia" w:ascii="楷体" w:hAnsi="楷体" w:eastAsia="楷体" w:cs="楷体"/>
          <w:iCs/>
          <w:color w:val="auto"/>
          <w:sz w:val="24"/>
          <w:szCs w:val="24"/>
          <w:highlight w:val="none"/>
        </w:rPr>
        <w:t>（七） 授予合同</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4</w:t>
      </w:r>
    </w:p>
    <w:p w14:paraId="37F5EDEA">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"_Toc24745" </w:instrText>
      </w:r>
      <w:r>
        <w:rPr>
          <w:color w:val="auto"/>
          <w:highlight w:val="none"/>
        </w:rPr>
        <w:fldChar w:fldCharType="separate"/>
      </w:r>
      <w:r>
        <w:rPr>
          <w:rFonts w:hint="eastAsia" w:ascii="楷体" w:hAnsi="楷体" w:eastAsia="楷体" w:cs="楷体"/>
          <w:iCs/>
          <w:color w:val="auto"/>
          <w:sz w:val="24"/>
          <w:szCs w:val="24"/>
          <w:highlight w:val="none"/>
          <w:lang w:val="zh-CN"/>
        </w:rPr>
        <w:t>28. 合同的订立</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4</w:t>
      </w:r>
    </w:p>
    <w:p w14:paraId="6E420257">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"_Toc30424" </w:instrText>
      </w:r>
      <w:r>
        <w:rPr>
          <w:color w:val="auto"/>
          <w:highlight w:val="none"/>
        </w:rPr>
        <w:fldChar w:fldCharType="separate"/>
      </w:r>
      <w:r>
        <w:rPr>
          <w:rFonts w:hint="eastAsia" w:ascii="楷体" w:hAnsi="楷体" w:eastAsia="楷体" w:cs="楷体"/>
          <w:iCs/>
          <w:color w:val="auto"/>
          <w:sz w:val="24"/>
          <w:szCs w:val="24"/>
          <w:highlight w:val="none"/>
          <w:lang w:val="zh-CN"/>
        </w:rPr>
        <w:t>29. 合同的履行</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4</w:t>
      </w:r>
    </w:p>
    <w:p w14:paraId="7B74984D">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"_Toc21610" </w:instrText>
      </w:r>
      <w:r>
        <w:rPr>
          <w:color w:val="auto"/>
          <w:highlight w:val="none"/>
        </w:rPr>
        <w:fldChar w:fldCharType="separate"/>
      </w:r>
      <w:r>
        <w:rPr>
          <w:rFonts w:hint="eastAsia" w:ascii="楷体" w:hAnsi="楷体" w:eastAsia="楷体" w:cs="楷体"/>
          <w:iCs/>
          <w:color w:val="auto"/>
          <w:sz w:val="24"/>
          <w:szCs w:val="24"/>
          <w:highlight w:val="none"/>
          <w:lang w:val="zh-CN"/>
        </w:rPr>
        <w:t>30. 履约保证金</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4</w:t>
      </w:r>
    </w:p>
    <w:p w14:paraId="7265613F">
      <w:pPr>
        <w:pStyle w:val="21"/>
        <w:tabs>
          <w:tab w:val="right" w:leader="dot" w:pos="8306"/>
        </w:tabs>
        <w:adjustRightInd w:val="0"/>
        <w:snapToGrid w:val="0"/>
        <w:spacing w:line="360" w:lineRule="auto"/>
        <w:rPr>
          <w:rFonts w:ascii="楷体" w:hAnsi="楷体" w:eastAsia="楷体" w:cs="楷体"/>
          <w:iCs/>
          <w:color w:val="auto"/>
          <w:sz w:val="24"/>
          <w:szCs w:val="24"/>
          <w:highlight w:val="none"/>
        </w:rPr>
      </w:pPr>
      <w:r>
        <w:rPr>
          <w:color w:val="auto"/>
          <w:highlight w:val="none"/>
        </w:rPr>
        <w:fldChar w:fldCharType="begin"/>
      </w:r>
      <w:r>
        <w:rPr>
          <w:color w:val="auto"/>
          <w:highlight w:val="none"/>
        </w:rPr>
        <w:instrText xml:space="preserve"> HYPERLINK \l "_Toc13320" </w:instrText>
      </w:r>
      <w:r>
        <w:rPr>
          <w:color w:val="auto"/>
          <w:highlight w:val="none"/>
        </w:rPr>
        <w:fldChar w:fldCharType="separate"/>
      </w:r>
      <w:r>
        <w:rPr>
          <w:rFonts w:hint="eastAsia" w:ascii="楷体" w:hAnsi="楷体" w:eastAsia="楷体" w:cs="楷体"/>
          <w:iCs/>
          <w:color w:val="auto"/>
          <w:sz w:val="24"/>
          <w:szCs w:val="24"/>
          <w:highlight w:val="none"/>
          <w:lang w:val="zh-CN"/>
        </w:rPr>
        <w:t>31. 招标代理服务费</w:t>
      </w:r>
      <w:r>
        <w:rPr>
          <w:rFonts w:hint="eastAsia" w:ascii="楷体" w:hAnsi="楷体" w:eastAsia="楷体" w:cs="楷体"/>
          <w:iCs/>
          <w:color w:val="auto"/>
          <w:sz w:val="24"/>
          <w:szCs w:val="24"/>
          <w:highlight w:val="none"/>
        </w:rPr>
        <w:tab/>
      </w:r>
      <w:r>
        <w:rPr>
          <w:rFonts w:hint="eastAsia" w:ascii="楷体" w:hAnsi="楷体" w:eastAsia="楷体" w:cs="楷体"/>
          <w:iCs/>
          <w:color w:val="auto"/>
          <w:sz w:val="24"/>
          <w:szCs w:val="24"/>
          <w:highlight w:val="none"/>
        </w:rPr>
        <w:t>2</w:t>
      </w:r>
      <w:r>
        <w:rPr>
          <w:rFonts w:hint="eastAsia" w:ascii="楷体" w:hAnsi="楷体" w:eastAsia="楷体" w:cs="楷体"/>
          <w:iCs/>
          <w:color w:val="auto"/>
          <w:sz w:val="24"/>
          <w:szCs w:val="24"/>
          <w:highlight w:val="none"/>
        </w:rPr>
        <w:fldChar w:fldCharType="end"/>
      </w:r>
      <w:r>
        <w:rPr>
          <w:rFonts w:hint="eastAsia" w:ascii="楷体" w:hAnsi="楷体" w:eastAsia="楷体" w:cs="楷体"/>
          <w:iCs/>
          <w:color w:val="auto"/>
          <w:sz w:val="24"/>
          <w:szCs w:val="24"/>
          <w:highlight w:val="none"/>
        </w:rPr>
        <w:t>4</w:t>
      </w:r>
    </w:p>
    <w:p w14:paraId="5FF41D50">
      <w:pPr>
        <w:pStyle w:val="30"/>
        <w:tabs>
          <w:tab w:val="right" w:leader="dot" w:pos="8306"/>
        </w:tabs>
        <w:adjustRightInd w:val="0"/>
        <w:snapToGrid w:val="0"/>
        <w:spacing w:before="0" w:line="360" w:lineRule="auto"/>
        <w:rPr>
          <w:rFonts w:ascii="楷体" w:hAnsi="楷体" w:eastAsia="楷体" w:cs="楷体"/>
          <w:i w:val="0"/>
          <w:color w:val="auto"/>
          <w:highlight w:val="none"/>
        </w:rPr>
      </w:pPr>
      <w:r>
        <w:rPr>
          <w:color w:val="auto"/>
          <w:highlight w:val="none"/>
        </w:rPr>
        <w:fldChar w:fldCharType="begin"/>
      </w:r>
      <w:r>
        <w:rPr>
          <w:color w:val="auto"/>
          <w:highlight w:val="none"/>
        </w:rPr>
        <w:instrText xml:space="preserve"> HYPERLINK \l "_Toc25119" </w:instrText>
      </w:r>
      <w:r>
        <w:rPr>
          <w:color w:val="auto"/>
          <w:highlight w:val="none"/>
        </w:rPr>
        <w:fldChar w:fldCharType="separate"/>
      </w:r>
      <w:r>
        <w:rPr>
          <w:rFonts w:hint="eastAsia" w:ascii="楷体" w:hAnsi="楷体" w:eastAsia="楷体" w:cs="楷体"/>
          <w:i w:val="0"/>
          <w:color w:val="auto"/>
          <w:highlight w:val="none"/>
        </w:rPr>
        <w:t>第三章评分体系与标准</w:t>
      </w:r>
      <w:r>
        <w:rPr>
          <w:rFonts w:hint="eastAsia" w:ascii="楷体" w:hAnsi="楷体" w:eastAsia="楷体" w:cs="楷体"/>
          <w:i w:val="0"/>
          <w:color w:val="auto"/>
          <w:highlight w:val="none"/>
        </w:rPr>
        <w:tab/>
      </w:r>
      <w:r>
        <w:rPr>
          <w:rFonts w:hint="eastAsia" w:ascii="楷体" w:hAnsi="楷体" w:eastAsia="楷体" w:cs="楷体"/>
          <w:i w:val="0"/>
          <w:color w:val="auto"/>
          <w:highlight w:val="none"/>
        </w:rPr>
        <w:t>2</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t>5</w:t>
      </w:r>
    </w:p>
    <w:p w14:paraId="3577479E">
      <w:pPr>
        <w:pStyle w:val="30"/>
        <w:tabs>
          <w:tab w:val="right" w:leader="dot" w:pos="8306"/>
        </w:tabs>
        <w:adjustRightInd w:val="0"/>
        <w:snapToGrid w:val="0"/>
        <w:spacing w:before="0" w:line="360" w:lineRule="auto"/>
        <w:rPr>
          <w:rFonts w:ascii="楷体" w:hAnsi="楷体" w:eastAsia="楷体" w:cs="楷体"/>
          <w:i w:val="0"/>
          <w:color w:val="auto"/>
          <w:highlight w:val="none"/>
        </w:rPr>
      </w:pPr>
      <w:r>
        <w:rPr>
          <w:color w:val="auto"/>
          <w:highlight w:val="none"/>
        </w:rPr>
        <w:fldChar w:fldCharType="begin"/>
      </w:r>
      <w:r>
        <w:rPr>
          <w:color w:val="auto"/>
          <w:highlight w:val="none"/>
        </w:rPr>
        <w:instrText xml:space="preserve"> HYPERLINK \l "_Toc13713" </w:instrText>
      </w:r>
      <w:r>
        <w:rPr>
          <w:color w:val="auto"/>
          <w:highlight w:val="none"/>
        </w:rPr>
        <w:fldChar w:fldCharType="separate"/>
      </w:r>
      <w:r>
        <w:rPr>
          <w:rFonts w:hint="eastAsia" w:ascii="楷体" w:hAnsi="楷体" w:eastAsia="楷体" w:cs="楷体"/>
          <w:i w:val="0"/>
          <w:color w:val="auto"/>
          <w:highlight w:val="none"/>
        </w:rPr>
        <w:t>第四章用户需求书</w:t>
      </w:r>
      <w:r>
        <w:rPr>
          <w:rFonts w:hint="eastAsia" w:ascii="楷体" w:hAnsi="楷体" w:eastAsia="楷体" w:cs="楷体"/>
          <w:i w:val="0"/>
          <w:color w:val="auto"/>
          <w:highlight w:val="none"/>
        </w:rPr>
        <w:tab/>
      </w:r>
      <w:r>
        <w:rPr>
          <w:rFonts w:hint="eastAsia" w:ascii="楷体" w:hAnsi="楷体" w:eastAsia="楷体" w:cs="楷体"/>
          <w:i w:val="0"/>
          <w:color w:val="auto"/>
          <w:highlight w:val="none"/>
        </w:rPr>
        <w:t>3</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t>6</w:t>
      </w:r>
    </w:p>
    <w:p w14:paraId="3B1E9D18">
      <w:pPr>
        <w:pStyle w:val="30"/>
        <w:tabs>
          <w:tab w:val="right" w:leader="dot" w:pos="8306"/>
        </w:tabs>
        <w:adjustRightInd w:val="0"/>
        <w:snapToGrid w:val="0"/>
        <w:spacing w:before="0" w:line="360" w:lineRule="auto"/>
        <w:rPr>
          <w:rFonts w:ascii="楷体" w:hAnsi="楷体" w:eastAsia="楷体" w:cs="楷体"/>
          <w:i w:val="0"/>
          <w:color w:val="auto"/>
          <w:highlight w:val="none"/>
        </w:rPr>
      </w:pPr>
      <w:r>
        <w:rPr>
          <w:color w:val="auto"/>
          <w:highlight w:val="none"/>
        </w:rPr>
        <w:fldChar w:fldCharType="begin"/>
      </w:r>
      <w:r>
        <w:rPr>
          <w:color w:val="auto"/>
          <w:highlight w:val="none"/>
        </w:rPr>
        <w:instrText xml:space="preserve"> HYPERLINK \l "_Toc29518" </w:instrText>
      </w:r>
      <w:r>
        <w:rPr>
          <w:color w:val="auto"/>
          <w:highlight w:val="none"/>
        </w:rPr>
        <w:fldChar w:fldCharType="separate"/>
      </w:r>
      <w:r>
        <w:rPr>
          <w:rFonts w:hint="eastAsia" w:ascii="楷体" w:hAnsi="楷体" w:eastAsia="楷体" w:cs="楷体"/>
          <w:i w:val="0"/>
          <w:color w:val="auto"/>
          <w:highlight w:val="none"/>
        </w:rPr>
        <w:t>第五章合同格式</w:t>
      </w:r>
      <w:r>
        <w:rPr>
          <w:rFonts w:hint="eastAsia" w:ascii="楷体" w:hAnsi="楷体" w:eastAsia="楷体" w:cs="楷体"/>
          <w:i w:val="0"/>
          <w:color w:val="auto"/>
          <w:highlight w:val="none"/>
        </w:rPr>
        <w:tab/>
      </w:r>
      <w:r>
        <w:rPr>
          <w:rFonts w:hint="eastAsia" w:ascii="楷体" w:hAnsi="楷体" w:eastAsia="楷体" w:cs="楷体"/>
          <w:i w:val="0"/>
          <w:color w:val="auto"/>
          <w:highlight w:val="none"/>
        </w:rPr>
        <w:t>4</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t>8</w:t>
      </w:r>
    </w:p>
    <w:p w14:paraId="233D2C6F">
      <w:pPr>
        <w:pStyle w:val="30"/>
        <w:tabs>
          <w:tab w:val="right" w:leader="dot" w:pos="8306"/>
        </w:tabs>
        <w:adjustRightInd w:val="0"/>
        <w:snapToGrid w:val="0"/>
        <w:spacing w:before="0" w:line="360" w:lineRule="auto"/>
        <w:rPr>
          <w:rFonts w:ascii="楷体" w:hAnsi="楷体" w:eastAsia="楷体" w:cs="楷体"/>
          <w:i w:val="0"/>
          <w:color w:val="auto"/>
          <w:highlight w:val="none"/>
        </w:rPr>
      </w:pPr>
      <w:r>
        <w:rPr>
          <w:color w:val="auto"/>
          <w:highlight w:val="none"/>
        </w:rPr>
        <w:fldChar w:fldCharType="begin"/>
      </w:r>
      <w:r>
        <w:rPr>
          <w:color w:val="auto"/>
          <w:highlight w:val="none"/>
        </w:rPr>
        <w:instrText xml:space="preserve"> HYPERLINK \l "_Toc17613" </w:instrText>
      </w:r>
      <w:r>
        <w:rPr>
          <w:color w:val="auto"/>
          <w:highlight w:val="none"/>
        </w:rPr>
        <w:fldChar w:fldCharType="separate"/>
      </w:r>
      <w:r>
        <w:rPr>
          <w:rFonts w:hint="eastAsia" w:ascii="楷体" w:hAnsi="楷体" w:eastAsia="楷体" w:cs="楷体"/>
          <w:i w:val="0"/>
          <w:color w:val="auto"/>
          <w:highlight w:val="none"/>
        </w:rPr>
        <w:t>第六章投标文件格式</w:t>
      </w:r>
      <w:r>
        <w:rPr>
          <w:rFonts w:hint="eastAsia" w:ascii="楷体" w:hAnsi="楷体" w:eastAsia="楷体" w:cs="楷体"/>
          <w:i w:val="0"/>
          <w:color w:val="auto"/>
          <w:highlight w:val="none"/>
        </w:rPr>
        <w:tab/>
      </w:r>
      <w:r>
        <w:rPr>
          <w:rFonts w:hint="eastAsia" w:ascii="楷体" w:hAnsi="楷体" w:eastAsia="楷体" w:cs="楷体"/>
          <w:i w:val="0"/>
          <w:color w:val="auto"/>
          <w:highlight w:val="none"/>
        </w:rPr>
        <w:t>6</w:t>
      </w:r>
      <w:r>
        <w:rPr>
          <w:rFonts w:hint="eastAsia" w:ascii="楷体" w:hAnsi="楷体" w:eastAsia="楷体" w:cs="楷体"/>
          <w:i w:val="0"/>
          <w:color w:val="auto"/>
          <w:highlight w:val="none"/>
        </w:rPr>
        <w:fldChar w:fldCharType="end"/>
      </w:r>
      <w:r>
        <w:rPr>
          <w:rFonts w:hint="eastAsia" w:ascii="楷体" w:hAnsi="楷体" w:eastAsia="楷体" w:cs="楷体"/>
          <w:i w:val="0"/>
          <w:color w:val="auto"/>
          <w:highlight w:val="none"/>
        </w:rPr>
        <w:t>0</w:t>
      </w:r>
    </w:p>
    <w:p w14:paraId="590D3A79">
      <w:pPr>
        <w:adjustRightInd w:val="0"/>
        <w:snapToGrid w:val="0"/>
        <w:spacing w:line="360" w:lineRule="auto"/>
        <w:rPr>
          <w:rFonts w:ascii="楷体" w:hAnsi="楷体" w:eastAsia="楷体" w:cs="楷体"/>
          <w:color w:val="auto"/>
          <w:highlight w:val="none"/>
        </w:rPr>
      </w:pPr>
      <w:r>
        <w:rPr>
          <w:rFonts w:hint="eastAsia" w:ascii="楷体" w:hAnsi="楷体" w:eastAsia="楷体" w:cs="楷体"/>
          <w:iCs/>
          <w:color w:val="auto"/>
          <w:sz w:val="24"/>
          <w:highlight w:val="none"/>
        </w:rPr>
        <w:fldChar w:fldCharType="end"/>
      </w:r>
      <w:r>
        <w:rPr>
          <w:rFonts w:hint="eastAsia" w:ascii="楷体" w:hAnsi="楷体" w:eastAsia="楷体" w:cs="楷体"/>
          <w:iCs/>
          <w:color w:val="auto"/>
          <w:szCs w:val="21"/>
          <w:highlight w:val="none"/>
        </w:rPr>
        <w:br w:type="page"/>
      </w:r>
      <w:bookmarkStart w:id="40" w:name="_Toc27984"/>
    </w:p>
    <w:p w14:paraId="73B96CB7">
      <w:pPr>
        <w:pStyle w:val="35"/>
        <w:rPr>
          <w:rFonts w:ascii="楷体" w:hAnsi="楷体" w:eastAsia="楷体" w:cs="楷体"/>
          <w:color w:val="auto"/>
          <w:highlight w:val="none"/>
        </w:rPr>
      </w:pPr>
    </w:p>
    <w:p w14:paraId="5D98D62A">
      <w:pPr>
        <w:pStyle w:val="35"/>
        <w:rPr>
          <w:rFonts w:ascii="楷体" w:hAnsi="楷体" w:eastAsia="楷体" w:cs="楷体"/>
          <w:color w:val="auto"/>
          <w:highlight w:val="none"/>
        </w:rPr>
      </w:pPr>
    </w:p>
    <w:p w14:paraId="3D3F48EA">
      <w:pPr>
        <w:pStyle w:val="35"/>
        <w:rPr>
          <w:rFonts w:ascii="楷体" w:hAnsi="楷体" w:eastAsia="楷体" w:cs="楷体"/>
          <w:color w:val="auto"/>
          <w:highlight w:val="none"/>
        </w:rPr>
      </w:pPr>
    </w:p>
    <w:p w14:paraId="100635FE">
      <w:pPr>
        <w:pStyle w:val="35"/>
        <w:rPr>
          <w:rFonts w:ascii="楷体" w:hAnsi="楷体" w:eastAsia="楷体" w:cs="楷体"/>
          <w:color w:val="auto"/>
          <w:highlight w:val="none"/>
        </w:rPr>
      </w:pPr>
    </w:p>
    <w:p w14:paraId="2C0A0579">
      <w:pPr>
        <w:pStyle w:val="35"/>
        <w:rPr>
          <w:rFonts w:ascii="楷体" w:hAnsi="楷体" w:eastAsia="楷体" w:cs="楷体"/>
          <w:color w:val="auto"/>
          <w:highlight w:val="none"/>
        </w:rPr>
      </w:pPr>
    </w:p>
    <w:p w14:paraId="7C47F8F9">
      <w:pPr>
        <w:pStyle w:val="35"/>
        <w:rPr>
          <w:rFonts w:ascii="楷体" w:hAnsi="楷体" w:eastAsia="楷体" w:cs="楷体"/>
          <w:color w:val="auto"/>
          <w:highlight w:val="none"/>
        </w:rPr>
      </w:pPr>
    </w:p>
    <w:p w14:paraId="512318B8">
      <w:pPr>
        <w:pStyle w:val="35"/>
        <w:rPr>
          <w:rFonts w:ascii="楷体" w:hAnsi="楷体" w:eastAsia="楷体" w:cs="楷体"/>
          <w:color w:val="auto"/>
          <w:highlight w:val="none"/>
        </w:rPr>
      </w:pPr>
    </w:p>
    <w:p w14:paraId="0329078F">
      <w:pPr>
        <w:pStyle w:val="35"/>
        <w:rPr>
          <w:rFonts w:ascii="楷体" w:hAnsi="楷体" w:eastAsia="楷体" w:cs="楷体"/>
          <w:color w:val="auto"/>
          <w:highlight w:val="none"/>
        </w:rPr>
      </w:pPr>
    </w:p>
    <w:p w14:paraId="08CFEBB2">
      <w:pPr>
        <w:pStyle w:val="35"/>
        <w:rPr>
          <w:rFonts w:ascii="楷体" w:hAnsi="楷体" w:eastAsia="楷体" w:cs="楷体"/>
          <w:color w:val="auto"/>
          <w:highlight w:val="none"/>
        </w:rPr>
      </w:pPr>
    </w:p>
    <w:p w14:paraId="05C1C6AF">
      <w:pPr>
        <w:pStyle w:val="35"/>
        <w:rPr>
          <w:rFonts w:ascii="楷体" w:hAnsi="楷体" w:eastAsia="楷体" w:cs="楷体"/>
          <w:color w:val="auto"/>
          <w:highlight w:val="none"/>
        </w:rPr>
      </w:pPr>
    </w:p>
    <w:p w14:paraId="6C6EC61C">
      <w:pPr>
        <w:pStyle w:val="35"/>
        <w:rPr>
          <w:rFonts w:ascii="楷体" w:hAnsi="楷体" w:eastAsia="楷体" w:cs="楷体"/>
          <w:color w:val="auto"/>
          <w:highlight w:val="none"/>
        </w:rPr>
      </w:pPr>
    </w:p>
    <w:p w14:paraId="118C0855">
      <w:pPr>
        <w:pStyle w:val="35"/>
        <w:rPr>
          <w:rFonts w:ascii="楷体" w:hAnsi="楷体" w:eastAsia="楷体" w:cs="楷体"/>
          <w:color w:val="auto"/>
          <w:highlight w:val="none"/>
        </w:rPr>
      </w:pPr>
    </w:p>
    <w:p w14:paraId="6B0C8F33">
      <w:pPr>
        <w:pStyle w:val="35"/>
        <w:rPr>
          <w:rFonts w:ascii="楷体" w:hAnsi="楷体" w:eastAsia="楷体" w:cs="楷体"/>
          <w:color w:val="auto"/>
          <w:highlight w:val="none"/>
        </w:rPr>
      </w:pPr>
    </w:p>
    <w:p w14:paraId="0A39259C">
      <w:pPr>
        <w:pStyle w:val="35"/>
        <w:rPr>
          <w:rFonts w:ascii="楷体" w:hAnsi="楷体" w:eastAsia="楷体" w:cs="楷体"/>
          <w:color w:val="auto"/>
          <w:highlight w:val="none"/>
        </w:rPr>
      </w:pPr>
    </w:p>
    <w:p w14:paraId="0159487E">
      <w:pPr>
        <w:pStyle w:val="35"/>
        <w:rPr>
          <w:rFonts w:ascii="楷体" w:hAnsi="楷体" w:eastAsia="楷体" w:cs="楷体"/>
          <w:color w:val="auto"/>
          <w:highlight w:val="none"/>
        </w:rPr>
      </w:pPr>
    </w:p>
    <w:p w14:paraId="4DC94BDD">
      <w:pPr>
        <w:pStyle w:val="3"/>
        <w:jc w:val="center"/>
        <w:rPr>
          <w:rFonts w:ascii="楷体" w:hAnsi="楷体" w:eastAsia="楷体" w:cs="楷体"/>
          <w:color w:val="auto"/>
          <w:highlight w:val="none"/>
        </w:rPr>
      </w:pPr>
      <w:bookmarkStart w:id="41" w:name="_Toc23117"/>
      <w:bookmarkStart w:id="42" w:name="_Toc23625"/>
      <w:bookmarkStart w:id="43" w:name="_Toc8175"/>
      <w:bookmarkStart w:id="44" w:name="_Toc21441"/>
      <w:r>
        <w:rPr>
          <w:rFonts w:hint="eastAsia" w:ascii="楷体" w:hAnsi="楷体" w:eastAsia="楷体" w:cs="楷体"/>
          <w:color w:val="auto"/>
          <w:highlight w:val="none"/>
        </w:rPr>
        <w:t>第一章</w:t>
      </w:r>
      <w:bookmarkEnd w:id="0"/>
      <w:bookmarkEnd w:id="1"/>
      <w:bookmarkEnd w:id="2"/>
      <w:bookmarkEnd w:id="3"/>
      <w:bookmarkEnd w:id="4"/>
      <w:bookmarkEnd w:id="5"/>
      <w:bookmarkEnd w:id="6"/>
      <w:bookmarkEnd w:id="7"/>
      <w:r>
        <w:rPr>
          <w:rFonts w:hint="eastAsia" w:ascii="楷体" w:hAnsi="楷体" w:eastAsia="楷体" w:cs="楷体"/>
          <w:color w:val="auto"/>
          <w:highlight w:val="none"/>
        </w:rPr>
        <w:t>投标邀请函</w:t>
      </w:r>
      <w:bookmarkEnd w:id="8"/>
      <w:bookmarkEnd w:id="40"/>
      <w:bookmarkEnd w:id="41"/>
      <w:bookmarkEnd w:id="42"/>
      <w:bookmarkEnd w:id="43"/>
      <w:bookmarkEnd w:id="44"/>
    </w:p>
    <w:p w14:paraId="1507B6E5">
      <w:pPr>
        <w:spacing w:afterLines="50"/>
        <w:jc w:val="center"/>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br w:type="page"/>
      </w:r>
      <w:r>
        <w:rPr>
          <w:rFonts w:hint="eastAsia" w:ascii="楷体" w:hAnsi="楷体" w:eastAsia="楷体" w:cs="楷体"/>
          <w:b/>
          <w:bCs/>
          <w:color w:val="auto"/>
          <w:sz w:val="32"/>
          <w:szCs w:val="32"/>
          <w:highlight w:val="none"/>
        </w:rPr>
        <w:t>投标邀请函</w:t>
      </w:r>
    </w:p>
    <w:p w14:paraId="5F79BC0C">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广东鼎信招标采购有限公司受</w:t>
      </w:r>
      <w:r>
        <w:rPr>
          <w:rFonts w:hint="eastAsia" w:ascii="楷体" w:hAnsi="楷体" w:eastAsia="楷体" w:cs="楷体"/>
          <w:color w:val="auto"/>
          <w:sz w:val="24"/>
          <w:highlight w:val="none"/>
          <w:lang w:eastAsia="zh-CN"/>
        </w:rPr>
        <w:t>广东烟草清远市有限公司</w:t>
      </w:r>
      <w:r>
        <w:rPr>
          <w:rFonts w:hint="eastAsia" w:ascii="楷体" w:hAnsi="楷体" w:eastAsia="楷体" w:cs="楷体"/>
          <w:color w:val="auto"/>
          <w:sz w:val="24"/>
          <w:highlight w:val="none"/>
        </w:rPr>
        <w:t>的委托，就</w:t>
      </w:r>
      <w:r>
        <w:rPr>
          <w:rFonts w:hint="eastAsia" w:ascii="楷体" w:hAnsi="楷体" w:eastAsia="楷体" w:cs="楷体"/>
          <w:color w:val="auto"/>
          <w:sz w:val="24"/>
          <w:highlight w:val="none"/>
          <w:lang w:eastAsia="zh-CN"/>
        </w:rPr>
        <w:t>广东烟草清远市有限公司卷烟物流配送中心易地技术改造项目雷击风险评估项目</w:t>
      </w:r>
      <w:r>
        <w:rPr>
          <w:rFonts w:hint="eastAsia" w:ascii="楷体" w:hAnsi="楷体" w:eastAsia="楷体" w:cs="楷体"/>
          <w:color w:val="auto"/>
          <w:sz w:val="24"/>
          <w:highlight w:val="none"/>
        </w:rPr>
        <w:t>进行公开招标采购，欢迎符合资格条件的供应商（服务商）投标。</w:t>
      </w:r>
    </w:p>
    <w:p w14:paraId="5F8DDEFE">
      <w:pPr>
        <w:numPr>
          <w:ilvl w:val="0"/>
          <w:numId w:val="3"/>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项目编号：</w:t>
      </w:r>
      <w:r>
        <w:rPr>
          <w:rFonts w:hint="eastAsia" w:ascii="楷体" w:hAnsi="楷体" w:eastAsia="楷体" w:cs="楷体"/>
          <w:color w:val="auto"/>
          <w:sz w:val="24"/>
          <w:highlight w:val="none"/>
          <w:lang w:eastAsia="zh-CN"/>
        </w:rPr>
        <w:t>DXZB-2025GPA0029</w:t>
      </w:r>
    </w:p>
    <w:p w14:paraId="725F3DB2">
      <w:pPr>
        <w:numPr>
          <w:ilvl w:val="0"/>
          <w:numId w:val="3"/>
        </w:numPr>
        <w:adjustRightInd w:val="0"/>
        <w:snapToGrid w:val="0"/>
        <w:spacing w:line="360" w:lineRule="auto"/>
        <w:ind w:left="2100" w:leftChars="200" w:hanging="1680"/>
        <w:rPr>
          <w:rFonts w:ascii="楷体" w:hAnsi="楷体" w:eastAsia="楷体" w:cs="楷体"/>
          <w:color w:val="auto"/>
          <w:sz w:val="24"/>
          <w:highlight w:val="none"/>
        </w:rPr>
      </w:pPr>
      <w:r>
        <w:rPr>
          <w:rFonts w:hint="eastAsia" w:ascii="楷体" w:hAnsi="楷体" w:eastAsia="楷体" w:cs="楷体"/>
          <w:color w:val="auto"/>
          <w:sz w:val="24"/>
          <w:highlight w:val="none"/>
        </w:rPr>
        <w:t>项目名称：</w:t>
      </w:r>
      <w:r>
        <w:rPr>
          <w:rFonts w:hint="eastAsia" w:ascii="楷体" w:hAnsi="楷体" w:eastAsia="楷体" w:cs="楷体"/>
          <w:color w:val="auto"/>
          <w:sz w:val="24"/>
          <w:highlight w:val="none"/>
          <w:lang w:eastAsia="zh-CN"/>
        </w:rPr>
        <w:t>广东烟草清远市有限公司卷烟物流配送中心易地技术改造项目雷击风险评估项目</w:t>
      </w:r>
    </w:p>
    <w:p w14:paraId="11AFDBC4">
      <w:pPr>
        <w:numPr>
          <w:ilvl w:val="0"/>
          <w:numId w:val="3"/>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项目内容及需求：</w:t>
      </w:r>
    </w:p>
    <w:p w14:paraId="57AC69A9">
      <w:pPr>
        <w:numPr>
          <w:ilvl w:val="0"/>
          <w:numId w:val="4"/>
        </w:numPr>
        <w:tabs>
          <w:tab w:val="left" w:pos="840"/>
          <w:tab w:val="left" w:pos="108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项目内容：</w:t>
      </w:r>
    </w:p>
    <w:tbl>
      <w:tblPr>
        <w:tblStyle w:val="44"/>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603"/>
        <w:gridCol w:w="3442"/>
      </w:tblGrid>
      <w:tr w14:paraId="34C2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339" w:type="pct"/>
            <w:shd w:val="clear" w:color="auto" w:fill="EEECE1"/>
            <w:vAlign w:val="center"/>
          </w:tcPr>
          <w:p w14:paraId="0A127577">
            <w:pPr>
              <w:spacing w:line="240" w:lineRule="auto"/>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招标内容</w:t>
            </w:r>
          </w:p>
        </w:tc>
        <w:tc>
          <w:tcPr>
            <w:tcW w:w="1576" w:type="pct"/>
            <w:shd w:val="clear" w:color="auto" w:fill="EEECE1"/>
            <w:vAlign w:val="center"/>
          </w:tcPr>
          <w:p w14:paraId="701A3F4C">
            <w:pPr>
              <w:spacing w:line="240" w:lineRule="auto"/>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最高限价</w:t>
            </w:r>
          </w:p>
        </w:tc>
        <w:tc>
          <w:tcPr>
            <w:tcW w:w="2084" w:type="pct"/>
            <w:shd w:val="clear" w:color="auto" w:fill="EEECE1"/>
            <w:vAlign w:val="center"/>
          </w:tcPr>
          <w:p w14:paraId="373B79AB">
            <w:pPr>
              <w:spacing w:line="240" w:lineRule="auto"/>
              <w:jc w:val="center"/>
              <w:rPr>
                <w:rFonts w:hint="eastAsia" w:ascii="楷体" w:hAnsi="楷体" w:eastAsia="楷体" w:cs="楷体"/>
                <w:b/>
                <w:color w:val="auto"/>
                <w:sz w:val="24"/>
                <w:highlight w:val="none"/>
                <w:lang w:eastAsia="zh-CN"/>
              </w:rPr>
            </w:pPr>
            <w:r>
              <w:rPr>
                <w:rFonts w:hint="eastAsia" w:ascii="楷体" w:hAnsi="楷体" w:eastAsia="楷体" w:cs="楷体"/>
                <w:b/>
                <w:color w:val="auto"/>
                <w:sz w:val="24"/>
                <w:highlight w:val="none"/>
                <w:lang w:eastAsia="zh-CN"/>
              </w:rPr>
              <w:t>服务期限</w:t>
            </w:r>
          </w:p>
        </w:tc>
      </w:tr>
      <w:tr w14:paraId="27F2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339" w:type="pct"/>
            <w:vAlign w:val="center"/>
          </w:tcPr>
          <w:p w14:paraId="76248363">
            <w:pPr>
              <w:jc w:val="center"/>
              <w:rPr>
                <w:rFonts w:ascii="楷体" w:hAnsi="楷体" w:eastAsia="楷体" w:cs="楷体"/>
                <w:color w:val="auto"/>
                <w:sz w:val="24"/>
                <w:highlight w:val="none"/>
              </w:rPr>
            </w:pPr>
            <w:r>
              <w:rPr>
                <w:rFonts w:hint="eastAsia" w:ascii="楷体" w:hAnsi="楷体" w:eastAsia="楷体" w:cs="楷体"/>
                <w:color w:val="auto"/>
                <w:sz w:val="24"/>
                <w:highlight w:val="none"/>
                <w:lang w:eastAsia="zh-CN"/>
              </w:rPr>
              <w:t>雷击风险评估</w:t>
            </w:r>
          </w:p>
        </w:tc>
        <w:tc>
          <w:tcPr>
            <w:tcW w:w="1576" w:type="pct"/>
            <w:vAlign w:val="center"/>
          </w:tcPr>
          <w:p w14:paraId="300CAAF5">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人民币（</w:t>
            </w:r>
            <w:r>
              <w:rPr>
                <w:rFonts w:hint="eastAsia" w:ascii="楷体" w:hAnsi="楷体" w:eastAsia="楷体" w:cs="楷体"/>
                <w:color w:val="auto"/>
                <w:sz w:val="24"/>
                <w:highlight w:val="none"/>
                <w:lang w:val="en-US" w:eastAsia="zh-CN"/>
              </w:rPr>
              <w:t>含税</w:t>
            </w:r>
            <w:r>
              <w:rPr>
                <w:rFonts w:hint="eastAsia" w:ascii="楷体" w:hAnsi="楷体" w:eastAsia="楷体" w:cs="楷体"/>
                <w:color w:val="auto"/>
                <w:sz w:val="24"/>
                <w:highlight w:val="none"/>
                <w:lang w:eastAsia="zh-CN"/>
              </w:rPr>
              <w:t>）20.96万元</w:t>
            </w:r>
          </w:p>
        </w:tc>
        <w:tc>
          <w:tcPr>
            <w:tcW w:w="2084" w:type="pct"/>
            <w:vAlign w:val="center"/>
          </w:tcPr>
          <w:p w14:paraId="299E1728">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合同生效之日起20个工作日内完成本项目所有内容，并通过招标人验收。</w:t>
            </w:r>
          </w:p>
        </w:tc>
      </w:tr>
    </w:tbl>
    <w:p w14:paraId="4402D8D4">
      <w:pPr>
        <w:numPr>
          <w:ilvl w:val="0"/>
          <w:numId w:val="4"/>
        </w:numPr>
        <w:tabs>
          <w:tab w:val="left" w:pos="1092"/>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采购项目技术规格及要求：详见本招标文件《用户需求书》。</w:t>
      </w:r>
    </w:p>
    <w:p w14:paraId="3D45F3C5">
      <w:pPr>
        <w:numPr>
          <w:ilvl w:val="0"/>
          <w:numId w:val="4"/>
        </w:numPr>
        <w:tabs>
          <w:tab w:val="left" w:pos="1092"/>
        </w:tabs>
        <w:adjustRightInd w:val="0"/>
        <w:snapToGrid w:val="0"/>
        <w:spacing w:line="360" w:lineRule="auto"/>
        <w:rPr>
          <w:rFonts w:ascii="楷体" w:hAnsi="楷体" w:eastAsia="楷体" w:cs="楷体"/>
          <w:iCs/>
          <w:color w:val="auto"/>
          <w:sz w:val="24"/>
          <w:highlight w:val="none"/>
        </w:rPr>
      </w:pPr>
      <w:r>
        <w:rPr>
          <w:rFonts w:hint="eastAsia" w:ascii="楷体" w:hAnsi="楷体" w:eastAsia="楷体" w:cs="楷体"/>
          <w:iCs/>
          <w:color w:val="auto"/>
          <w:sz w:val="24"/>
          <w:highlight w:val="none"/>
        </w:rPr>
        <w:t>本项目为一个整体，投标人须对全部内容进行投标，不得分拆。</w:t>
      </w:r>
    </w:p>
    <w:p w14:paraId="180D260C">
      <w:pPr>
        <w:numPr>
          <w:ilvl w:val="0"/>
          <w:numId w:val="3"/>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供应商（服务商）资格：</w:t>
      </w:r>
    </w:p>
    <w:p w14:paraId="73722AA5">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1.投标人</w:t>
      </w:r>
      <w:r>
        <w:rPr>
          <w:rFonts w:hint="eastAsia" w:ascii="楷体" w:hAnsi="楷体" w:eastAsia="楷体" w:cs="楷体"/>
          <w:color w:val="auto"/>
          <w:sz w:val="24"/>
          <w:highlight w:val="none"/>
          <w:lang w:eastAsia="zh-CN"/>
        </w:rPr>
        <w:t>是具有独立承担民事责任能力的在中华人民共和国境内注册的法人或其他组织或自然人（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r>
        <w:rPr>
          <w:rFonts w:hint="eastAsia" w:ascii="楷体" w:hAnsi="楷体" w:eastAsia="楷体" w:cs="楷体"/>
          <w:color w:val="auto"/>
          <w:sz w:val="24"/>
          <w:highlight w:val="none"/>
        </w:rPr>
        <w:t>。</w:t>
      </w:r>
    </w:p>
    <w:p w14:paraId="0241D81F">
      <w:pPr>
        <w:adjustRightInd w:val="0"/>
        <w:snapToGrid w:val="0"/>
        <w:spacing w:line="360" w:lineRule="auto"/>
        <w:ind w:firstLine="480" w:firstLineChars="200"/>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2</w:t>
      </w: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lang w:val="en-US" w:eastAsia="zh-CN"/>
        </w:rPr>
        <w:t>具备履行合同所必需的专业技术能力</w:t>
      </w:r>
      <w:r>
        <w:rPr>
          <w:rFonts w:hint="eastAsia" w:ascii="楷体" w:hAnsi="楷体" w:eastAsia="楷体" w:cs="楷体"/>
          <w:color w:val="auto"/>
          <w:sz w:val="24"/>
          <w:highlight w:val="none"/>
        </w:rPr>
        <w:t>（提供</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关于资格的声明函</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w:t>
      </w:r>
    </w:p>
    <w:p w14:paraId="42AF5671">
      <w:pPr>
        <w:adjustRightInd w:val="0"/>
        <w:snapToGrid w:val="0"/>
        <w:spacing w:line="360" w:lineRule="auto"/>
        <w:ind w:firstLine="480" w:firstLineChars="20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3.</w:t>
      </w: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lang w:val="en-US" w:eastAsia="zh-CN"/>
        </w:rPr>
        <w:t>参加招标活动前3年内，在经营活动中没有重大违法记录</w:t>
      </w:r>
      <w:r>
        <w:rPr>
          <w:rFonts w:hint="eastAsia" w:ascii="楷体" w:hAnsi="楷体" w:eastAsia="楷体" w:cs="楷体"/>
          <w:color w:val="auto"/>
          <w:sz w:val="24"/>
          <w:highlight w:val="none"/>
        </w:rPr>
        <w:t>（提供</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关于资格的声明函</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w:t>
      </w:r>
    </w:p>
    <w:p w14:paraId="07962F69">
      <w:pPr>
        <w:adjustRightInd w:val="0"/>
        <w:snapToGrid w:val="0"/>
        <w:spacing w:line="360" w:lineRule="auto"/>
        <w:ind w:firstLine="480" w:firstLineChars="20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4.符合法律、行政法规规定的其他条件</w:t>
      </w:r>
      <w:r>
        <w:rPr>
          <w:rFonts w:hint="eastAsia" w:ascii="楷体" w:hAnsi="楷体" w:eastAsia="楷体" w:cs="楷体"/>
          <w:color w:val="auto"/>
          <w:sz w:val="24"/>
          <w:highlight w:val="none"/>
        </w:rPr>
        <w:t>（提供</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关于资格的声明函</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w:t>
      </w:r>
    </w:p>
    <w:p w14:paraId="5718164C">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lang w:val="en-US" w:eastAsia="zh-CN"/>
        </w:rPr>
        <w:t>未被列入“中国执行信息公开网”（zxgk.court.gov.cn）、“信用中国”网站(www.creditchina.gov.cn)“记录失信被执行人、重大税收违法失信主体、政府采购严重违法失信行为”记录名单；未被列入国家企业信用信息公示系统(http://www.gsxt.gov.cn/index.html)“严重违法失信企业名单”以及相关行政处罚信息（以招标代理机构于投标截止日当天在“中国执行信息公开网”、“信用中国”网站及国家企业信用信息公示系统查询结果为准，如相关失信记录已失效，</w:t>
      </w: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lang w:val="en-US" w:eastAsia="zh-CN"/>
        </w:rPr>
        <w:t>需提供相关证明资料。提供网上查询结果打印件；如查询无记录则提供查询无记录页面打印件)</w:t>
      </w:r>
    </w:p>
    <w:p w14:paraId="1BE837B1">
      <w:pPr>
        <w:widowControl/>
        <w:adjustRightInd w:val="0"/>
        <w:snapToGrid w:val="0"/>
        <w:spacing w:line="360" w:lineRule="auto"/>
        <w:ind w:firstLine="480" w:firstLineChars="200"/>
        <w:jc w:val="left"/>
        <w:rPr>
          <w:rFonts w:ascii="楷体" w:hAnsi="楷体" w:eastAsia="楷体" w:cs="楷体"/>
          <w:color w:val="auto"/>
          <w:highlight w:val="none"/>
        </w:rPr>
      </w:pP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投标人及其法定代表人、主要负责人或实际控制人、拟委任的项目负责人参加本次招投标活动前3年内（公司成立不足三年的从成立起计算）不得有行贿行为记录，提供无行贿行为记录的书面承诺（加盖公章）。投标人须通过“中国裁判文书网”（网址：http://wenshu.court.gov.cn/）查询相关刑事判决书、刑事裁定书等。如投标人提供虚假材料，招标人有权拒绝其投标、取消其中标资格、解除已签订的合同并追究相关责任。（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以招标代理机构于投标截止日当天查询为准）。</w:t>
      </w:r>
    </w:p>
    <w:p w14:paraId="32E82EDF">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7</w:t>
      </w:r>
      <w:r>
        <w:rPr>
          <w:rFonts w:hint="eastAsia" w:ascii="楷体" w:hAnsi="楷体" w:eastAsia="楷体" w:cs="楷体"/>
          <w:color w:val="auto"/>
          <w:sz w:val="24"/>
          <w:highlight w:val="none"/>
        </w:rPr>
        <w:t>.根据烟草行业对存在行贿行为供应商的管理要求，向行业内干部职工行贿，被列入存在行贿行为供应商名单且在禁入期内的投标人，不得参加本次投标（以招标人提供的名单为准）。</w:t>
      </w:r>
    </w:p>
    <w:p w14:paraId="2AE62DC5">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 单位负责人为同一人或者存在直接控股、管理关系的不同供应商，不得参加同一合同项下的采购活动（提供</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关于资格的声明函</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w:t>
      </w:r>
    </w:p>
    <w:p w14:paraId="20C731AE">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9</w:t>
      </w:r>
      <w:r>
        <w:rPr>
          <w:rFonts w:hint="eastAsia" w:ascii="楷体" w:hAnsi="楷体" w:eastAsia="楷体" w:cs="楷体"/>
          <w:color w:val="auto"/>
          <w:sz w:val="24"/>
          <w:highlight w:val="none"/>
        </w:rPr>
        <w:t>. 本项目不接受联合体投标（提供</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lang w:val="en-US" w:eastAsia="zh-CN"/>
        </w:rPr>
        <w:t>关于资格的声明函</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w:t>
      </w:r>
    </w:p>
    <w:p w14:paraId="7EBB3924">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10</w:t>
      </w:r>
      <w:r>
        <w:rPr>
          <w:rFonts w:hint="eastAsia" w:ascii="楷体" w:hAnsi="楷体" w:eastAsia="楷体" w:cs="楷体"/>
          <w:color w:val="auto"/>
          <w:sz w:val="24"/>
          <w:highlight w:val="none"/>
        </w:rPr>
        <w:t>. 已成功获取本次招标文件。</w:t>
      </w:r>
    </w:p>
    <w:p w14:paraId="38D02793">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备注：</w:t>
      </w:r>
    </w:p>
    <w:p w14:paraId="11527C85">
      <w:pPr>
        <w:numPr>
          <w:ilvl w:val="0"/>
          <w:numId w:val="5"/>
        </w:numPr>
        <w:adjustRightInd w:val="0"/>
        <w:snapToGrid w:val="0"/>
        <w:spacing w:line="360" w:lineRule="auto"/>
        <w:ind w:left="0" w:firstLine="482" w:firstLineChars="200"/>
        <w:rPr>
          <w:rFonts w:ascii="楷体" w:hAnsi="楷体" w:eastAsia="楷体" w:cs="楷体"/>
          <w:b/>
          <w:color w:val="auto"/>
          <w:sz w:val="24"/>
          <w:highlight w:val="none"/>
        </w:rPr>
      </w:pPr>
      <w:r>
        <w:rPr>
          <w:rFonts w:hint="eastAsia" w:ascii="楷体" w:hAnsi="楷体" w:eastAsia="楷体" w:cs="楷体"/>
          <w:b/>
          <w:color w:val="auto"/>
          <w:sz w:val="24"/>
          <w:highlight w:val="none"/>
        </w:rPr>
        <w:t>请投标人凭</w:t>
      </w:r>
      <w:r>
        <w:rPr>
          <w:rFonts w:hint="eastAsia" w:ascii="楷体" w:hAnsi="楷体" w:eastAsia="楷体" w:cs="楷体"/>
          <w:b/>
          <w:color w:val="auto"/>
          <w:sz w:val="24"/>
          <w:highlight w:val="none"/>
          <w:u w:val="double"/>
        </w:rPr>
        <w:t>《文件售卖登记表》（招标代理机构网站—首页下载）</w:t>
      </w:r>
      <w:r>
        <w:rPr>
          <w:rFonts w:hint="eastAsia" w:ascii="楷体" w:hAnsi="楷体" w:eastAsia="楷体" w:cs="楷体"/>
          <w:b/>
          <w:color w:val="auto"/>
          <w:sz w:val="24"/>
          <w:highlight w:val="none"/>
        </w:rPr>
        <w:t>加盖公司公章至招标代理机构处现场领购招标文件。</w:t>
      </w:r>
    </w:p>
    <w:p w14:paraId="1483F0B7">
      <w:pPr>
        <w:numPr>
          <w:ilvl w:val="0"/>
          <w:numId w:val="5"/>
        </w:numPr>
        <w:adjustRightInd w:val="0"/>
        <w:snapToGrid w:val="0"/>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招标文件发售：500元/套，线上领购招标文件者，请将资料扫描件上传至平台，经招标代理机构工作人员确认后进行购标。在任何情况下招标代理机构对邮寄过程中发生的迟交或遗失均不承担责任。</w:t>
      </w:r>
    </w:p>
    <w:p w14:paraId="0309A03F">
      <w:pPr>
        <w:numPr>
          <w:ilvl w:val="0"/>
          <w:numId w:val="5"/>
        </w:numPr>
        <w:adjustRightInd w:val="0"/>
        <w:snapToGrid w:val="0"/>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购买招标文件账户信息（招标代理机构只接受以投标人名义的汇款，不接受个人的汇款及其它款项）：</w:t>
      </w:r>
    </w:p>
    <w:p w14:paraId="6E014AF6">
      <w:pPr>
        <w:numPr>
          <w:ilvl w:val="0"/>
          <w:numId w:val="6"/>
        </w:numPr>
        <w:adjustRightInd w:val="0"/>
        <w:snapToGrid w:val="0"/>
        <w:spacing w:line="360" w:lineRule="auto"/>
        <w:ind w:left="0" w:firstLine="480" w:firstLineChars="200"/>
        <w:rPr>
          <w:rFonts w:ascii="楷体" w:hAnsi="楷体" w:eastAsia="楷体" w:cs="楷体"/>
          <w:bCs/>
          <w:color w:val="auto"/>
          <w:sz w:val="24"/>
          <w:highlight w:val="none"/>
        </w:rPr>
      </w:pPr>
      <w:r>
        <w:rPr>
          <w:rFonts w:hint="eastAsia" w:ascii="楷体" w:hAnsi="楷体" w:eastAsia="楷体" w:cs="楷体"/>
          <w:bCs/>
          <w:color w:val="auto"/>
          <w:sz w:val="24"/>
          <w:highlight w:val="none"/>
        </w:rPr>
        <w:t>开户银行名称：中国建设银行股份有限公司广州石牌支行</w:t>
      </w:r>
    </w:p>
    <w:p w14:paraId="14875C0C">
      <w:pPr>
        <w:numPr>
          <w:ilvl w:val="0"/>
          <w:numId w:val="6"/>
        </w:numPr>
        <w:adjustRightInd w:val="0"/>
        <w:snapToGrid w:val="0"/>
        <w:spacing w:line="360" w:lineRule="auto"/>
        <w:ind w:left="0" w:firstLine="480" w:firstLineChars="200"/>
        <w:rPr>
          <w:rFonts w:ascii="楷体" w:hAnsi="楷体" w:eastAsia="楷体" w:cs="楷体"/>
          <w:bCs/>
          <w:color w:val="auto"/>
          <w:sz w:val="24"/>
          <w:highlight w:val="none"/>
        </w:rPr>
      </w:pPr>
      <w:r>
        <w:rPr>
          <w:rFonts w:hint="eastAsia" w:ascii="楷体" w:hAnsi="楷体" w:eastAsia="楷体" w:cs="楷体"/>
          <w:bCs/>
          <w:color w:val="auto"/>
          <w:sz w:val="24"/>
          <w:highlight w:val="none"/>
        </w:rPr>
        <w:t>单位名称：</w:t>
      </w:r>
      <w:r>
        <w:rPr>
          <w:rFonts w:hint="eastAsia" w:ascii="楷体" w:hAnsi="楷体" w:eastAsia="楷体" w:cs="楷体"/>
          <w:color w:val="auto"/>
          <w:sz w:val="24"/>
          <w:highlight w:val="none"/>
        </w:rPr>
        <w:t>广东鼎信招标采购有限公司</w:t>
      </w:r>
    </w:p>
    <w:p w14:paraId="19E513E5">
      <w:pPr>
        <w:numPr>
          <w:ilvl w:val="0"/>
          <w:numId w:val="6"/>
        </w:numPr>
        <w:adjustRightInd w:val="0"/>
        <w:snapToGrid w:val="0"/>
        <w:spacing w:line="360" w:lineRule="auto"/>
        <w:ind w:left="0" w:firstLine="480" w:firstLineChars="200"/>
        <w:rPr>
          <w:rFonts w:ascii="楷体" w:hAnsi="楷体" w:eastAsia="楷体" w:cs="楷体"/>
          <w:bCs/>
          <w:color w:val="auto"/>
          <w:sz w:val="24"/>
          <w:highlight w:val="none"/>
        </w:rPr>
      </w:pPr>
      <w:r>
        <w:rPr>
          <w:rFonts w:hint="eastAsia" w:ascii="楷体" w:hAnsi="楷体" w:eastAsia="楷体" w:cs="楷体"/>
          <w:bCs/>
          <w:color w:val="auto"/>
          <w:sz w:val="24"/>
          <w:highlight w:val="none"/>
        </w:rPr>
        <w:t xml:space="preserve">账号：44050158050200000686 </w:t>
      </w:r>
    </w:p>
    <w:p w14:paraId="7BF140F4">
      <w:pPr>
        <w:numPr>
          <w:ilvl w:val="0"/>
          <w:numId w:val="5"/>
        </w:numPr>
        <w:adjustRightInd w:val="0"/>
        <w:snapToGrid w:val="0"/>
        <w:spacing w:line="360" w:lineRule="auto"/>
        <w:ind w:left="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招标代理机构网址：www.gddingxin.com</w:t>
      </w:r>
    </w:p>
    <w:p w14:paraId="396E135F">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符合资格的供应商（服务商</w:t>
      </w:r>
      <w:r>
        <w:rPr>
          <w:rFonts w:hint="eastAsia" w:ascii="楷体" w:hAnsi="楷体" w:eastAsia="楷体" w:cs="楷体"/>
          <w:color w:val="auto"/>
          <w:sz w:val="24"/>
          <w:highlight w:val="none"/>
        </w:rPr>
        <w:t>）应当在202</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lang w:val="en-US" w:eastAsia="zh-CN"/>
        </w:rPr>
        <w:t>02</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lang w:val="en-US" w:eastAsia="zh-CN"/>
        </w:rPr>
        <w:t>26</w:t>
      </w:r>
      <w:r>
        <w:rPr>
          <w:rFonts w:hint="eastAsia" w:ascii="楷体" w:hAnsi="楷体" w:eastAsia="楷体" w:cs="楷体"/>
          <w:color w:val="auto"/>
          <w:sz w:val="24"/>
          <w:highlight w:val="none"/>
        </w:rPr>
        <w:t>日至202</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lang w:val="en-US" w:eastAsia="zh-CN"/>
        </w:rPr>
        <w:t>03</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lang w:val="en-US" w:eastAsia="zh-CN"/>
        </w:rPr>
        <w:t>04</w:t>
      </w:r>
      <w:r>
        <w:rPr>
          <w:rFonts w:hint="eastAsia" w:ascii="楷体" w:hAnsi="楷体" w:eastAsia="楷体" w:cs="楷体"/>
          <w:color w:val="auto"/>
          <w:sz w:val="24"/>
          <w:highlight w:val="none"/>
        </w:rPr>
        <w:t>日期间（上午09:00至12:00,下午14:30至17:30，法定节假日除外）领购招标文件，招标文件每套售价500元/套（人民币），售后不退。</w:t>
      </w:r>
    </w:p>
    <w:p w14:paraId="0AB858AF">
      <w:pPr>
        <w:pStyle w:val="7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领购方式：</w:t>
      </w:r>
    </w:p>
    <w:p w14:paraId="3C3E2AB4">
      <w:pPr>
        <w:pStyle w:val="35"/>
        <w:adjustRightInd w:val="0"/>
        <w:snapToGrid w:val="0"/>
        <w:spacing w:after="0" w:line="360" w:lineRule="auto"/>
        <w:ind w:left="0" w:leftChars="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①现场领购：广东鼎信招标采购有限公司（详细地址：广州市越秀区东风东路699号广东港澳中心402室）</w:t>
      </w:r>
    </w:p>
    <w:p w14:paraId="0DA543E4">
      <w:pPr>
        <w:pStyle w:val="35"/>
        <w:adjustRightInd w:val="0"/>
        <w:snapToGrid w:val="0"/>
        <w:spacing w:after="0" w:line="360" w:lineRule="auto"/>
        <w:ind w:left="0" w:leftChars="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②线上领购：打开www.gddingxin.com电子招标平台供应商入口，登录平台进行领购或将报名资料扫描件发至</w:t>
      </w:r>
      <w:r>
        <w:rPr>
          <w:rFonts w:hint="eastAsia" w:ascii="楷体" w:hAnsi="楷体" w:eastAsia="楷体" w:cs="楷体"/>
          <w:color w:val="auto"/>
          <w:sz w:val="24"/>
          <w:szCs w:val="24"/>
          <w:highlight w:val="none"/>
        </w:rPr>
        <w:t>招标</w:t>
      </w:r>
      <w:r>
        <w:rPr>
          <w:rFonts w:hint="eastAsia" w:ascii="楷体" w:hAnsi="楷体" w:eastAsia="楷体" w:cs="楷体"/>
          <w:color w:val="auto"/>
          <w:sz w:val="24"/>
          <w:highlight w:val="none"/>
        </w:rPr>
        <w:t>代理机构邮箱（E－mail：GDdingxin@163.com），经</w:t>
      </w:r>
      <w:r>
        <w:rPr>
          <w:rFonts w:hint="eastAsia" w:ascii="楷体" w:hAnsi="楷体" w:eastAsia="楷体" w:cs="楷体"/>
          <w:color w:val="auto"/>
          <w:sz w:val="24"/>
          <w:szCs w:val="24"/>
          <w:highlight w:val="none"/>
        </w:rPr>
        <w:t>招标</w:t>
      </w:r>
      <w:r>
        <w:rPr>
          <w:rFonts w:hint="eastAsia" w:ascii="楷体" w:hAnsi="楷体" w:eastAsia="楷体" w:cs="楷体"/>
          <w:color w:val="auto"/>
          <w:sz w:val="24"/>
          <w:highlight w:val="none"/>
        </w:rPr>
        <w:t>代理机构工作人员确认后办理相关手续。</w:t>
      </w:r>
    </w:p>
    <w:p w14:paraId="252CB392">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投标截止时间：202</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lang w:val="en-US" w:eastAsia="zh-CN"/>
        </w:rPr>
        <w:t>03</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lang w:val="en-US" w:eastAsia="zh-CN"/>
        </w:rPr>
        <w:t>18</w:t>
      </w:r>
      <w:r>
        <w:rPr>
          <w:rFonts w:hint="eastAsia" w:ascii="楷体" w:hAnsi="楷体" w:eastAsia="楷体" w:cs="楷体"/>
          <w:color w:val="auto"/>
          <w:sz w:val="24"/>
          <w:highlight w:val="none"/>
        </w:rPr>
        <w:t>日</w:t>
      </w:r>
      <w:r>
        <w:rPr>
          <w:rFonts w:hint="eastAsia" w:ascii="楷体" w:hAnsi="楷体" w:eastAsia="楷体" w:cs="楷体"/>
          <w:color w:val="auto"/>
          <w:sz w:val="24"/>
          <w:highlight w:val="none"/>
          <w:lang w:val="en-US" w:eastAsia="zh-CN"/>
        </w:rPr>
        <w:t>14</w:t>
      </w:r>
      <w:r>
        <w:rPr>
          <w:rFonts w:hint="eastAsia" w:ascii="楷体" w:hAnsi="楷体" w:eastAsia="楷体" w:cs="楷体"/>
          <w:color w:val="auto"/>
          <w:sz w:val="24"/>
          <w:highlight w:val="none"/>
        </w:rPr>
        <w:t>时</w:t>
      </w:r>
      <w:r>
        <w:rPr>
          <w:rFonts w:hint="eastAsia" w:ascii="楷体" w:hAnsi="楷体" w:eastAsia="楷体" w:cs="楷体"/>
          <w:color w:val="auto"/>
          <w:sz w:val="24"/>
          <w:highlight w:val="none"/>
          <w:lang w:val="en-US" w:eastAsia="zh-CN"/>
        </w:rPr>
        <w:t>30</w:t>
      </w:r>
      <w:r>
        <w:rPr>
          <w:rFonts w:hint="eastAsia" w:ascii="楷体" w:hAnsi="楷体" w:eastAsia="楷体" w:cs="楷体"/>
          <w:color w:val="auto"/>
          <w:sz w:val="24"/>
          <w:highlight w:val="none"/>
        </w:rPr>
        <w:t>分</w:t>
      </w:r>
    </w:p>
    <w:p w14:paraId="4635C437">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提交投标文件地点：</w:t>
      </w:r>
      <w:r>
        <w:rPr>
          <w:rFonts w:hint="eastAsia" w:ascii="楷体" w:hAnsi="楷体" w:eastAsia="楷体" w:cs="楷体"/>
          <w:color w:val="auto"/>
          <w:sz w:val="26"/>
          <w:szCs w:val="26"/>
          <w:highlight w:val="none"/>
        </w:rPr>
        <w:t>电子平台</w:t>
      </w:r>
    </w:p>
    <w:p w14:paraId="3AC62024">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开标时间：202</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lang w:val="en-US" w:eastAsia="zh-CN"/>
        </w:rPr>
        <w:t>03</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lang w:val="en-US" w:eastAsia="zh-CN"/>
        </w:rPr>
        <w:t>18</w:t>
      </w:r>
      <w:r>
        <w:rPr>
          <w:rFonts w:hint="eastAsia" w:ascii="楷体" w:hAnsi="楷体" w:eastAsia="楷体" w:cs="楷体"/>
          <w:color w:val="auto"/>
          <w:sz w:val="24"/>
          <w:highlight w:val="none"/>
        </w:rPr>
        <w:t>日</w:t>
      </w:r>
      <w:r>
        <w:rPr>
          <w:rFonts w:hint="eastAsia" w:ascii="楷体" w:hAnsi="楷体" w:eastAsia="楷体" w:cs="楷体"/>
          <w:color w:val="auto"/>
          <w:sz w:val="24"/>
          <w:highlight w:val="none"/>
          <w:lang w:val="en-US" w:eastAsia="zh-CN"/>
        </w:rPr>
        <w:t>14</w:t>
      </w:r>
      <w:r>
        <w:rPr>
          <w:rFonts w:hint="eastAsia" w:ascii="楷体" w:hAnsi="楷体" w:eastAsia="楷体" w:cs="楷体"/>
          <w:color w:val="auto"/>
          <w:sz w:val="24"/>
          <w:highlight w:val="none"/>
        </w:rPr>
        <w:t>时</w:t>
      </w:r>
      <w:r>
        <w:rPr>
          <w:rFonts w:hint="eastAsia" w:ascii="楷体" w:hAnsi="楷体" w:eastAsia="楷体" w:cs="楷体"/>
          <w:color w:val="auto"/>
          <w:sz w:val="24"/>
          <w:highlight w:val="none"/>
          <w:lang w:val="en-US" w:eastAsia="zh-CN"/>
        </w:rPr>
        <w:t>30</w:t>
      </w:r>
      <w:r>
        <w:rPr>
          <w:rFonts w:hint="eastAsia" w:ascii="楷体" w:hAnsi="楷体" w:eastAsia="楷体" w:cs="楷体"/>
          <w:color w:val="auto"/>
          <w:sz w:val="24"/>
          <w:highlight w:val="none"/>
        </w:rPr>
        <w:t>分</w:t>
      </w:r>
    </w:p>
    <w:p w14:paraId="08BF1D8C">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开标地点：远程电子开标</w:t>
      </w:r>
    </w:p>
    <w:p w14:paraId="1F57D52D">
      <w:pPr>
        <w:numPr>
          <w:ilvl w:val="0"/>
          <w:numId w:val="3"/>
        </w:num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联系事项</w:t>
      </w:r>
    </w:p>
    <w:p w14:paraId="1047E9CB">
      <w:pPr>
        <w:adjustRightInd w:val="0"/>
        <w:snapToGrid w:val="0"/>
        <w:spacing w:line="360" w:lineRule="auto"/>
        <w:ind w:firstLine="1159" w:firstLineChars="483"/>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招标人：</w:t>
      </w:r>
      <w:r>
        <w:rPr>
          <w:rFonts w:hint="eastAsia" w:ascii="楷体" w:hAnsi="楷体" w:eastAsia="楷体" w:cs="楷体"/>
          <w:color w:val="auto"/>
          <w:sz w:val="24"/>
          <w:highlight w:val="none"/>
          <w:lang w:eastAsia="zh-CN"/>
        </w:rPr>
        <w:t>广东烟草清远市有限公司</w:t>
      </w:r>
    </w:p>
    <w:p w14:paraId="40AEEEEE">
      <w:pPr>
        <w:adjustRightInd w:val="0"/>
        <w:snapToGrid w:val="0"/>
        <w:spacing w:line="360" w:lineRule="auto"/>
        <w:ind w:firstLine="1159" w:firstLineChars="483"/>
        <w:rPr>
          <w:rFonts w:ascii="楷体" w:hAnsi="楷体" w:eastAsia="楷体" w:cs="楷体"/>
          <w:color w:val="auto"/>
          <w:sz w:val="24"/>
          <w:highlight w:val="none"/>
        </w:rPr>
      </w:pPr>
      <w:r>
        <w:rPr>
          <w:rFonts w:hint="eastAsia" w:ascii="楷体" w:hAnsi="楷体" w:eastAsia="楷体" w:cs="楷体"/>
          <w:color w:val="auto"/>
          <w:sz w:val="24"/>
          <w:highlight w:val="none"/>
        </w:rPr>
        <w:t>地址： 清远市清城区凤翔中路16号</w:t>
      </w:r>
    </w:p>
    <w:p w14:paraId="24D89B6F">
      <w:pPr>
        <w:adjustRightInd w:val="0"/>
        <w:snapToGrid w:val="0"/>
        <w:spacing w:line="360" w:lineRule="auto"/>
        <w:ind w:firstLine="1159" w:firstLineChars="483"/>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联系人：</w:t>
      </w:r>
      <w:r>
        <w:rPr>
          <w:rFonts w:hint="eastAsia" w:ascii="楷体" w:hAnsi="楷体" w:eastAsia="楷体" w:cs="楷体"/>
          <w:color w:val="auto"/>
          <w:sz w:val="24"/>
          <w:highlight w:val="none"/>
          <w:lang w:val="en-US" w:eastAsia="zh-CN"/>
        </w:rPr>
        <w:t>陈小姐</w:t>
      </w:r>
    </w:p>
    <w:p w14:paraId="518BEAC1">
      <w:pPr>
        <w:adjustRightInd w:val="0"/>
        <w:snapToGrid w:val="0"/>
        <w:spacing w:line="360" w:lineRule="auto"/>
        <w:ind w:firstLine="1159" w:firstLineChars="483"/>
        <w:rPr>
          <w:rFonts w:hint="default" w:ascii="楷体" w:hAnsi="楷体" w:eastAsia="宋体" w:cs="楷体"/>
          <w:color w:val="auto"/>
          <w:sz w:val="24"/>
          <w:highlight w:val="none"/>
          <w:lang w:val="en-US" w:eastAsia="zh-CN"/>
        </w:rPr>
      </w:pPr>
      <w:r>
        <w:rPr>
          <w:rFonts w:hint="eastAsia" w:ascii="楷体" w:hAnsi="楷体" w:eastAsia="楷体" w:cs="楷体"/>
          <w:color w:val="auto"/>
          <w:sz w:val="24"/>
          <w:highlight w:val="none"/>
        </w:rPr>
        <w:t>联系电话：</w:t>
      </w:r>
      <w:r>
        <w:rPr>
          <w:rFonts w:hint="eastAsia" w:ascii="楷体" w:hAnsi="楷体" w:eastAsia="楷体" w:cs="楷体"/>
          <w:color w:val="auto"/>
          <w:sz w:val="24"/>
          <w:highlight w:val="none"/>
          <w:lang w:val="en-US" w:eastAsia="zh-CN"/>
        </w:rPr>
        <w:t>0763-3660629</w:t>
      </w:r>
    </w:p>
    <w:p w14:paraId="00AFEA5A">
      <w:pPr>
        <w:adjustRightInd w:val="0"/>
        <w:snapToGrid w:val="0"/>
        <w:spacing w:line="360" w:lineRule="auto"/>
        <w:ind w:firstLine="1159" w:firstLineChars="483"/>
        <w:rPr>
          <w:rFonts w:ascii="楷体" w:hAnsi="楷体" w:eastAsia="楷体" w:cs="楷体"/>
          <w:color w:val="auto"/>
          <w:sz w:val="24"/>
          <w:highlight w:val="none"/>
        </w:rPr>
      </w:pPr>
    </w:p>
    <w:p w14:paraId="588D2215">
      <w:pPr>
        <w:adjustRightInd w:val="0"/>
        <w:snapToGrid w:val="0"/>
        <w:spacing w:line="360" w:lineRule="auto"/>
        <w:ind w:firstLine="1159" w:firstLineChars="483"/>
        <w:rPr>
          <w:rFonts w:ascii="楷体" w:hAnsi="楷体" w:eastAsia="楷体" w:cs="楷体"/>
          <w:color w:val="auto"/>
          <w:sz w:val="24"/>
          <w:highlight w:val="none"/>
        </w:rPr>
      </w:pPr>
      <w:r>
        <w:rPr>
          <w:rFonts w:hint="eastAsia" w:ascii="楷体" w:hAnsi="楷体" w:eastAsia="楷体" w:cs="楷体"/>
          <w:color w:val="auto"/>
          <w:sz w:val="24"/>
          <w:highlight w:val="none"/>
        </w:rPr>
        <w:t>招标代理机构：广东鼎信招标采购有限公司</w:t>
      </w:r>
    </w:p>
    <w:p w14:paraId="56570162">
      <w:pPr>
        <w:adjustRightInd w:val="0"/>
        <w:snapToGrid w:val="0"/>
        <w:spacing w:line="360" w:lineRule="auto"/>
        <w:ind w:firstLine="1159" w:firstLineChars="483"/>
        <w:rPr>
          <w:rFonts w:ascii="楷体" w:hAnsi="楷体" w:eastAsia="楷体" w:cs="楷体"/>
          <w:color w:val="auto"/>
          <w:sz w:val="24"/>
          <w:highlight w:val="none"/>
        </w:rPr>
      </w:pPr>
      <w:r>
        <w:rPr>
          <w:rFonts w:hint="eastAsia" w:ascii="楷体" w:hAnsi="楷体" w:eastAsia="楷体" w:cs="楷体"/>
          <w:color w:val="auto"/>
          <w:sz w:val="24"/>
          <w:highlight w:val="none"/>
        </w:rPr>
        <w:t>地址：广州市越秀区东风东路699号广东港澳中心402室</w:t>
      </w:r>
    </w:p>
    <w:p w14:paraId="1CBFA107">
      <w:pPr>
        <w:adjustRightInd w:val="0"/>
        <w:snapToGrid w:val="0"/>
        <w:spacing w:line="360" w:lineRule="auto"/>
        <w:ind w:firstLine="1159" w:firstLineChars="483"/>
        <w:rPr>
          <w:rFonts w:ascii="楷体" w:hAnsi="楷体" w:eastAsia="楷体" w:cs="楷体"/>
          <w:color w:val="auto"/>
          <w:sz w:val="24"/>
          <w:highlight w:val="none"/>
        </w:rPr>
      </w:pPr>
      <w:r>
        <w:rPr>
          <w:rFonts w:hint="eastAsia" w:ascii="楷体" w:hAnsi="楷体" w:eastAsia="楷体" w:cs="楷体"/>
          <w:color w:val="auto"/>
          <w:sz w:val="24"/>
          <w:highlight w:val="none"/>
        </w:rPr>
        <w:t>联系人：</w:t>
      </w:r>
      <w:r>
        <w:rPr>
          <w:rFonts w:hint="eastAsia" w:ascii="楷体" w:hAnsi="楷体" w:eastAsia="楷体" w:cs="楷体"/>
          <w:color w:val="auto"/>
          <w:sz w:val="24"/>
          <w:highlight w:val="none"/>
          <w:lang w:val="en-US" w:eastAsia="zh-CN"/>
        </w:rPr>
        <w:t>蔡小姐</w:t>
      </w:r>
      <w:r>
        <w:rPr>
          <w:rFonts w:hint="eastAsia" w:ascii="楷体" w:hAnsi="楷体" w:eastAsia="楷体" w:cs="楷体"/>
          <w:color w:val="auto"/>
          <w:sz w:val="24"/>
          <w:highlight w:val="none"/>
        </w:rPr>
        <w:t>、李小姐</w:t>
      </w:r>
    </w:p>
    <w:p w14:paraId="24B695AF">
      <w:pPr>
        <w:adjustRightInd w:val="0"/>
        <w:snapToGrid w:val="0"/>
        <w:spacing w:line="360" w:lineRule="auto"/>
        <w:ind w:firstLine="1159" w:firstLineChars="483"/>
        <w:rPr>
          <w:rFonts w:ascii="楷体" w:hAnsi="楷体" w:eastAsia="楷体" w:cs="楷体"/>
          <w:color w:val="auto"/>
          <w:sz w:val="24"/>
          <w:highlight w:val="none"/>
        </w:rPr>
      </w:pPr>
      <w:r>
        <w:rPr>
          <w:rFonts w:hint="eastAsia" w:ascii="楷体" w:hAnsi="楷体" w:eastAsia="楷体" w:cs="楷体"/>
          <w:color w:val="auto"/>
          <w:sz w:val="24"/>
          <w:highlight w:val="none"/>
        </w:rPr>
        <w:t>联系电话：020-87188551、020-87188031</w:t>
      </w:r>
    </w:p>
    <w:p w14:paraId="5A648D9C">
      <w:pPr>
        <w:adjustRightInd w:val="0"/>
        <w:snapToGrid w:val="0"/>
        <w:spacing w:line="360" w:lineRule="auto"/>
        <w:jc w:val="right"/>
        <w:rPr>
          <w:rFonts w:ascii="楷体" w:hAnsi="楷体" w:eastAsia="楷体" w:cs="楷体"/>
          <w:color w:val="auto"/>
          <w:sz w:val="24"/>
          <w:highlight w:val="none"/>
        </w:rPr>
      </w:pPr>
    </w:p>
    <w:p w14:paraId="02E39C84">
      <w:pPr>
        <w:adjustRightInd w:val="0"/>
        <w:snapToGrid w:val="0"/>
        <w:spacing w:line="360" w:lineRule="auto"/>
        <w:jc w:val="right"/>
        <w:rPr>
          <w:rFonts w:ascii="楷体" w:hAnsi="楷体" w:eastAsia="楷体" w:cs="楷体"/>
          <w:color w:val="auto"/>
          <w:sz w:val="24"/>
          <w:highlight w:val="none"/>
        </w:rPr>
      </w:pPr>
      <w:r>
        <w:rPr>
          <w:rFonts w:hint="eastAsia" w:ascii="楷体" w:hAnsi="楷体" w:eastAsia="楷体" w:cs="楷体"/>
          <w:color w:val="auto"/>
          <w:sz w:val="24"/>
          <w:highlight w:val="none"/>
        </w:rPr>
        <w:t>广东鼎信招</w:t>
      </w:r>
      <w:r>
        <w:rPr>
          <w:rFonts w:hint="eastAsia" w:ascii="楷体" w:hAnsi="楷体" w:eastAsia="楷体" w:cs="楷体"/>
          <w:color w:val="auto"/>
          <w:sz w:val="24"/>
          <w:highlight w:val="none"/>
        </w:rPr>
        <w:t>标采购有限公司</w:t>
      </w:r>
    </w:p>
    <w:p w14:paraId="5DF6953C">
      <w:pPr>
        <w:adjustRightInd w:val="0"/>
        <w:snapToGrid w:val="0"/>
        <w:spacing w:line="360" w:lineRule="auto"/>
        <w:jc w:val="right"/>
        <w:rPr>
          <w:rFonts w:ascii="楷体" w:hAnsi="楷体" w:eastAsia="楷体" w:cs="楷体"/>
          <w:color w:val="auto"/>
          <w:sz w:val="24"/>
          <w:highlight w:val="none"/>
        </w:rPr>
      </w:pPr>
      <w:r>
        <w:rPr>
          <w:rFonts w:hint="eastAsia" w:ascii="楷体" w:hAnsi="楷体" w:eastAsia="楷体" w:cs="楷体"/>
          <w:color w:val="auto"/>
          <w:sz w:val="24"/>
          <w:highlight w:val="none"/>
        </w:rPr>
        <w:t>202</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lang w:val="en-US" w:eastAsia="zh-CN"/>
        </w:rPr>
        <w:t>02</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lang w:val="en-US" w:eastAsia="zh-CN"/>
        </w:rPr>
        <w:t>25</w:t>
      </w:r>
      <w:r>
        <w:rPr>
          <w:rFonts w:hint="eastAsia" w:ascii="楷体" w:hAnsi="楷体" w:eastAsia="楷体" w:cs="楷体"/>
          <w:color w:val="auto"/>
          <w:sz w:val="24"/>
          <w:highlight w:val="none"/>
        </w:rPr>
        <w:t>日</w:t>
      </w:r>
    </w:p>
    <w:p w14:paraId="088BAB2C">
      <w:pPr>
        <w:jc w:val="center"/>
        <w:rPr>
          <w:rFonts w:ascii="楷体" w:hAnsi="楷体" w:eastAsia="楷体" w:cs="楷体"/>
          <w:color w:val="auto"/>
          <w:highlight w:val="none"/>
        </w:rPr>
      </w:pPr>
      <w:bookmarkStart w:id="45" w:name="_Toc26904"/>
      <w:bookmarkStart w:id="46" w:name="_Toc423021939"/>
      <w:bookmarkStart w:id="47" w:name="_Toc30196"/>
      <w:bookmarkStart w:id="48" w:name="_Toc19356"/>
      <w:bookmarkStart w:id="49" w:name="_Toc23439"/>
    </w:p>
    <w:p w14:paraId="2CE8B1E6">
      <w:pPr>
        <w:jc w:val="center"/>
        <w:rPr>
          <w:rFonts w:ascii="楷体" w:hAnsi="楷体" w:eastAsia="楷体" w:cs="楷体"/>
          <w:color w:val="auto"/>
          <w:highlight w:val="none"/>
        </w:rPr>
      </w:pPr>
    </w:p>
    <w:p w14:paraId="636A7F80">
      <w:pPr>
        <w:jc w:val="center"/>
        <w:rPr>
          <w:rFonts w:ascii="楷体" w:hAnsi="楷体" w:eastAsia="楷体" w:cs="楷体"/>
          <w:color w:val="auto"/>
          <w:highlight w:val="none"/>
        </w:rPr>
      </w:pPr>
    </w:p>
    <w:p w14:paraId="728DFF6E">
      <w:pPr>
        <w:jc w:val="center"/>
        <w:rPr>
          <w:rFonts w:ascii="楷体" w:hAnsi="楷体" w:eastAsia="楷体" w:cs="楷体"/>
          <w:color w:val="auto"/>
          <w:highlight w:val="none"/>
        </w:rPr>
      </w:pPr>
    </w:p>
    <w:p w14:paraId="73FAC1E3">
      <w:pPr>
        <w:jc w:val="center"/>
        <w:rPr>
          <w:rFonts w:ascii="楷体" w:hAnsi="楷体" w:eastAsia="楷体" w:cs="楷体"/>
          <w:color w:val="auto"/>
          <w:highlight w:val="none"/>
        </w:rPr>
      </w:pPr>
    </w:p>
    <w:p w14:paraId="360C4B43">
      <w:pPr>
        <w:jc w:val="center"/>
        <w:rPr>
          <w:rFonts w:ascii="楷体" w:hAnsi="楷体" w:eastAsia="楷体" w:cs="楷体"/>
          <w:color w:val="auto"/>
          <w:highlight w:val="none"/>
        </w:rPr>
      </w:pPr>
    </w:p>
    <w:p w14:paraId="70BB1F40">
      <w:pPr>
        <w:jc w:val="center"/>
        <w:rPr>
          <w:rFonts w:ascii="楷体" w:hAnsi="楷体" w:eastAsia="楷体" w:cs="楷体"/>
          <w:color w:val="auto"/>
          <w:highlight w:val="none"/>
        </w:rPr>
      </w:pPr>
    </w:p>
    <w:p w14:paraId="61942665">
      <w:pPr>
        <w:jc w:val="center"/>
        <w:rPr>
          <w:rFonts w:ascii="楷体" w:hAnsi="楷体" w:eastAsia="楷体" w:cs="楷体"/>
          <w:color w:val="auto"/>
          <w:highlight w:val="none"/>
        </w:rPr>
      </w:pPr>
    </w:p>
    <w:p w14:paraId="2183AE55">
      <w:pPr>
        <w:jc w:val="center"/>
        <w:rPr>
          <w:rFonts w:ascii="楷体" w:hAnsi="楷体" w:eastAsia="楷体" w:cs="楷体"/>
          <w:color w:val="auto"/>
          <w:highlight w:val="none"/>
        </w:rPr>
      </w:pPr>
    </w:p>
    <w:p w14:paraId="12B4C7AE">
      <w:pPr>
        <w:jc w:val="center"/>
        <w:rPr>
          <w:rFonts w:ascii="楷体" w:hAnsi="楷体" w:eastAsia="楷体" w:cs="楷体"/>
          <w:color w:val="auto"/>
          <w:highlight w:val="none"/>
        </w:rPr>
      </w:pPr>
    </w:p>
    <w:p w14:paraId="7F0AFADB">
      <w:pPr>
        <w:jc w:val="center"/>
        <w:rPr>
          <w:rFonts w:ascii="楷体" w:hAnsi="楷体" w:eastAsia="楷体" w:cs="楷体"/>
          <w:color w:val="auto"/>
          <w:highlight w:val="none"/>
        </w:rPr>
      </w:pPr>
    </w:p>
    <w:p w14:paraId="561361B4">
      <w:pPr>
        <w:jc w:val="center"/>
        <w:rPr>
          <w:rFonts w:ascii="楷体" w:hAnsi="楷体" w:eastAsia="楷体" w:cs="楷体"/>
          <w:b/>
          <w:bCs/>
          <w:color w:val="auto"/>
          <w:kern w:val="44"/>
          <w:sz w:val="44"/>
          <w:szCs w:val="44"/>
          <w:highlight w:val="none"/>
        </w:rPr>
      </w:pPr>
    </w:p>
    <w:p w14:paraId="062350DA">
      <w:pPr>
        <w:jc w:val="center"/>
        <w:rPr>
          <w:rFonts w:ascii="楷体" w:hAnsi="楷体" w:eastAsia="楷体" w:cs="楷体"/>
          <w:b/>
          <w:bCs/>
          <w:color w:val="auto"/>
          <w:kern w:val="44"/>
          <w:sz w:val="44"/>
          <w:szCs w:val="44"/>
          <w:highlight w:val="none"/>
        </w:rPr>
      </w:pPr>
    </w:p>
    <w:p w14:paraId="592E5503">
      <w:pPr>
        <w:jc w:val="center"/>
        <w:rPr>
          <w:rFonts w:ascii="楷体" w:hAnsi="楷体" w:eastAsia="楷体" w:cs="楷体"/>
          <w:b/>
          <w:bCs/>
          <w:color w:val="auto"/>
          <w:kern w:val="44"/>
          <w:sz w:val="44"/>
          <w:szCs w:val="44"/>
          <w:highlight w:val="none"/>
        </w:rPr>
      </w:pPr>
    </w:p>
    <w:p w14:paraId="3021BA6F">
      <w:pPr>
        <w:jc w:val="center"/>
        <w:outlineLvl w:val="0"/>
        <w:rPr>
          <w:rFonts w:ascii="楷体" w:hAnsi="楷体" w:eastAsia="楷体" w:cs="楷体"/>
          <w:b/>
          <w:bCs/>
          <w:color w:val="auto"/>
          <w:kern w:val="44"/>
          <w:sz w:val="44"/>
          <w:szCs w:val="44"/>
          <w:highlight w:val="none"/>
        </w:rPr>
      </w:pPr>
      <w:bookmarkStart w:id="50" w:name="_Toc9532"/>
    </w:p>
    <w:p w14:paraId="28147A77">
      <w:pPr>
        <w:jc w:val="center"/>
        <w:outlineLvl w:val="0"/>
        <w:rPr>
          <w:rFonts w:ascii="楷体" w:hAnsi="楷体" w:eastAsia="楷体" w:cs="楷体"/>
          <w:b/>
          <w:bCs/>
          <w:color w:val="auto"/>
          <w:kern w:val="44"/>
          <w:sz w:val="44"/>
          <w:szCs w:val="44"/>
          <w:highlight w:val="none"/>
        </w:rPr>
      </w:pPr>
    </w:p>
    <w:p w14:paraId="75A7D227">
      <w:pPr>
        <w:jc w:val="center"/>
        <w:outlineLvl w:val="0"/>
        <w:rPr>
          <w:rFonts w:ascii="楷体" w:hAnsi="楷体" w:eastAsia="楷体" w:cs="楷体"/>
          <w:b/>
          <w:bCs/>
          <w:color w:val="auto"/>
          <w:kern w:val="44"/>
          <w:sz w:val="44"/>
          <w:szCs w:val="44"/>
          <w:highlight w:val="none"/>
        </w:rPr>
      </w:pPr>
    </w:p>
    <w:p w14:paraId="78DD9B39">
      <w:pPr>
        <w:jc w:val="center"/>
        <w:outlineLvl w:val="0"/>
        <w:rPr>
          <w:rFonts w:ascii="楷体" w:hAnsi="楷体" w:eastAsia="楷体" w:cs="楷体"/>
          <w:b/>
          <w:bCs/>
          <w:color w:val="auto"/>
          <w:kern w:val="44"/>
          <w:sz w:val="44"/>
          <w:szCs w:val="44"/>
          <w:highlight w:val="none"/>
        </w:rPr>
      </w:pPr>
    </w:p>
    <w:p w14:paraId="6F207DF0">
      <w:pPr>
        <w:jc w:val="center"/>
        <w:outlineLvl w:val="0"/>
        <w:rPr>
          <w:rFonts w:ascii="楷体" w:hAnsi="楷体" w:eastAsia="楷体" w:cs="楷体"/>
          <w:b/>
          <w:bCs/>
          <w:color w:val="auto"/>
          <w:kern w:val="44"/>
          <w:sz w:val="44"/>
          <w:szCs w:val="44"/>
          <w:highlight w:val="none"/>
        </w:rPr>
      </w:pPr>
    </w:p>
    <w:p w14:paraId="12BB447B">
      <w:pPr>
        <w:jc w:val="center"/>
        <w:outlineLvl w:val="0"/>
        <w:rPr>
          <w:rFonts w:ascii="楷体" w:hAnsi="楷体" w:eastAsia="楷体" w:cs="楷体"/>
          <w:color w:val="auto"/>
          <w:highlight w:val="none"/>
        </w:rPr>
      </w:pPr>
      <w:r>
        <w:rPr>
          <w:rFonts w:hint="eastAsia" w:ascii="楷体" w:hAnsi="楷体" w:eastAsia="楷体" w:cs="楷体"/>
          <w:b/>
          <w:bCs/>
          <w:color w:val="auto"/>
          <w:kern w:val="44"/>
          <w:sz w:val="44"/>
          <w:szCs w:val="44"/>
          <w:highlight w:val="none"/>
        </w:rPr>
        <w:t>第二章投标人须知</w:t>
      </w:r>
      <w:bookmarkEnd w:id="45"/>
      <w:bookmarkEnd w:id="46"/>
      <w:bookmarkEnd w:id="47"/>
      <w:bookmarkEnd w:id="48"/>
      <w:bookmarkEnd w:id="49"/>
      <w:bookmarkEnd w:id="50"/>
    </w:p>
    <w:p w14:paraId="20BC6D82">
      <w:pPr>
        <w:rPr>
          <w:rFonts w:ascii="楷体" w:hAnsi="楷体" w:eastAsia="楷体" w:cs="楷体"/>
          <w:color w:val="auto"/>
          <w:highlight w:val="none"/>
        </w:rPr>
      </w:pPr>
    </w:p>
    <w:p w14:paraId="50956D38">
      <w:pPr>
        <w:rPr>
          <w:rFonts w:ascii="楷体" w:hAnsi="楷体" w:eastAsia="楷体" w:cs="楷体"/>
          <w:color w:val="auto"/>
          <w:highlight w:val="none"/>
        </w:rPr>
      </w:pPr>
    </w:p>
    <w:p w14:paraId="6471CF2D">
      <w:pPr>
        <w:pStyle w:val="4"/>
        <w:jc w:val="center"/>
        <w:rPr>
          <w:rFonts w:ascii="楷体" w:hAnsi="楷体" w:eastAsia="楷体" w:cs="楷体"/>
          <w:color w:val="auto"/>
          <w:highlight w:val="none"/>
        </w:rPr>
      </w:pPr>
      <w:bookmarkStart w:id="51" w:name="_Toc25435"/>
      <w:bookmarkStart w:id="52" w:name="_Toc15780"/>
      <w:bookmarkStart w:id="53" w:name="_Toc21856"/>
      <w:bookmarkStart w:id="54" w:name="_Toc22617"/>
      <w:bookmarkStart w:id="55" w:name="_Toc26303"/>
      <w:r>
        <w:rPr>
          <w:rFonts w:hint="eastAsia" w:ascii="楷体" w:hAnsi="楷体" w:eastAsia="楷体" w:cs="楷体"/>
          <w:color w:val="auto"/>
          <w:highlight w:val="none"/>
        </w:rPr>
        <w:br w:type="page"/>
      </w:r>
      <w:bookmarkStart w:id="56" w:name="_Toc19691"/>
      <w:bookmarkStart w:id="57" w:name="_Toc23348"/>
      <w:r>
        <w:rPr>
          <w:rFonts w:hint="eastAsia" w:ascii="楷体" w:hAnsi="楷体" w:eastAsia="楷体" w:cs="楷体"/>
          <w:color w:val="auto"/>
          <w:highlight w:val="none"/>
        </w:rPr>
        <w:t>投标人须知前附表</w:t>
      </w:r>
      <w:bookmarkEnd w:id="51"/>
      <w:bookmarkEnd w:id="52"/>
      <w:bookmarkEnd w:id="53"/>
      <w:bookmarkEnd w:id="54"/>
      <w:bookmarkEnd w:id="55"/>
      <w:bookmarkEnd w:id="56"/>
      <w:bookmarkEnd w:id="57"/>
    </w:p>
    <w:p w14:paraId="23E6ABBB">
      <w:pPr>
        <w:spacing w:beforeLines="100" w:line="360" w:lineRule="auto"/>
        <w:ind w:right="-174" w:rightChars="-83"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本表的条款项号是与本章《投标人须知》条款项号对应的，或增加的条款，是对本章的补充、修改和完善，如果有矛盾的话，应以本表为准。</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30"/>
        <w:gridCol w:w="7884"/>
      </w:tblGrid>
      <w:tr w14:paraId="0E0B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gridSpan w:val="2"/>
            <w:shd w:val="clear" w:color="auto" w:fill="EEECE1"/>
            <w:vAlign w:val="center"/>
          </w:tcPr>
          <w:p w14:paraId="64E696DD">
            <w:pPr>
              <w:adjustRightInd w:val="0"/>
              <w:snapToGrid w:val="0"/>
              <w:spacing w:line="36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条款项号</w:t>
            </w:r>
          </w:p>
        </w:tc>
        <w:tc>
          <w:tcPr>
            <w:tcW w:w="4266" w:type="pct"/>
            <w:shd w:val="clear" w:color="auto" w:fill="EEECE1"/>
            <w:vAlign w:val="center"/>
          </w:tcPr>
          <w:p w14:paraId="4D6484DC">
            <w:pPr>
              <w:adjustRightInd w:val="0"/>
              <w:snapToGrid w:val="0"/>
              <w:spacing w:line="36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内     容</w:t>
            </w:r>
          </w:p>
        </w:tc>
      </w:tr>
      <w:tr w14:paraId="1677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232EDF55">
            <w:pPr>
              <w:adjustRightInd w:val="0"/>
              <w:snapToGrid w:val="0"/>
              <w:spacing w:line="360" w:lineRule="exact"/>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（一）总则</w:t>
            </w:r>
          </w:p>
        </w:tc>
      </w:tr>
      <w:tr w14:paraId="7AEF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36FC9205">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1.1</w:t>
            </w:r>
          </w:p>
        </w:tc>
        <w:tc>
          <w:tcPr>
            <w:tcW w:w="4282" w:type="pct"/>
            <w:gridSpan w:val="2"/>
            <w:vAlign w:val="center"/>
          </w:tcPr>
          <w:p w14:paraId="06ADFE36">
            <w:pPr>
              <w:adjustRightInd w:val="0"/>
              <w:snapToGrid w:val="0"/>
              <w:spacing w:line="360" w:lineRule="exact"/>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资金性质：企业自筹</w:t>
            </w:r>
          </w:p>
        </w:tc>
      </w:tr>
      <w:tr w14:paraId="779E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7346D285">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1.2</w:t>
            </w:r>
          </w:p>
        </w:tc>
        <w:tc>
          <w:tcPr>
            <w:tcW w:w="4282" w:type="pct"/>
            <w:gridSpan w:val="2"/>
            <w:vAlign w:val="center"/>
          </w:tcPr>
          <w:p w14:paraId="33BA522D">
            <w:pPr>
              <w:adjustRightInd w:val="0"/>
              <w:snapToGrid w:val="0"/>
              <w:spacing w:line="360" w:lineRule="auto"/>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招标人：</w:t>
            </w:r>
            <w:r>
              <w:rPr>
                <w:rFonts w:hint="eastAsia" w:ascii="楷体" w:hAnsi="楷体" w:eastAsia="楷体" w:cs="楷体"/>
                <w:color w:val="auto"/>
                <w:sz w:val="24"/>
                <w:highlight w:val="none"/>
                <w:lang w:eastAsia="zh-CN"/>
              </w:rPr>
              <w:t>广东</w:t>
            </w:r>
            <w:r>
              <w:rPr>
                <w:rFonts w:hint="eastAsia" w:ascii="楷体" w:hAnsi="楷体" w:eastAsia="楷体" w:cs="楷体"/>
                <w:color w:val="auto"/>
                <w:sz w:val="24"/>
                <w:highlight w:val="none"/>
                <w:lang w:eastAsia="zh-CN"/>
              </w:rPr>
              <w:t>烟草清远市有限公司</w:t>
            </w:r>
          </w:p>
          <w:p w14:paraId="70D25F56">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 xml:space="preserve">地址：清远市清城区凤翔中路16号 </w:t>
            </w:r>
          </w:p>
          <w:p w14:paraId="5DAA47F5">
            <w:pPr>
              <w:adjustRightInd w:val="0"/>
              <w:snapToGrid w:val="0"/>
              <w:spacing w:line="360" w:lineRule="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联系人：</w:t>
            </w:r>
            <w:r>
              <w:rPr>
                <w:rFonts w:hint="eastAsia" w:ascii="楷体" w:hAnsi="楷体" w:eastAsia="楷体" w:cs="楷体"/>
                <w:color w:val="auto"/>
                <w:sz w:val="24"/>
                <w:highlight w:val="none"/>
                <w:lang w:val="en-US" w:eastAsia="zh-CN"/>
              </w:rPr>
              <w:t>陈小姐</w:t>
            </w:r>
          </w:p>
          <w:p w14:paraId="0FFCCD2D">
            <w:pPr>
              <w:adjustRightInd w:val="0"/>
              <w:snapToGrid w:val="0"/>
              <w:spacing w:line="360" w:lineRule="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联系电话：</w:t>
            </w:r>
            <w:r>
              <w:rPr>
                <w:rFonts w:hint="eastAsia" w:ascii="楷体" w:hAnsi="楷体" w:eastAsia="楷体" w:cs="楷体"/>
                <w:color w:val="auto"/>
                <w:sz w:val="24"/>
                <w:highlight w:val="none"/>
                <w:lang w:val="en-US" w:eastAsia="zh-CN"/>
              </w:rPr>
              <w:t>0763-3660629</w:t>
            </w:r>
          </w:p>
          <w:p w14:paraId="6F956CF4">
            <w:pPr>
              <w:adjustRightInd w:val="0"/>
              <w:snapToGrid w:val="0"/>
              <w:spacing w:line="360" w:lineRule="auto"/>
              <w:rPr>
                <w:rFonts w:ascii="楷体" w:hAnsi="楷体" w:eastAsia="楷体" w:cs="楷体"/>
                <w:color w:val="auto"/>
                <w:sz w:val="24"/>
                <w:highlight w:val="none"/>
              </w:rPr>
            </w:pPr>
          </w:p>
          <w:p w14:paraId="3AC9FFBA">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招标代理机构：广东鼎信招标采购有限公司</w:t>
            </w:r>
          </w:p>
          <w:p w14:paraId="1E367782">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地址：广州市越秀区东风东路699号广东港澳中心402室</w:t>
            </w:r>
          </w:p>
          <w:p w14:paraId="06615FA6">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联系人：</w:t>
            </w:r>
            <w:r>
              <w:rPr>
                <w:rFonts w:hint="eastAsia" w:ascii="楷体" w:hAnsi="楷体" w:eastAsia="楷体" w:cs="楷体"/>
                <w:color w:val="auto"/>
                <w:sz w:val="24"/>
                <w:highlight w:val="none"/>
                <w:lang w:val="en-US" w:eastAsia="zh-CN"/>
              </w:rPr>
              <w:t>蔡小姐</w:t>
            </w:r>
            <w:r>
              <w:rPr>
                <w:rFonts w:hint="eastAsia" w:ascii="楷体" w:hAnsi="楷体" w:eastAsia="楷体" w:cs="楷体"/>
                <w:color w:val="auto"/>
                <w:sz w:val="24"/>
                <w:highlight w:val="none"/>
              </w:rPr>
              <w:t>、李小姐</w:t>
            </w:r>
          </w:p>
          <w:p w14:paraId="082BB7FD">
            <w:pPr>
              <w:adjustRightInd w:val="0"/>
              <w:snapToGrid w:val="0"/>
              <w:spacing w:line="360" w:lineRule="auto"/>
              <w:rPr>
                <w:rFonts w:ascii="楷体" w:hAnsi="楷体" w:eastAsia="楷体" w:cs="楷体"/>
                <w:color w:val="auto"/>
                <w:sz w:val="24"/>
                <w:highlight w:val="none"/>
                <w:lang w:val="zh-CN"/>
              </w:rPr>
            </w:pPr>
            <w:r>
              <w:rPr>
                <w:rFonts w:hint="eastAsia" w:ascii="楷体" w:hAnsi="楷体" w:eastAsia="楷体" w:cs="楷体"/>
                <w:color w:val="auto"/>
                <w:sz w:val="24"/>
                <w:highlight w:val="none"/>
              </w:rPr>
              <w:t>联系电话：020-87188551、020-87188031</w:t>
            </w:r>
          </w:p>
        </w:tc>
      </w:tr>
      <w:tr w14:paraId="19FB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5B542677">
            <w:pPr>
              <w:adjustRightInd w:val="0"/>
              <w:snapToGrid w:val="0"/>
              <w:spacing w:line="360" w:lineRule="exact"/>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（二）招标文件</w:t>
            </w:r>
          </w:p>
        </w:tc>
      </w:tr>
      <w:tr w14:paraId="405A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gridSpan w:val="2"/>
            <w:vAlign w:val="center"/>
          </w:tcPr>
          <w:p w14:paraId="0F72D289">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6.1</w:t>
            </w:r>
          </w:p>
        </w:tc>
        <w:tc>
          <w:tcPr>
            <w:tcW w:w="4266" w:type="pct"/>
            <w:vAlign w:val="center"/>
          </w:tcPr>
          <w:p w14:paraId="158E22FD">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答疑会或踏勘现场：本项目不集中举行答疑会或踏勘现场。</w:t>
            </w:r>
          </w:p>
        </w:tc>
      </w:tr>
      <w:tr w14:paraId="47A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23B0D518">
            <w:pPr>
              <w:adjustRightInd w:val="0"/>
              <w:snapToGrid w:val="0"/>
              <w:spacing w:line="360" w:lineRule="exact"/>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（三）投标文件编制要求</w:t>
            </w:r>
          </w:p>
        </w:tc>
      </w:tr>
      <w:tr w14:paraId="446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2FEE538">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10.1</w:t>
            </w:r>
          </w:p>
        </w:tc>
        <w:tc>
          <w:tcPr>
            <w:tcW w:w="4266" w:type="pct"/>
            <w:vAlign w:val="center"/>
          </w:tcPr>
          <w:p w14:paraId="22FCF8C4">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加密电子文件1份。</w:t>
            </w:r>
            <w:r>
              <w:rPr>
                <w:rFonts w:hint="eastAsia" w:ascii="楷体" w:hAnsi="楷体" w:eastAsia="楷体" w:cs="楷体"/>
                <w:b/>
                <w:bCs/>
                <w:color w:val="auto"/>
                <w:sz w:val="24"/>
                <w:highlight w:val="none"/>
              </w:rPr>
              <w:t>（须在递交投标文件截止时间前成功上传至电子平台，电子投标文件必须签名盖章。）</w:t>
            </w:r>
          </w:p>
        </w:tc>
      </w:tr>
      <w:tr w14:paraId="444E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B77BFFD">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11.1</w:t>
            </w:r>
          </w:p>
        </w:tc>
        <w:tc>
          <w:tcPr>
            <w:tcW w:w="4266" w:type="pct"/>
            <w:vAlign w:val="center"/>
          </w:tcPr>
          <w:p w14:paraId="0399BF91">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投标有效期：90天</w:t>
            </w:r>
          </w:p>
        </w:tc>
      </w:tr>
      <w:tr w14:paraId="2CE6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EF3A083">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12.8</w:t>
            </w:r>
          </w:p>
        </w:tc>
        <w:tc>
          <w:tcPr>
            <w:tcW w:w="4266" w:type="pct"/>
            <w:vAlign w:val="center"/>
          </w:tcPr>
          <w:p w14:paraId="60DB573B">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本项目不接受备选方案。</w:t>
            </w:r>
          </w:p>
        </w:tc>
      </w:tr>
      <w:tr w14:paraId="3D91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537EF799">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12.9</w:t>
            </w:r>
          </w:p>
        </w:tc>
        <w:tc>
          <w:tcPr>
            <w:tcW w:w="4266" w:type="pct"/>
            <w:vAlign w:val="center"/>
          </w:tcPr>
          <w:p w14:paraId="756F697D">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本项目不接受具有附加条件的报价。</w:t>
            </w:r>
          </w:p>
        </w:tc>
      </w:tr>
      <w:tr w14:paraId="09B1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27FE46F1">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16.1</w:t>
            </w:r>
          </w:p>
        </w:tc>
        <w:tc>
          <w:tcPr>
            <w:tcW w:w="4266" w:type="pct"/>
            <w:vAlign w:val="center"/>
          </w:tcPr>
          <w:p w14:paraId="3D69390E">
            <w:pPr>
              <w:adjustRightInd w:val="0"/>
              <w:snapToGrid w:val="0"/>
              <w:spacing w:line="360" w:lineRule="auto"/>
              <w:rPr>
                <w:rFonts w:hint="default" w:ascii="楷体" w:hAnsi="楷体" w:eastAsia="楷体" w:cs="楷体"/>
                <w:color w:val="auto"/>
                <w:sz w:val="24"/>
                <w:highlight w:val="none"/>
                <w:lang w:val="en-US" w:eastAsia="zh-CN"/>
              </w:rPr>
            </w:pPr>
            <w:r>
              <w:rPr>
                <w:rFonts w:hint="eastAsia" w:ascii="楷体" w:hAnsi="楷体" w:eastAsia="楷体" w:cs="楷体"/>
                <w:color w:val="auto"/>
                <w:sz w:val="24"/>
                <w:highlight w:val="none"/>
              </w:rPr>
              <w:t>本项目不收取投标保证金。</w:t>
            </w:r>
          </w:p>
        </w:tc>
      </w:tr>
      <w:tr w14:paraId="2EF1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3734D7EC">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b/>
                <w:color w:val="auto"/>
                <w:sz w:val="24"/>
                <w:highlight w:val="none"/>
              </w:rPr>
              <w:t>（五）开标与评标</w:t>
            </w:r>
          </w:p>
        </w:tc>
      </w:tr>
      <w:tr w14:paraId="406E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D9031A7">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23.1.1</w:t>
            </w:r>
          </w:p>
        </w:tc>
        <w:tc>
          <w:tcPr>
            <w:tcW w:w="4266" w:type="pct"/>
            <w:vAlign w:val="center"/>
          </w:tcPr>
          <w:p w14:paraId="6CC517ED">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bCs/>
                <w:color w:val="auto"/>
                <w:sz w:val="24"/>
                <w:highlight w:val="none"/>
              </w:rPr>
              <w:t>评标委员会由</w:t>
            </w:r>
            <w:r>
              <w:rPr>
                <w:rFonts w:hint="eastAsia" w:ascii="楷体" w:hAnsi="楷体" w:eastAsia="楷体" w:cs="楷体"/>
                <w:b/>
                <w:color w:val="auto"/>
                <w:sz w:val="24"/>
                <w:highlight w:val="none"/>
                <w:u w:val="single"/>
              </w:rPr>
              <w:t>5</w:t>
            </w:r>
            <w:r>
              <w:rPr>
                <w:rFonts w:hint="eastAsia" w:ascii="楷体" w:hAnsi="楷体" w:eastAsia="楷体" w:cs="楷体"/>
                <w:bCs/>
                <w:color w:val="auto"/>
                <w:sz w:val="24"/>
                <w:highlight w:val="none"/>
              </w:rPr>
              <w:t>名单数组成，其中招标人代表</w:t>
            </w:r>
            <w:r>
              <w:rPr>
                <w:rFonts w:hint="eastAsia" w:ascii="楷体" w:hAnsi="楷体" w:eastAsia="楷体" w:cs="楷体"/>
                <w:b/>
                <w:color w:val="auto"/>
                <w:sz w:val="24"/>
                <w:highlight w:val="none"/>
                <w:u w:val="single"/>
              </w:rPr>
              <w:t>1</w:t>
            </w:r>
            <w:r>
              <w:rPr>
                <w:rFonts w:hint="eastAsia" w:ascii="楷体" w:hAnsi="楷体" w:eastAsia="楷体" w:cs="楷体"/>
                <w:bCs/>
                <w:color w:val="auto"/>
                <w:sz w:val="24"/>
                <w:highlight w:val="none"/>
              </w:rPr>
              <w:t>名，其余</w:t>
            </w:r>
            <w:r>
              <w:rPr>
                <w:rFonts w:hint="eastAsia" w:ascii="楷体" w:hAnsi="楷体" w:eastAsia="楷体" w:cs="楷体"/>
                <w:b/>
                <w:color w:val="auto"/>
                <w:sz w:val="24"/>
                <w:highlight w:val="none"/>
                <w:u w:val="single"/>
              </w:rPr>
              <w:t>4</w:t>
            </w:r>
            <w:r>
              <w:rPr>
                <w:rFonts w:hint="eastAsia" w:ascii="楷体" w:hAnsi="楷体" w:eastAsia="楷体" w:cs="楷体"/>
                <w:bCs/>
                <w:color w:val="auto"/>
                <w:sz w:val="24"/>
                <w:highlight w:val="none"/>
              </w:rPr>
              <w:t>名专家从专家库随机抽取产生。</w:t>
            </w:r>
          </w:p>
        </w:tc>
      </w:tr>
      <w:tr w14:paraId="61A5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5BC787B">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23.1.3</w:t>
            </w:r>
          </w:p>
        </w:tc>
        <w:tc>
          <w:tcPr>
            <w:tcW w:w="4266" w:type="pct"/>
            <w:vAlign w:val="center"/>
          </w:tcPr>
          <w:p w14:paraId="034FC416">
            <w:pPr>
              <w:adjustRightInd w:val="0"/>
              <w:snapToGrid w:val="0"/>
              <w:spacing w:line="360" w:lineRule="exact"/>
              <w:rPr>
                <w:rFonts w:ascii="楷体" w:hAnsi="楷体" w:eastAsia="楷体" w:cs="楷体"/>
                <w:bCs/>
                <w:color w:val="auto"/>
                <w:sz w:val="24"/>
                <w:highlight w:val="none"/>
              </w:rPr>
            </w:pPr>
            <w:r>
              <w:rPr>
                <w:rFonts w:hint="eastAsia" w:ascii="楷体" w:hAnsi="楷体" w:eastAsia="楷体" w:cs="楷体"/>
                <w:bCs/>
                <w:color w:val="auto"/>
                <w:sz w:val="24"/>
                <w:highlight w:val="none"/>
              </w:rPr>
              <w:t>评标方法：综合评分法</w:t>
            </w:r>
          </w:p>
        </w:tc>
      </w:tr>
      <w:tr w14:paraId="3A00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BE16B64">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24.2</w:t>
            </w:r>
          </w:p>
        </w:tc>
        <w:tc>
          <w:tcPr>
            <w:tcW w:w="4266" w:type="pct"/>
            <w:vAlign w:val="center"/>
          </w:tcPr>
          <w:p w14:paraId="71D29025">
            <w:pPr>
              <w:adjustRightInd w:val="0"/>
              <w:snapToGrid w:val="0"/>
              <w:spacing w:line="360" w:lineRule="exact"/>
              <w:rPr>
                <w:rFonts w:ascii="楷体" w:hAnsi="楷体" w:eastAsia="楷体" w:cs="楷体"/>
                <w:bCs/>
                <w:color w:val="auto"/>
                <w:sz w:val="24"/>
                <w:highlight w:val="none"/>
              </w:rPr>
            </w:pPr>
            <w:r>
              <w:rPr>
                <w:rFonts w:hint="eastAsia" w:ascii="楷体" w:hAnsi="楷体" w:eastAsia="楷体" w:cs="楷体"/>
                <w:bCs/>
                <w:color w:val="auto"/>
                <w:sz w:val="24"/>
                <w:highlight w:val="none"/>
              </w:rPr>
              <w:t>定标原则：推荐综合得分排名第一的投标人为第一中标候选人，排名第二的投标人为第二中标候选人，排名第三的投标人为第三中标候选人。</w:t>
            </w:r>
          </w:p>
        </w:tc>
      </w:tr>
      <w:tr w14:paraId="0999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4FB288CB">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b/>
                <w:color w:val="auto"/>
                <w:sz w:val="24"/>
                <w:highlight w:val="none"/>
              </w:rPr>
              <w:t>（七）授予合同</w:t>
            </w:r>
          </w:p>
        </w:tc>
      </w:tr>
      <w:tr w14:paraId="4834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5114F6B">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30.1</w:t>
            </w:r>
          </w:p>
        </w:tc>
        <w:tc>
          <w:tcPr>
            <w:tcW w:w="4266" w:type="pct"/>
            <w:vAlign w:val="center"/>
          </w:tcPr>
          <w:p w14:paraId="3F968160">
            <w:pPr>
              <w:adjustRightInd w:val="0"/>
              <w:snapToGrid w:val="0"/>
              <w:spacing w:line="360" w:lineRule="exact"/>
              <w:rPr>
                <w:rFonts w:ascii="楷体" w:hAnsi="楷体" w:eastAsia="楷体" w:cs="楷体"/>
                <w:color w:val="auto"/>
                <w:sz w:val="24"/>
                <w:highlight w:val="none"/>
              </w:rPr>
            </w:pPr>
            <w:r>
              <w:rPr>
                <w:rFonts w:hint="eastAsia" w:ascii="楷体" w:hAnsi="楷体" w:eastAsia="楷体" w:cs="楷体"/>
                <w:color w:val="auto"/>
                <w:sz w:val="24"/>
                <w:highlight w:val="none"/>
              </w:rPr>
              <w:t>履约保证金：本项目不收取。</w:t>
            </w:r>
          </w:p>
        </w:tc>
      </w:tr>
      <w:tr w14:paraId="1003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2E74F190">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31.1</w:t>
            </w:r>
          </w:p>
        </w:tc>
        <w:tc>
          <w:tcPr>
            <w:tcW w:w="4266" w:type="pct"/>
            <w:vAlign w:val="center"/>
          </w:tcPr>
          <w:p w14:paraId="3E989929">
            <w:pPr>
              <w:tabs>
                <w:tab w:val="left" w:pos="425"/>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中标人须向招标代理机构按如下标准和规定交纳招标代理服务费：</w:t>
            </w:r>
          </w:p>
          <w:p w14:paraId="1D269BEF">
            <w:pPr>
              <w:numPr>
                <w:ilvl w:val="0"/>
                <w:numId w:val="7"/>
              </w:numPr>
              <w:adjustRightInd w:val="0"/>
              <w:snapToGrid w:val="0"/>
              <w:spacing w:line="360" w:lineRule="auto"/>
              <w:ind w:left="680" w:hanging="680"/>
              <w:rPr>
                <w:rFonts w:ascii="楷体" w:hAnsi="楷体" w:eastAsia="楷体" w:cs="楷体"/>
                <w:color w:val="auto"/>
                <w:sz w:val="24"/>
                <w:highlight w:val="none"/>
              </w:rPr>
            </w:pPr>
            <w:r>
              <w:rPr>
                <w:rFonts w:hint="eastAsia" w:ascii="楷体" w:hAnsi="楷体" w:eastAsia="楷体" w:cs="楷体"/>
                <w:color w:val="auto"/>
                <w:sz w:val="24"/>
                <w:highlight w:val="none"/>
              </w:rPr>
              <w:t>招标代理服务费以中标价作为招标代理服务费的计算基数，按原国家计委《招标代理服务收费管理暂行办法》（计价格[2002]1980号）规定的</w:t>
            </w:r>
            <w:r>
              <w:rPr>
                <w:rFonts w:hint="eastAsia" w:ascii="楷体" w:hAnsi="楷体" w:eastAsia="楷体" w:cs="楷体"/>
                <w:b/>
                <w:bCs/>
                <w:color w:val="auto"/>
                <w:sz w:val="24"/>
                <w:highlight w:val="none"/>
              </w:rPr>
              <w:t>“服务类”</w:t>
            </w:r>
            <w:r>
              <w:rPr>
                <w:rFonts w:hint="eastAsia" w:ascii="楷体" w:hAnsi="楷体" w:eastAsia="楷体" w:cs="楷体"/>
                <w:color w:val="auto"/>
                <w:sz w:val="24"/>
                <w:highlight w:val="none"/>
              </w:rPr>
              <w:t>收费标准计算。</w:t>
            </w:r>
          </w:p>
          <w:p w14:paraId="0CD49C84">
            <w:pPr>
              <w:numPr>
                <w:ilvl w:val="0"/>
                <w:numId w:val="7"/>
              </w:numPr>
              <w:adjustRightInd w:val="0"/>
              <w:snapToGrid w:val="0"/>
              <w:spacing w:line="360" w:lineRule="auto"/>
              <w:ind w:left="680" w:hanging="680"/>
              <w:rPr>
                <w:rFonts w:ascii="楷体" w:hAnsi="楷体" w:eastAsia="楷体" w:cs="楷体"/>
                <w:color w:val="auto"/>
                <w:sz w:val="24"/>
                <w:highlight w:val="none"/>
              </w:rPr>
            </w:pPr>
            <w:r>
              <w:rPr>
                <w:rFonts w:hint="eastAsia" w:ascii="楷体" w:hAnsi="楷体" w:eastAsia="楷体" w:cs="楷体"/>
                <w:color w:val="auto"/>
                <w:sz w:val="24"/>
                <w:highlight w:val="none"/>
              </w:rPr>
              <w:t>招标代理服务费按差额定率累进法计算。</w:t>
            </w:r>
          </w:p>
          <w:p w14:paraId="75FE73BF">
            <w:pPr>
              <w:numPr>
                <w:ilvl w:val="0"/>
                <w:numId w:val="7"/>
              </w:numPr>
              <w:adjustRightInd w:val="0"/>
              <w:snapToGrid w:val="0"/>
              <w:spacing w:line="360" w:lineRule="auto"/>
              <w:ind w:left="680" w:hanging="680"/>
              <w:rPr>
                <w:rFonts w:ascii="楷体" w:hAnsi="楷体" w:eastAsia="楷体" w:cs="楷体"/>
                <w:color w:val="auto"/>
                <w:sz w:val="24"/>
                <w:highlight w:val="none"/>
              </w:rPr>
            </w:pPr>
            <w:r>
              <w:rPr>
                <w:rFonts w:hint="eastAsia" w:ascii="楷体" w:hAnsi="楷体" w:eastAsia="楷体" w:cs="楷体"/>
                <w:color w:val="auto"/>
                <w:sz w:val="24"/>
                <w:highlight w:val="none"/>
              </w:rPr>
              <w:t>招标代理服务费的交纳形式：采用现金或转账付款方式。</w:t>
            </w:r>
          </w:p>
          <w:p w14:paraId="5F62AC10">
            <w:pPr>
              <w:numPr>
                <w:ilvl w:val="0"/>
                <w:numId w:val="7"/>
              </w:numPr>
              <w:adjustRightInd w:val="0"/>
              <w:snapToGrid w:val="0"/>
              <w:spacing w:line="360" w:lineRule="auto"/>
              <w:ind w:left="680" w:hanging="680"/>
              <w:rPr>
                <w:rFonts w:ascii="楷体" w:hAnsi="楷体" w:eastAsia="楷体" w:cs="楷体"/>
                <w:color w:val="auto"/>
                <w:sz w:val="24"/>
                <w:highlight w:val="none"/>
              </w:rPr>
            </w:pPr>
            <w:r>
              <w:rPr>
                <w:rFonts w:hint="eastAsia" w:ascii="楷体" w:hAnsi="楷体" w:eastAsia="楷体" w:cs="楷体"/>
                <w:color w:val="auto"/>
                <w:sz w:val="24"/>
                <w:highlight w:val="none"/>
              </w:rPr>
              <w:t>招标代理服务费付至：</w:t>
            </w:r>
          </w:p>
          <w:p w14:paraId="0A30D791">
            <w:pPr>
              <w:adjustRightInd w:val="0"/>
              <w:snapToGrid w:val="0"/>
              <w:spacing w:line="360" w:lineRule="auto"/>
              <w:ind w:firstLine="698" w:firstLineChars="291"/>
              <w:rPr>
                <w:rFonts w:ascii="楷体" w:hAnsi="楷体" w:eastAsia="楷体" w:cs="楷体"/>
                <w:color w:val="auto"/>
                <w:sz w:val="24"/>
                <w:highlight w:val="none"/>
              </w:rPr>
            </w:pPr>
            <w:r>
              <w:rPr>
                <w:rFonts w:hint="eastAsia" w:ascii="楷体" w:hAnsi="楷体" w:eastAsia="楷体" w:cs="楷体"/>
                <w:color w:val="auto"/>
                <w:sz w:val="24"/>
                <w:highlight w:val="none"/>
              </w:rPr>
              <w:t>收款人名称：广东鼎信招标采购有限公司</w:t>
            </w:r>
          </w:p>
          <w:p w14:paraId="56DD0C78">
            <w:pPr>
              <w:adjustRightInd w:val="0"/>
              <w:snapToGrid w:val="0"/>
              <w:spacing w:line="360" w:lineRule="auto"/>
              <w:ind w:firstLine="698" w:firstLineChars="291"/>
              <w:rPr>
                <w:rFonts w:ascii="楷体" w:hAnsi="楷体" w:eastAsia="楷体" w:cs="楷体"/>
                <w:color w:val="auto"/>
                <w:sz w:val="24"/>
                <w:highlight w:val="none"/>
              </w:rPr>
            </w:pPr>
            <w:r>
              <w:rPr>
                <w:rFonts w:hint="eastAsia" w:ascii="楷体" w:hAnsi="楷体" w:eastAsia="楷体" w:cs="楷体"/>
                <w:color w:val="auto"/>
                <w:sz w:val="24"/>
                <w:highlight w:val="none"/>
              </w:rPr>
              <w:t>开户银行：中国建设银行股份有限公司广州石牌支行</w:t>
            </w:r>
          </w:p>
          <w:p w14:paraId="4FA67AE4">
            <w:pPr>
              <w:adjustRightInd w:val="0"/>
              <w:snapToGrid w:val="0"/>
              <w:spacing w:line="360" w:lineRule="auto"/>
              <w:ind w:firstLine="698" w:firstLineChars="291"/>
              <w:rPr>
                <w:rFonts w:ascii="楷体" w:hAnsi="楷体" w:eastAsia="楷体" w:cs="楷体"/>
                <w:color w:val="auto"/>
                <w:sz w:val="24"/>
                <w:highlight w:val="none"/>
              </w:rPr>
            </w:pPr>
            <w:r>
              <w:rPr>
                <w:rFonts w:hint="eastAsia" w:ascii="楷体" w:hAnsi="楷体" w:eastAsia="楷体" w:cs="楷体"/>
                <w:color w:val="auto"/>
                <w:sz w:val="24"/>
                <w:highlight w:val="none"/>
              </w:rPr>
              <w:t>账    号：44050158050200000686</w:t>
            </w:r>
          </w:p>
        </w:tc>
      </w:tr>
      <w:tr w14:paraId="25D9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7BBCFC83">
            <w:pPr>
              <w:adjustRightInd w:val="0"/>
              <w:snapToGrid w:val="0"/>
              <w:spacing w:line="360" w:lineRule="exact"/>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补充条款</w:t>
            </w:r>
          </w:p>
        </w:tc>
      </w:tr>
      <w:tr w14:paraId="7BE0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8E2BB76">
            <w:pPr>
              <w:adjustRightInd w:val="0"/>
              <w:snapToGrid w:val="0"/>
              <w:spacing w:line="360" w:lineRule="exact"/>
              <w:jc w:val="center"/>
              <w:rPr>
                <w:rFonts w:ascii="楷体" w:hAnsi="楷体" w:eastAsia="楷体" w:cs="楷体"/>
                <w:bCs/>
                <w:color w:val="auto"/>
                <w:sz w:val="24"/>
                <w:highlight w:val="none"/>
              </w:rPr>
            </w:pPr>
            <w:r>
              <w:rPr>
                <w:rFonts w:hint="eastAsia" w:ascii="楷体" w:hAnsi="楷体" w:eastAsia="楷体" w:cs="楷体"/>
                <w:bCs/>
                <w:color w:val="auto"/>
                <w:sz w:val="24"/>
                <w:highlight w:val="none"/>
              </w:rPr>
              <w:t>信息发布</w:t>
            </w:r>
          </w:p>
          <w:p w14:paraId="62105CB4">
            <w:pPr>
              <w:adjustRightInd w:val="0"/>
              <w:snapToGrid w:val="0"/>
              <w:spacing w:line="360" w:lineRule="exact"/>
              <w:jc w:val="center"/>
              <w:rPr>
                <w:rFonts w:ascii="楷体" w:hAnsi="楷体" w:eastAsia="楷体" w:cs="楷体"/>
                <w:color w:val="auto"/>
                <w:sz w:val="24"/>
                <w:highlight w:val="none"/>
              </w:rPr>
            </w:pPr>
            <w:r>
              <w:rPr>
                <w:rFonts w:hint="eastAsia" w:ascii="楷体" w:hAnsi="楷体" w:eastAsia="楷体" w:cs="楷体"/>
                <w:bCs/>
                <w:color w:val="auto"/>
                <w:sz w:val="24"/>
                <w:highlight w:val="none"/>
              </w:rPr>
              <w:t>媒体</w:t>
            </w:r>
          </w:p>
        </w:tc>
        <w:tc>
          <w:tcPr>
            <w:tcW w:w="4266" w:type="pct"/>
            <w:vAlign w:val="center"/>
          </w:tcPr>
          <w:p w14:paraId="023AC954">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中国采购与招标网（www.chinabidding.com.cn)</w:t>
            </w:r>
          </w:p>
          <w:p w14:paraId="54EF601B">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中国招投标网（www.infobidding.com）</w:t>
            </w:r>
          </w:p>
          <w:p w14:paraId="481C3F1D">
            <w:p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广东鼎信招标采购有限公司网站（www.gddingxin.com）</w:t>
            </w:r>
          </w:p>
        </w:tc>
      </w:tr>
    </w:tbl>
    <w:p w14:paraId="4028280F">
      <w:pPr>
        <w:rPr>
          <w:rFonts w:ascii="楷体" w:hAnsi="楷体" w:eastAsia="楷体" w:cs="楷体"/>
          <w:color w:val="auto"/>
          <w:highlight w:val="none"/>
        </w:rPr>
      </w:pPr>
      <w:bookmarkStart w:id="58" w:name="_Toc4284"/>
      <w:bookmarkStart w:id="59" w:name="_Toc10375"/>
      <w:bookmarkStart w:id="60" w:name="_Toc423021940"/>
      <w:bookmarkStart w:id="61" w:name="_Toc7469"/>
      <w:bookmarkStart w:id="62" w:name="_Toc7064"/>
      <w:bookmarkStart w:id="63" w:name="_Toc9865"/>
      <w:r>
        <w:rPr>
          <w:rFonts w:hint="eastAsia" w:ascii="楷体" w:hAnsi="楷体" w:eastAsia="楷体" w:cs="楷体"/>
          <w:color w:val="auto"/>
          <w:highlight w:val="none"/>
        </w:rPr>
        <w:br w:type="page"/>
      </w:r>
    </w:p>
    <w:p w14:paraId="462BCAA7">
      <w:pPr>
        <w:pStyle w:val="4"/>
        <w:numPr>
          <w:ilvl w:val="0"/>
          <w:numId w:val="8"/>
        </w:numPr>
        <w:jc w:val="center"/>
        <w:rPr>
          <w:rFonts w:ascii="楷体" w:hAnsi="楷体" w:eastAsia="楷体" w:cs="楷体"/>
          <w:color w:val="auto"/>
          <w:highlight w:val="none"/>
        </w:rPr>
      </w:pPr>
      <w:r>
        <w:rPr>
          <w:rFonts w:hint="eastAsia" w:ascii="楷体" w:hAnsi="楷体" w:eastAsia="楷体" w:cs="楷体"/>
          <w:color w:val="auto"/>
          <w:highlight w:val="none"/>
        </w:rPr>
        <w:t>总则</w:t>
      </w:r>
      <w:bookmarkEnd w:id="58"/>
      <w:bookmarkEnd w:id="59"/>
      <w:bookmarkEnd w:id="60"/>
      <w:bookmarkEnd w:id="61"/>
      <w:bookmarkEnd w:id="62"/>
      <w:bookmarkEnd w:id="63"/>
    </w:p>
    <w:p w14:paraId="60F9864B">
      <w:pPr>
        <w:pStyle w:val="5"/>
        <w:numPr>
          <w:ilvl w:val="0"/>
          <w:numId w:val="9"/>
        </w:numPr>
        <w:ind w:hanging="5"/>
        <w:rPr>
          <w:rFonts w:ascii="楷体" w:hAnsi="楷体" w:eastAsia="楷体" w:cs="楷体"/>
          <w:color w:val="auto"/>
          <w:sz w:val="28"/>
          <w:szCs w:val="28"/>
          <w:highlight w:val="none"/>
          <w:lang w:val="zh-CN"/>
        </w:rPr>
      </w:pPr>
      <w:bookmarkStart w:id="64" w:name="_Toc22757"/>
      <w:bookmarkStart w:id="65" w:name="_Toc1400"/>
      <w:bookmarkStart w:id="66" w:name="_Toc351"/>
      <w:bookmarkStart w:id="67" w:name="_Toc13429"/>
      <w:bookmarkStart w:id="68" w:name="_Toc14827"/>
      <w:r>
        <w:rPr>
          <w:rFonts w:hint="eastAsia" w:ascii="楷体" w:hAnsi="楷体" w:eastAsia="楷体" w:cs="楷体"/>
          <w:color w:val="auto"/>
          <w:sz w:val="28"/>
          <w:szCs w:val="28"/>
          <w:highlight w:val="none"/>
          <w:lang w:val="zh-CN"/>
        </w:rPr>
        <w:t>招标项目与采购当事人</w:t>
      </w:r>
      <w:bookmarkEnd w:id="64"/>
      <w:bookmarkEnd w:id="65"/>
      <w:bookmarkEnd w:id="66"/>
      <w:bookmarkEnd w:id="67"/>
      <w:bookmarkEnd w:id="68"/>
    </w:p>
    <w:p w14:paraId="170F2A17">
      <w:pPr>
        <w:numPr>
          <w:ilvl w:val="1"/>
          <w:numId w:val="10"/>
        </w:numPr>
        <w:tabs>
          <w:tab w:val="left" w:pos="1050"/>
          <w:tab w:val="clear" w:pos="907"/>
        </w:tabs>
        <w:spacing w:line="360" w:lineRule="auto"/>
        <w:ind w:left="1007" w:hanging="587"/>
        <w:rPr>
          <w:rFonts w:ascii="楷体" w:hAnsi="楷体" w:eastAsia="楷体" w:cs="楷体"/>
          <w:color w:val="auto"/>
          <w:sz w:val="24"/>
          <w:highlight w:val="none"/>
          <w:lang w:val="zh-CN"/>
        </w:rPr>
      </w:pPr>
      <w:bookmarkStart w:id="69" w:name="_Toc21444"/>
      <w:r>
        <w:rPr>
          <w:rFonts w:hint="eastAsia" w:ascii="楷体" w:hAnsi="楷体" w:eastAsia="楷体" w:cs="楷体"/>
          <w:color w:val="auto"/>
          <w:sz w:val="24"/>
          <w:highlight w:val="none"/>
          <w:lang w:val="zh-CN"/>
        </w:rPr>
        <w:t>本招标文件</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中所述的招标人已经获得足以支付本次采购后所签订的合同项下的款项。</w:t>
      </w:r>
    </w:p>
    <w:p w14:paraId="3207D6B3">
      <w:pPr>
        <w:numPr>
          <w:ilvl w:val="1"/>
          <w:numId w:val="10"/>
        </w:numPr>
        <w:tabs>
          <w:tab w:val="left" w:pos="105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本次采购的招标人和招标代理机构（以下简称招标代理机构）的名称、地址、联系人、电话、传真和电子邮箱见</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w:t>
      </w:r>
    </w:p>
    <w:p w14:paraId="50EFFC80">
      <w:pPr>
        <w:pStyle w:val="5"/>
        <w:numPr>
          <w:ilvl w:val="0"/>
          <w:numId w:val="9"/>
        </w:numPr>
        <w:ind w:hanging="5"/>
        <w:rPr>
          <w:rFonts w:ascii="楷体" w:hAnsi="楷体" w:eastAsia="楷体" w:cs="楷体"/>
          <w:color w:val="auto"/>
          <w:sz w:val="28"/>
          <w:szCs w:val="28"/>
          <w:highlight w:val="none"/>
          <w:lang w:val="zh-CN"/>
        </w:rPr>
      </w:pPr>
      <w:bookmarkStart w:id="70" w:name="_Toc27836"/>
      <w:bookmarkStart w:id="71" w:name="_Toc13363"/>
      <w:bookmarkStart w:id="72" w:name="_Toc22760"/>
      <w:bookmarkStart w:id="73" w:name="_Toc23656"/>
      <w:r>
        <w:rPr>
          <w:rFonts w:hint="eastAsia" w:ascii="楷体" w:hAnsi="楷体" w:eastAsia="楷体" w:cs="楷体"/>
          <w:color w:val="auto"/>
          <w:sz w:val="28"/>
          <w:szCs w:val="28"/>
          <w:highlight w:val="none"/>
          <w:lang w:val="zh-CN"/>
        </w:rPr>
        <w:t>合格的投标人</w:t>
      </w:r>
      <w:bookmarkEnd w:id="69"/>
      <w:bookmarkEnd w:id="70"/>
      <w:bookmarkEnd w:id="71"/>
      <w:bookmarkEnd w:id="72"/>
      <w:bookmarkEnd w:id="73"/>
    </w:p>
    <w:p w14:paraId="23154AA1">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投标人是响应招标、已在招标人或招标代理机构处领购招标文件并参加投标竞争的法人或其他组织。</w:t>
      </w:r>
    </w:p>
    <w:p w14:paraId="2A7B3DC0">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任何未在招标人或招标代理机构处领购招标文件的法人或其他组织均不得参加投标。</w:t>
      </w:r>
    </w:p>
    <w:p w14:paraId="47B5E232">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除非另有规定，凡是来自中华人民共和国的法人或其他组织均可投标。</w:t>
      </w:r>
    </w:p>
    <w:p w14:paraId="75058633">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与招标人存在利害关系可能影响招标公正性的法人或其他组织不得参加投标。</w:t>
      </w:r>
    </w:p>
    <w:p w14:paraId="032C8D90">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接受委托参与项目前期咨询和招标文件编制的法人或其他组织不得参加受托项目的投标，也不得为该项目的投标人编制投标文件或者提供咨询。</w:t>
      </w:r>
    </w:p>
    <w:p w14:paraId="7F43FF1D">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单位负责人为同一人或者存在控股、管理关系的不同单位，不得参加同一招标项目（或包组）的投标，共同组成联合体投标的除外。</w:t>
      </w:r>
    </w:p>
    <w:p w14:paraId="3859FF2E">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联合体各方不得在同一招标项目（或包组）中以自己名义单独投标或者参加其他联合体投标。</w:t>
      </w:r>
    </w:p>
    <w:p w14:paraId="4107795F">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只有在法律上和财务上独立、合法运作并独立于招标人和招标代理机构的供应商（服务商）才能参加投标。</w:t>
      </w:r>
    </w:p>
    <w:p w14:paraId="7FAF7194">
      <w:pPr>
        <w:numPr>
          <w:ilvl w:val="1"/>
          <w:numId w:val="11"/>
        </w:numPr>
        <w:tabs>
          <w:tab w:val="left" w:pos="1060"/>
          <w:tab w:val="clear" w:pos="907"/>
        </w:tabs>
        <w:spacing w:line="360" w:lineRule="auto"/>
        <w:ind w:left="1007" w:hanging="5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招标文件要求的其他条款。</w:t>
      </w:r>
    </w:p>
    <w:p w14:paraId="20B948DB">
      <w:pPr>
        <w:pStyle w:val="5"/>
        <w:numPr>
          <w:ilvl w:val="0"/>
          <w:numId w:val="9"/>
        </w:numPr>
        <w:ind w:hanging="5"/>
        <w:rPr>
          <w:rFonts w:ascii="楷体" w:hAnsi="楷体" w:eastAsia="楷体" w:cs="楷体"/>
          <w:color w:val="auto"/>
          <w:sz w:val="28"/>
          <w:szCs w:val="28"/>
          <w:highlight w:val="none"/>
          <w:lang w:val="zh-CN"/>
        </w:rPr>
      </w:pPr>
      <w:bookmarkStart w:id="74" w:name="_Toc24118"/>
      <w:r>
        <w:rPr>
          <w:rFonts w:hint="eastAsia" w:ascii="楷体" w:hAnsi="楷体" w:eastAsia="楷体" w:cs="楷体"/>
          <w:color w:val="auto"/>
          <w:sz w:val="28"/>
          <w:szCs w:val="28"/>
          <w:highlight w:val="none"/>
          <w:lang w:val="zh-CN"/>
        </w:rPr>
        <w:t>合格的货物、服务</w:t>
      </w:r>
      <w:r>
        <w:rPr>
          <w:rFonts w:hint="eastAsia" w:ascii="楷体" w:hAnsi="楷体" w:eastAsia="楷体" w:cs="楷体"/>
          <w:color w:val="auto"/>
          <w:sz w:val="28"/>
          <w:szCs w:val="28"/>
          <w:highlight w:val="none"/>
        </w:rPr>
        <w:t>和工程</w:t>
      </w:r>
      <w:bookmarkEnd w:id="74"/>
    </w:p>
    <w:p w14:paraId="751EFFBC">
      <w:pPr>
        <w:numPr>
          <w:ilvl w:val="1"/>
          <w:numId w:val="12"/>
        </w:numPr>
        <w:tabs>
          <w:tab w:val="left" w:pos="1040"/>
          <w:tab w:val="left" w:pos="1260"/>
          <w:tab w:val="clear" w:pos="907"/>
        </w:tabs>
        <w:spacing w:line="360" w:lineRule="auto"/>
        <w:ind w:left="1027" w:hanging="6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投标人应提交证明其拟提供的货物、服务和工程符合文件规定的证明文件，作为其响应文件的一部分。</w:t>
      </w:r>
    </w:p>
    <w:p w14:paraId="20F988DE">
      <w:pPr>
        <w:numPr>
          <w:ilvl w:val="1"/>
          <w:numId w:val="12"/>
        </w:numPr>
        <w:tabs>
          <w:tab w:val="left" w:pos="1040"/>
          <w:tab w:val="left" w:pos="1260"/>
          <w:tab w:val="clear" w:pos="907"/>
        </w:tabs>
        <w:spacing w:line="360" w:lineRule="auto"/>
        <w:ind w:left="1027" w:hanging="6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合格的货物是指投标人生产或销售的，符合国家有关标准要求的产品，并满足招标文件规定的规格、参数、质量、价格、有效期、售后服务等要求。</w:t>
      </w:r>
    </w:p>
    <w:p w14:paraId="441BF822">
      <w:pPr>
        <w:numPr>
          <w:ilvl w:val="1"/>
          <w:numId w:val="12"/>
        </w:numPr>
        <w:tabs>
          <w:tab w:val="left" w:pos="1040"/>
          <w:tab w:val="left" w:pos="1260"/>
          <w:tab w:val="clear" w:pos="907"/>
        </w:tabs>
        <w:spacing w:line="360" w:lineRule="auto"/>
        <w:ind w:left="1027" w:hanging="6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投标货物必须是全新的，如安装或配置软件的，须为正版软件。</w:t>
      </w:r>
    </w:p>
    <w:p w14:paraId="1253F3E1">
      <w:pPr>
        <w:numPr>
          <w:ilvl w:val="1"/>
          <w:numId w:val="12"/>
        </w:numPr>
        <w:tabs>
          <w:tab w:val="left" w:pos="1040"/>
          <w:tab w:val="left" w:pos="1260"/>
          <w:tab w:val="clear" w:pos="907"/>
        </w:tabs>
        <w:spacing w:line="360" w:lineRule="auto"/>
        <w:ind w:left="1027" w:hanging="6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应保证本项目的技术、服务或其任何一部分不会产生因第三方提出侵犯其专利权、商标权或其他知识产权而引起的法律和经济纠纷。如果投标人不拥有相应的知识产权，则须在报价中包含合法获取该知识产权的相关费用，并在投标文件中附有相关证明文件。如因第三方提出其专利权、商标权或其他知识产权的侵权之诉，则一切法律责任由投标人承担。</w:t>
      </w:r>
    </w:p>
    <w:p w14:paraId="69EFB1EE">
      <w:pPr>
        <w:numPr>
          <w:ilvl w:val="1"/>
          <w:numId w:val="12"/>
        </w:numPr>
        <w:tabs>
          <w:tab w:val="left" w:pos="1040"/>
          <w:tab w:val="left" w:pos="1260"/>
          <w:tab w:val="clear" w:pos="907"/>
        </w:tabs>
        <w:spacing w:line="360" w:lineRule="auto"/>
        <w:ind w:left="1027" w:hanging="6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合格的货物、服务和工程是指投标人须承担的运输、安装、技术支持、培训以及招标文件规定的其它伴随服务。</w:t>
      </w:r>
    </w:p>
    <w:p w14:paraId="25F0F0F2">
      <w:pPr>
        <w:pStyle w:val="4"/>
        <w:numPr>
          <w:ilvl w:val="0"/>
          <w:numId w:val="8"/>
        </w:numPr>
        <w:jc w:val="center"/>
        <w:rPr>
          <w:rFonts w:ascii="楷体" w:hAnsi="楷体" w:eastAsia="楷体" w:cs="楷体"/>
          <w:color w:val="auto"/>
          <w:highlight w:val="none"/>
        </w:rPr>
      </w:pPr>
      <w:bookmarkStart w:id="75" w:name="_Toc14728"/>
      <w:bookmarkStart w:id="76" w:name="_Toc15895"/>
      <w:bookmarkStart w:id="77" w:name="_Toc9831"/>
      <w:r>
        <w:rPr>
          <w:rFonts w:hint="eastAsia" w:ascii="楷体" w:hAnsi="楷体" w:eastAsia="楷体" w:cs="楷体"/>
          <w:color w:val="auto"/>
          <w:highlight w:val="none"/>
        </w:rPr>
        <w:t>招标文件</w:t>
      </w:r>
      <w:bookmarkEnd w:id="75"/>
      <w:bookmarkEnd w:id="76"/>
      <w:bookmarkEnd w:id="77"/>
    </w:p>
    <w:p w14:paraId="188AFD43">
      <w:pPr>
        <w:pStyle w:val="5"/>
        <w:numPr>
          <w:ilvl w:val="0"/>
          <w:numId w:val="9"/>
        </w:numPr>
        <w:ind w:hanging="5"/>
        <w:rPr>
          <w:rFonts w:ascii="楷体" w:hAnsi="楷体" w:eastAsia="楷体" w:cs="楷体"/>
          <w:color w:val="auto"/>
          <w:sz w:val="28"/>
          <w:szCs w:val="28"/>
          <w:highlight w:val="none"/>
          <w:lang w:val="zh-CN"/>
        </w:rPr>
      </w:pPr>
      <w:bookmarkStart w:id="78" w:name="_Toc7500"/>
      <w:bookmarkStart w:id="79" w:name="_Toc4639"/>
      <w:bookmarkStart w:id="80" w:name="_Toc11137"/>
      <w:bookmarkStart w:id="81" w:name="_Toc19169"/>
      <w:bookmarkStart w:id="82" w:name="_Toc30977"/>
      <w:r>
        <w:rPr>
          <w:rFonts w:hint="eastAsia" w:ascii="楷体" w:hAnsi="楷体" w:eastAsia="楷体" w:cs="楷体"/>
          <w:color w:val="auto"/>
          <w:sz w:val="28"/>
          <w:szCs w:val="28"/>
          <w:highlight w:val="none"/>
          <w:lang w:val="zh-CN"/>
        </w:rPr>
        <w:t>招标文件的编制依据和组成</w:t>
      </w:r>
      <w:bookmarkEnd w:id="78"/>
      <w:bookmarkEnd w:id="79"/>
      <w:bookmarkEnd w:id="80"/>
      <w:bookmarkEnd w:id="81"/>
      <w:bookmarkEnd w:id="82"/>
    </w:p>
    <w:p w14:paraId="59FC02E5">
      <w:pPr>
        <w:numPr>
          <w:ilvl w:val="1"/>
          <w:numId w:val="13"/>
        </w:numPr>
        <w:tabs>
          <w:tab w:val="left" w:pos="1060"/>
          <w:tab w:val="clear" w:pos="907"/>
        </w:tabs>
        <w:spacing w:line="360" w:lineRule="auto"/>
        <w:ind w:left="1047" w:hanging="627"/>
        <w:rPr>
          <w:rFonts w:ascii="楷体" w:hAnsi="楷体" w:eastAsia="楷体" w:cs="楷体"/>
          <w:color w:val="auto"/>
          <w:sz w:val="24"/>
          <w:highlight w:val="none"/>
          <w:lang w:val="zh-CN"/>
        </w:rPr>
      </w:pPr>
      <w:bookmarkStart w:id="83" w:name="_Toc413372447"/>
      <w:bookmarkStart w:id="84" w:name="_Toc413372889"/>
      <w:bookmarkStart w:id="85" w:name="_Toc413373035"/>
      <w:r>
        <w:rPr>
          <w:rFonts w:hint="eastAsia" w:ascii="楷体" w:hAnsi="楷体" w:eastAsia="楷体" w:cs="楷体"/>
          <w:color w:val="auto"/>
          <w:sz w:val="24"/>
          <w:highlight w:val="none"/>
          <w:lang w:val="zh-CN"/>
        </w:rPr>
        <w:t>本招标文件的编制依据参照</w:t>
      </w:r>
      <w:r>
        <w:rPr>
          <w:rFonts w:hint="eastAsia" w:ascii="楷体" w:hAnsi="楷体" w:eastAsia="楷体" w:cs="楷体"/>
          <w:color w:val="auto"/>
          <w:sz w:val="24"/>
          <w:highlight w:val="none"/>
        </w:rPr>
        <w:t>《中华人民共和国招标投标法》、《中华人民共和国招标投标法实施条例》</w:t>
      </w:r>
      <w:r>
        <w:rPr>
          <w:rFonts w:hint="eastAsia" w:ascii="楷体" w:hAnsi="楷体" w:eastAsia="楷体" w:cs="楷体"/>
          <w:color w:val="auto"/>
          <w:sz w:val="24"/>
          <w:highlight w:val="none"/>
          <w:lang w:val="zh-CN"/>
        </w:rPr>
        <w:t>及其配套的法规、规章、规范性文件等。</w:t>
      </w:r>
      <w:bookmarkEnd w:id="83"/>
      <w:bookmarkEnd w:id="84"/>
      <w:bookmarkEnd w:id="85"/>
    </w:p>
    <w:p w14:paraId="7DCC1AB5">
      <w:pPr>
        <w:numPr>
          <w:ilvl w:val="1"/>
          <w:numId w:val="13"/>
        </w:numPr>
        <w:tabs>
          <w:tab w:val="left" w:pos="1060"/>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招标文件由下列文件以及在招标过程中发出的澄清、修改和补充文件组成，共六章：</w:t>
      </w:r>
    </w:p>
    <w:p w14:paraId="237BD8D3">
      <w:pPr>
        <w:tabs>
          <w:tab w:val="left" w:pos="1060"/>
        </w:tabs>
        <w:adjustRightInd w:val="0"/>
        <w:snapToGrid w:val="0"/>
        <w:spacing w:line="360" w:lineRule="auto"/>
        <w:ind w:firstLine="1260" w:firstLineChars="525"/>
        <w:rPr>
          <w:rFonts w:ascii="楷体" w:hAnsi="楷体" w:eastAsia="楷体" w:cs="楷体"/>
          <w:color w:val="auto"/>
          <w:sz w:val="24"/>
          <w:highlight w:val="none"/>
        </w:rPr>
      </w:pPr>
      <w:r>
        <w:rPr>
          <w:rFonts w:hint="eastAsia" w:ascii="楷体" w:hAnsi="楷体" w:eastAsia="楷体" w:cs="楷体"/>
          <w:color w:val="auto"/>
          <w:sz w:val="24"/>
          <w:highlight w:val="none"/>
        </w:rPr>
        <w:t>第一章 投标邀请函</w:t>
      </w:r>
    </w:p>
    <w:p w14:paraId="0BDCDEED">
      <w:pPr>
        <w:adjustRightInd w:val="0"/>
        <w:snapToGrid w:val="0"/>
        <w:spacing w:line="360" w:lineRule="auto"/>
        <w:ind w:firstLine="1260" w:firstLineChars="525"/>
        <w:rPr>
          <w:rFonts w:ascii="楷体" w:hAnsi="楷体" w:eastAsia="楷体" w:cs="楷体"/>
          <w:color w:val="auto"/>
          <w:sz w:val="24"/>
          <w:highlight w:val="none"/>
        </w:rPr>
      </w:pPr>
      <w:r>
        <w:rPr>
          <w:rFonts w:hint="eastAsia" w:ascii="楷体" w:hAnsi="楷体" w:eastAsia="楷体" w:cs="楷体"/>
          <w:color w:val="auto"/>
          <w:sz w:val="24"/>
          <w:highlight w:val="none"/>
        </w:rPr>
        <w:t>第二章 投标人须知</w:t>
      </w:r>
    </w:p>
    <w:p w14:paraId="313E379D">
      <w:pPr>
        <w:adjustRightInd w:val="0"/>
        <w:snapToGrid w:val="0"/>
        <w:spacing w:line="360" w:lineRule="auto"/>
        <w:ind w:firstLine="1260" w:firstLineChars="525"/>
        <w:rPr>
          <w:rFonts w:ascii="楷体" w:hAnsi="楷体" w:eastAsia="楷体" w:cs="楷体"/>
          <w:color w:val="auto"/>
          <w:sz w:val="24"/>
          <w:highlight w:val="none"/>
        </w:rPr>
      </w:pPr>
      <w:r>
        <w:rPr>
          <w:rFonts w:hint="eastAsia" w:ascii="楷体" w:hAnsi="楷体" w:eastAsia="楷体" w:cs="楷体"/>
          <w:color w:val="auto"/>
          <w:sz w:val="24"/>
          <w:highlight w:val="none"/>
        </w:rPr>
        <w:t>第三章 评标体系与标准</w:t>
      </w:r>
    </w:p>
    <w:p w14:paraId="7E8AE529">
      <w:pPr>
        <w:adjustRightInd w:val="0"/>
        <w:snapToGrid w:val="0"/>
        <w:spacing w:line="360" w:lineRule="auto"/>
        <w:ind w:firstLine="1260" w:firstLineChars="525"/>
        <w:rPr>
          <w:rFonts w:ascii="楷体" w:hAnsi="楷体" w:eastAsia="楷体" w:cs="楷体"/>
          <w:color w:val="auto"/>
          <w:sz w:val="24"/>
          <w:highlight w:val="none"/>
        </w:rPr>
      </w:pPr>
      <w:r>
        <w:rPr>
          <w:rFonts w:hint="eastAsia" w:ascii="楷体" w:hAnsi="楷体" w:eastAsia="楷体" w:cs="楷体"/>
          <w:color w:val="auto"/>
          <w:sz w:val="24"/>
          <w:highlight w:val="none"/>
        </w:rPr>
        <w:t>第四章 用户需求书</w:t>
      </w:r>
    </w:p>
    <w:p w14:paraId="7521854D">
      <w:pPr>
        <w:adjustRightInd w:val="0"/>
        <w:snapToGrid w:val="0"/>
        <w:spacing w:line="360" w:lineRule="auto"/>
        <w:ind w:firstLine="1260" w:firstLineChars="525"/>
        <w:rPr>
          <w:rFonts w:ascii="楷体" w:hAnsi="楷体" w:eastAsia="楷体" w:cs="楷体"/>
          <w:color w:val="auto"/>
          <w:sz w:val="24"/>
          <w:highlight w:val="none"/>
        </w:rPr>
      </w:pPr>
      <w:r>
        <w:rPr>
          <w:rFonts w:hint="eastAsia" w:ascii="楷体" w:hAnsi="楷体" w:eastAsia="楷体" w:cs="楷体"/>
          <w:color w:val="auto"/>
          <w:sz w:val="24"/>
          <w:highlight w:val="none"/>
        </w:rPr>
        <w:t>第五章 合同格式</w:t>
      </w:r>
    </w:p>
    <w:p w14:paraId="527711C5">
      <w:pPr>
        <w:adjustRightInd w:val="0"/>
        <w:snapToGrid w:val="0"/>
        <w:spacing w:line="360" w:lineRule="auto"/>
        <w:ind w:firstLine="1260" w:firstLineChars="525"/>
        <w:rPr>
          <w:rFonts w:ascii="楷体" w:hAnsi="楷体" w:eastAsia="楷体" w:cs="楷体"/>
          <w:color w:val="auto"/>
          <w:sz w:val="24"/>
          <w:highlight w:val="none"/>
          <w:lang w:val="zh-CN"/>
        </w:rPr>
      </w:pPr>
      <w:r>
        <w:rPr>
          <w:rFonts w:hint="eastAsia" w:ascii="楷体" w:hAnsi="楷体" w:eastAsia="楷体" w:cs="楷体"/>
          <w:color w:val="auto"/>
          <w:sz w:val="24"/>
          <w:highlight w:val="none"/>
        </w:rPr>
        <w:t>第六章 投标文件格式</w:t>
      </w:r>
    </w:p>
    <w:p w14:paraId="7C139AC9">
      <w:pPr>
        <w:numPr>
          <w:ilvl w:val="1"/>
          <w:numId w:val="13"/>
        </w:numPr>
        <w:tabs>
          <w:tab w:val="left" w:pos="1060"/>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2269692C">
      <w:pPr>
        <w:pStyle w:val="5"/>
        <w:numPr>
          <w:ilvl w:val="0"/>
          <w:numId w:val="9"/>
        </w:numPr>
        <w:ind w:hanging="5"/>
        <w:rPr>
          <w:rFonts w:ascii="楷体" w:hAnsi="楷体" w:eastAsia="楷体" w:cs="楷体"/>
          <w:color w:val="auto"/>
          <w:sz w:val="28"/>
          <w:szCs w:val="28"/>
          <w:highlight w:val="none"/>
          <w:lang w:val="zh-CN"/>
        </w:rPr>
      </w:pPr>
      <w:bookmarkStart w:id="86" w:name="_Toc14116"/>
      <w:bookmarkStart w:id="87" w:name="_Toc25656"/>
      <w:bookmarkStart w:id="88" w:name="_Toc10350"/>
      <w:bookmarkStart w:id="89" w:name="_Toc14080"/>
      <w:bookmarkStart w:id="90" w:name="_Toc12309"/>
      <w:r>
        <w:rPr>
          <w:rFonts w:hint="eastAsia" w:ascii="楷体" w:hAnsi="楷体" w:eastAsia="楷体" w:cs="楷体"/>
          <w:color w:val="auto"/>
          <w:sz w:val="28"/>
          <w:szCs w:val="28"/>
          <w:highlight w:val="none"/>
          <w:lang w:val="zh-CN"/>
        </w:rPr>
        <w:t>招标文件的澄清和修改</w:t>
      </w:r>
      <w:bookmarkEnd w:id="86"/>
      <w:bookmarkEnd w:id="87"/>
      <w:bookmarkEnd w:id="88"/>
      <w:bookmarkEnd w:id="89"/>
      <w:bookmarkEnd w:id="90"/>
    </w:p>
    <w:p w14:paraId="57CA26CF">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42331727">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潜在投标人或者其他利害关系人对招标文件有异议的，应当在投标截止时间10日前提出。招标人应当自收到异议之日起3日内作出答复。</w:t>
      </w:r>
    </w:p>
    <w:p w14:paraId="0FFB6259">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rPr>
        <w:t>已领购招标文件投标人在收到上述通知后，应在24小时内以书面形式向招标代理机构确认，若投标人未在24小时内书面回复确认将视为同意修改内容，并有责任履行相应的义务。</w:t>
      </w:r>
    </w:p>
    <w:p w14:paraId="45CC1854">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招标文件的修改内容为招标文件的组成部分。</w:t>
      </w:r>
    </w:p>
    <w:p w14:paraId="2C25E3DE">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招标文件的澄清或修改均以书面形式明确的内容为准。当招标文件的澄清、修改、补充等在同一内容的表述不一致时，以最后发出的书面文件为准。</w:t>
      </w:r>
    </w:p>
    <w:p w14:paraId="4CA29E92">
      <w:pPr>
        <w:numPr>
          <w:ilvl w:val="1"/>
          <w:numId w:val="14"/>
        </w:numPr>
        <w:tabs>
          <w:tab w:val="left" w:pos="630"/>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0A00066">
      <w:pPr>
        <w:pStyle w:val="5"/>
        <w:numPr>
          <w:ilvl w:val="0"/>
          <w:numId w:val="9"/>
        </w:numPr>
        <w:ind w:hanging="5"/>
        <w:rPr>
          <w:rFonts w:ascii="楷体" w:hAnsi="楷体" w:eastAsia="楷体" w:cs="楷体"/>
          <w:color w:val="auto"/>
          <w:sz w:val="28"/>
          <w:szCs w:val="28"/>
          <w:highlight w:val="none"/>
          <w:lang w:val="zh-CN"/>
        </w:rPr>
      </w:pPr>
      <w:bookmarkStart w:id="91" w:name="_Toc5081"/>
      <w:bookmarkStart w:id="92" w:name="_Toc110"/>
      <w:bookmarkStart w:id="93" w:name="_Toc886"/>
      <w:bookmarkStart w:id="94" w:name="_Toc3032"/>
      <w:r>
        <w:rPr>
          <w:rFonts w:hint="eastAsia" w:ascii="楷体" w:hAnsi="楷体" w:eastAsia="楷体" w:cs="楷体"/>
          <w:color w:val="auto"/>
          <w:sz w:val="28"/>
          <w:szCs w:val="28"/>
          <w:highlight w:val="none"/>
          <w:lang w:val="zh-CN"/>
        </w:rPr>
        <w:t>答疑会或踏勘现场</w:t>
      </w:r>
      <w:bookmarkEnd w:id="91"/>
      <w:bookmarkEnd w:id="92"/>
      <w:bookmarkEnd w:id="93"/>
      <w:bookmarkEnd w:id="94"/>
    </w:p>
    <w:p w14:paraId="65132A4F">
      <w:pPr>
        <w:numPr>
          <w:ilvl w:val="1"/>
          <w:numId w:val="15"/>
        </w:numPr>
        <w:tabs>
          <w:tab w:val="left" w:pos="1060"/>
          <w:tab w:val="clear" w:pos="907"/>
        </w:tabs>
        <w:spacing w:line="360" w:lineRule="auto"/>
        <w:ind w:left="1087" w:hanging="667"/>
        <w:rPr>
          <w:rFonts w:ascii="楷体" w:hAnsi="楷体" w:eastAsia="楷体" w:cs="楷体"/>
          <w:color w:val="auto"/>
          <w:sz w:val="24"/>
          <w:highlight w:val="none"/>
          <w:lang w:val="zh-CN"/>
        </w:rPr>
      </w:pPr>
      <w:bookmarkStart w:id="95" w:name="_Toc423021942"/>
      <w:bookmarkStart w:id="96" w:name="_Toc14980"/>
      <w:r>
        <w:rPr>
          <w:rFonts w:hint="eastAsia" w:ascii="楷体" w:hAnsi="楷体" w:eastAsia="楷体" w:cs="楷体"/>
          <w:color w:val="auto"/>
          <w:sz w:val="24"/>
          <w:highlight w:val="none"/>
          <w:lang w:val="zh-CN"/>
        </w:rPr>
        <w:t>除非</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中另有规定，本项目不举行集中答疑会或统一组织踏勘现场，如举行集中答疑会或踏勘现场的，则按以下规定：</w:t>
      </w:r>
    </w:p>
    <w:p w14:paraId="6C7455B1">
      <w:pPr>
        <w:numPr>
          <w:ilvl w:val="1"/>
          <w:numId w:val="15"/>
        </w:numPr>
        <w:tabs>
          <w:tab w:val="left" w:pos="106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按</w:t>
      </w:r>
      <w:r>
        <w:rPr>
          <w:rFonts w:hint="eastAsia" w:ascii="楷体" w:hAnsi="楷体" w:eastAsia="楷体" w:cs="楷体"/>
          <w:b/>
          <w:bCs/>
          <w:color w:val="auto"/>
          <w:sz w:val="24"/>
          <w:highlight w:val="none"/>
          <w:lang w:val="zh-CN"/>
        </w:rPr>
        <w:t>投标邀请函</w:t>
      </w:r>
      <w:r>
        <w:rPr>
          <w:rFonts w:hint="eastAsia" w:ascii="楷体" w:hAnsi="楷体" w:eastAsia="楷体" w:cs="楷体"/>
          <w:color w:val="auto"/>
          <w:sz w:val="24"/>
          <w:highlight w:val="none"/>
          <w:lang w:val="zh-CN"/>
        </w:rPr>
        <w:t>中规定的日期、时间和地点组织公开答疑会或踏勘现场</w:t>
      </w:r>
      <w:r>
        <w:rPr>
          <w:rFonts w:hint="eastAsia" w:ascii="楷体" w:hAnsi="楷体" w:eastAsia="楷体" w:cs="楷体"/>
          <w:color w:val="auto"/>
          <w:sz w:val="24"/>
          <w:highlight w:val="none"/>
        </w:rPr>
        <w:t>。</w:t>
      </w:r>
    </w:p>
    <w:p w14:paraId="37BBA3A1">
      <w:pPr>
        <w:spacing w:line="360" w:lineRule="auto"/>
        <w:ind w:left="1140" w:leftChars="200" w:hanging="720" w:hangingChars="300"/>
        <w:rPr>
          <w:rFonts w:ascii="楷体" w:hAnsi="楷体" w:eastAsia="楷体" w:cs="楷体"/>
          <w:color w:val="auto"/>
          <w:sz w:val="24"/>
          <w:highlight w:val="none"/>
          <w:lang w:val="zh-CN"/>
        </w:rPr>
      </w:pPr>
      <w:r>
        <w:rPr>
          <w:rFonts w:hint="eastAsia" w:ascii="楷体" w:hAnsi="楷体" w:eastAsia="楷体" w:cs="楷体"/>
          <w:color w:val="auto"/>
          <w:sz w:val="24"/>
          <w:highlight w:val="none"/>
        </w:rPr>
        <w:t>6.2.1</w:t>
      </w:r>
      <w:r>
        <w:rPr>
          <w:rFonts w:hint="eastAsia" w:ascii="楷体" w:hAnsi="楷体" w:eastAsia="楷体" w:cs="楷体"/>
          <w:color w:val="auto"/>
          <w:sz w:val="24"/>
          <w:highlight w:val="none"/>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00F56BBC">
      <w:pPr>
        <w:spacing w:line="360" w:lineRule="auto"/>
        <w:ind w:left="1140" w:leftChars="200" w:hanging="720" w:hangingChars="300"/>
        <w:rPr>
          <w:rFonts w:ascii="楷体" w:hAnsi="楷体" w:eastAsia="楷体" w:cs="楷体"/>
          <w:color w:val="auto"/>
          <w:sz w:val="24"/>
          <w:highlight w:val="none"/>
          <w:lang w:val="zh-CN"/>
        </w:rPr>
      </w:pPr>
      <w:r>
        <w:rPr>
          <w:rFonts w:hint="eastAsia" w:ascii="楷体" w:hAnsi="楷体" w:eastAsia="楷体" w:cs="楷体"/>
          <w:color w:val="auto"/>
          <w:sz w:val="24"/>
          <w:highlight w:val="none"/>
        </w:rPr>
        <w:t xml:space="preserve">6.2.2 </w:t>
      </w:r>
      <w:r>
        <w:rPr>
          <w:rFonts w:hint="eastAsia" w:ascii="楷体" w:hAnsi="楷体" w:eastAsia="楷体" w:cs="楷体"/>
          <w:color w:val="auto"/>
          <w:sz w:val="24"/>
          <w:highlight w:val="none"/>
          <w:lang w:val="zh-CN"/>
        </w:rPr>
        <w:t>已购买招标文件的投标人如不出席答疑会或参加踏勘现场视为对招标文件所有内容无任何异议。</w:t>
      </w:r>
    </w:p>
    <w:p w14:paraId="5B150D3D">
      <w:pPr>
        <w:pStyle w:val="4"/>
        <w:numPr>
          <w:ilvl w:val="0"/>
          <w:numId w:val="8"/>
        </w:numPr>
        <w:jc w:val="center"/>
        <w:rPr>
          <w:rFonts w:ascii="楷体" w:hAnsi="楷体" w:eastAsia="楷体" w:cs="楷体"/>
          <w:color w:val="auto"/>
          <w:highlight w:val="none"/>
        </w:rPr>
      </w:pPr>
      <w:bookmarkStart w:id="97" w:name="_Toc20641"/>
      <w:bookmarkStart w:id="98" w:name="_Toc31120"/>
      <w:bookmarkStart w:id="99" w:name="_Toc26267"/>
      <w:bookmarkStart w:id="100" w:name="_Toc20380"/>
      <w:r>
        <w:rPr>
          <w:rFonts w:hint="eastAsia" w:ascii="楷体" w:hAnsi="楷体" w:eastAsia="楷体" w:cs="楷体"/>
          <w:color w:val="auto"/>
          <w:highlight w:val="none"/>
        </w:rPr>
        <w:t>投标文件的编制</w:t>
      </w:r>
      <w:bookmarkEnd w:id="95"/>
      <w:bookmarkEnd w:id="96"/>
      <w:bookmarkEnd w:id="97"/>
      <w:bookmarkEnd w:id="98"/>
      <w:bookmarkEnd w:id="99"/>
      <w:bookmarkEnd w:id="100"/>
    </w:p>
    <w:p w14:paraId="646C717C">
      <w:pPr>
        <w:pStyle w:val="5"/>
        <w:numPr>
          <w:ilvl w:val="0"/>
          <w:numId w:val="9"/>
        </w:numPr>
        <w:ind w:hanging="5"/>
        <w:rPr>
          <w:rFonts w:ascii="楷体" w:hAnsi="楷体" w:eastAsia="楷体" w:cs="楷体"/>
          <w:color w:val="auto"/>
          <w:sz w:val="28"/>
          <w:szCs w:val="28"/>
          <w:highlight w:val="none"/>
          <w:lang w:val="zh-CN"/>
        </w:rPr>
      </w:pPr>
      <w:bookmarkStart w:id="101" w:name="_Toc25200"/>
      <w:bookmarkStart w:id="102" w:name="_Toc22361"/>
      <w:bookmarkStart w:id="103" w:name="_Toc29915"/>
      <w:bookmarkStart w:id="104" w:name="_Toc595"/>
      <w:bookmarkStart w:id="105" w:name="_Toc31004"/>
      <w:r>
        <w:rPr>
          <w:rFonts w:hint="eastAsia" w:ascii="楷体" w:hAnsi="楷体" w:eastAsia="楷体" w:cs="楷体"/>
          <w:color w:val="auto"/>
          <w:sz w:val="28"/>
          <w:szCs w:val="28"/>
          <w:highlight w:val="none"/>
          <w:lang w:val="zh-CN"/>
        </w:rPr>
        <w:t>投标语言和计量单位</w:t>
      </w:r>
      <w:bookmarkEnd w:id="101"/>
      <w:bookmarkEnd w:id="102"/>
      <w:bookmarkEnd w:id="103"/>
      <w:bookmarkEnd w:id="104"/>
      <w:bookmarkEnd w:id="105"/>
    </w:p>
    <w:p w14:paraId="174EA2B1">
      <w:pPr>
        <w:numPr>
          <w:ilvl w:val="1"/>
          <w:numId w:val="16"/>
        </w:numPr>
        <w:tabs>
          <w:tab w:val="left" w:pos="1060"/>
          <w:tab w:val="clear" w:pos="907"/>
        </w:tabs>
        <w:spacing w:line="360" w:lineRule="auto"/>
        <w:ind w:left="1127" w:hanging="7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16C444E8">
      <w:pPr>
        <w:numPr>
          <w:ilvl w:val="1"/>
          <w:numId w:val="16"/>
        </w:numPr>
        <w:tabs>
          <w:tab w:val="left" w:pos="1060"/>
          <w:tab w:val="clear" w:pos="907"/>
        </w:tabs>
        <w:spacing w:line="360" w:lineRule="auto"/>
        <w:ind w:left="1127" w:hanging="7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除非招标文件中有特殊要求，投标文件中的计量单位应采用中华人民共和国法定计量单位。</w:t>
      </w:r>
    </w:p>
    <w:p w14:paraId="224D27DD">
      <w:pPr>
        <w:numPr>
          <w:ilvl w:val="1"/>
          <w:numId w:val="16"/>
        </w:numPr>
        <w:tabs>
          <w:tab w:val="left" w:pos="1060"/>
          <w:tab w:val="clear" w:pos="907"/>
        </w:tabs>
        <w:spacing w:line="360" w:lineRule="auto"/>
        <w:ind w:left="1127" w:hanging="70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3C03F44E">
      <w:pPr>
        <w:pStyle w:val="5"/>
        <w:numPr>
          <w:ilvl w:val="0"/>
          <w:numId w:val="9"/>
        </w:numPr>
        <w:ind w:hanging="5"/>
        <w:rPr>
          <w:rFonts w:ascii="楷体" w:hAnsi="楷体" w:eastAsia="楷体" w:cs="楷体"/>
          <w:color w:val="auto"/>
          <w:sz w:val="28"/>
          <w:szCs w:val="28"/>
          <w:highlight w:val="none"/>
          <w:lang w:val="zh-CN"/>
        </w:rPr>
      </w:pPr>
      <w:bookmarkStart w:id="106" w:name="_Toc21036"/>
      <w:bookmarkStart w:id="107" w:name="_Toc13183"/>
      <w:bookmarkStart w:id="108" w:name="_Toc19765"/>
      <w:bookmarkStart w:id="109" w:name="_Toc20995"/>
      <w:bookmarkStart w:id="110" w:name="_Toc11148"/>
      <w:r>
        <w:rPr>
          <w:rFonts w:hint="eastAsia" w:ascii="楷体" w:hAnsi="楷体" w:eastAsia="楷体" w:cs="楷体"/>
          <w:color w:val="auto"/>
          <w:sz w:val="28"/>
          <w:szCs w:val="28"/>
          <w:highlight w:val="none"/>
          <w:lang w:val="zh-CN"/>
        </w:rPr>
        <w:t>投标文件的构成</w:t>
      </w:r>
      <w:bookmarkEnd w:id="106"/>
      <w:bookmarkEnd w:id="107"/>
      <w:bookmarkEnd w:id="108"/>
      <w:bookmarkEnd w:id="109"/>
      <w:bookmarkEnd w:id="110"/>
    </w:p>
    <w:p w14:paraId="565C350C">
      <w:pPr>
        <w:numPr>
          <w:ilvl w:val="1"/>
          <w:numId w:val="17"/>
        </w:numPr>
        <w:tabs>
          <w:tab w:val="left" w:pos="1050"/>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投标人编写的投标文件应包括自查表、初审文件、商务文件、技术文件，编排顺序可参见“第六章投标文件格式”，包括但不限于其中所列表格、文件及证明资料。</w:t>
      </w:r>
    </w:p>
    <w:p w14:paraId="71AC5EC7">
      <w:pPr>
        <w:numPr>
          <w:ilvl w:val="1"/>
          <w:numId w:val="17"/>
        </w:numPr>
        <w:tabs>
          <w:tab w:val="left" w:pos="1050"/>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投标文件的构成应符合法律法规及招标文件的要求。</w:t>
      </w:r>
    </w:p>
    <w:p w14:paraId="3549BFE3">
      <w:pPr>
        <w:pStyle w:val="5"/>
        <w:numPr>
          <w:ilvl w:val="0"/>
          <w:numId w:val="9"/>
        </w:numPr>
        <w:ind w:hanging="5"/>
        <w:rPr>
          <w:rFonts w:ascii="楷体" w:hAnsi="楷体" w:eastAsia="楷体" w:cs="楷体"/>
          <w:color w:val="auto"/>
          <w:sz w:val="28"/>
          <w:szCs w:val="28"/>
          <w:highlight w:val="none"/>
          <w:lang w:val="zh-CN"/>
        </w:rPr>
      </w:pPr>
      <w:bookmarkStart w:id="111" w:name="_Toc8564"/>
      <w:bookmarkStart w:id="112" w:name="_Toc1487"/>
      <w:bookmarkStart w:id="113" w:name="_Toc14037"/>
      <w:bookmarkStart w:id="114" w:name="_Toc27249"/>
      <w:bookmarkStart w:id="115" w:name="_Toc31760"/>
      <w:r>
        <w:rPr>
          <w:rFonts w:hint="eastAsia" w:ascii="楷体" w:hAnsi="楷体" w:eastAsia="楷体" w:cs="楷体"/>
          <w:color w:val="auto"/>
          <w:sz w:val="28"/>
          <w:szCs w:val="28"/>
          <w:highlight w:val="none"/>
          <w:lang w:val="zh-CN"/>
        </w:rPr>
        <w:t>投标文件编制注意事项</w:t>
      </w:r>
      <w:bookmarkEnd w:id="111"/>
      <w:bookmarkEnd w:id="112"/>
      <w:bookmarkEnd w:id="113"/>
      <w:bookmarkEnd w:id="114"/>
      <w:bookmarkEnd w:id="115"/>
    </w:p>
    <w:p w14:paraId="55AFD0A9">
      <w:pPr>
        <w:numPr>
          <w:ilvl w:val="1"/>
          <w:numId w:val="18"/>
        </w:numPr>
        <w:tabs>
          <w:tab w:val="left" w:pos="1050"/>
          <w:tab w:val="clear" w:pos="907"/>
        </w:tabs>
        <w:spacing w:line="360" w:lineRule="auto"/>
        <w:ind w:left="1067" w:hanging="647"/>
        <w:rPr>
          <w:rFonts w:ascii="楷体" w:hAnsi="楷体" w:eastAsia="楷体" w:cs="楷体"/>
          <w:b/>
          <w:bCs/>
          <w:color w:val="auto"/>
          <w:sz w:val="24"/>
          <w:highlight w:val="none"/>
          <w:u w:val="single"/>
          <w:lang w:val="zh-CN"/>
        </w:rPr>
      </w:pPr>
      <w:r>
        <w:rPr>
          <w:rFonts w:hint="eastAsia" w:ascii="楷体" w:hAnsi="楷体" w:eastAsia="楷体" w:cs="楷体"/>
          <w:color w:val="auto"/>
          <w:sz w:val="24"/>
          <w:highlight w:val="none"/>
          <w:lang w:val="zh-CN"/>
        </w:rPr>
        <w:t>投标人应完整、真实、准确地填写招标文件中提供的投标函以及招标文件中规定的其它所有内容。</w:t>
      </w:r>
    </w:p>
    <w:p w14:paraId="703419A1">
      <w:pPr>
        <w:numPr>
          <w:ilvl w:val="1"/>
          <w:numId w:val="18"/>
        </w:numPr>
        <w:tabs>
          <w:tab w:val="left" w:pos="1050"/>
          <w:tab w:val="clear" w:pos="907"/>
        </w:tabs>
        <w:spacing w:line="360" w:lineRule="auto"/>
        <w:ind w:left="1060" w:hanging="6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招标文件中有多个包组，投标人可对其中一个包组进行投标，但不得只对一个包组中的内容拆分制作。</w:t>
      </w:r>
    </w:p>
    <w:p w14:paraId="6486B5AA">
      <w:pPr>
        <w:numPr>
          <w:ilvl w:val="1"/>
          <w:numId w:val="18"/>
        </w:numPr>
        <w:tabs>
          <w:tab w:val="left" w:pos="1050"/>
          <w:tab w:val="clear" w:pos="907"/>
        </w:tabs>
        <w:spacing w:line="360" w:lineRule="auto"/>
        <w:ind w:left="1060" w:hanging="6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投标人必须对投标文件所提供的全部资料的真实性承担法律责任，并无条件接受招标人或招标代理机构及政府采购监督管理部门等对其中任何资料进行核实的要求。</w:t>
      </w:r>
    </w:p>
    <w:p w14:paraId="51C640F0">
      <w:pPr>
        <w:numPr>
          <w:ilvl w:val="1"/>
          <w:numId w:val="18"/>
        </w:numPr>
        <w:tabs>
          <w:tab w:val="left" w:pos="1050"/>
          <w:tab w:val="clear" w:pos="907"/>
        </w:tabs>
        <w:spacing w:line="360" w:lineRule="auto"/>
        <w:ind w:left="1060" w:hanging="6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投标人的投标文件只填写和提供了本招标文件要求的部分内容和附件，或没有提供招标文件中所要求的全部资料及数据，由此造成的后果和责任由投标人承担。</w:t>
      </w:r>
    </w:p>
    <w:p w14:paraId="44126269">
      <w:pPr>
        <w:pStyle w:val="5"/>
        <w:numPr>
          <w:ilvl w:val="0"/>
          <w:numId w:val="9"/>
        </w:numPr>
        <w:ind w:hanging="5"/>
        <w:rPr>
          <w:rFonts w:ascii="楷体" w:hAnsi="楷体" w:eastAsia="楷体" w:cs="楷体"/>
          <w:color w:val="auto"/>
          <w:sz w:val="28"/>
          <w:szCs w:val="28"/>
          <w:highlight w:val="none"/>
          <w:lang w:val="zh-CN"/>
        </w:rPr>
      </w:pPr>
      <w:bookmarkStart w:id="116" w:name="_Toc282"/>
      <w:bookmarkStart w:id="117" w:name="_Toc17622"/>
      <w:bookmarkStart w:id="118" w:name="_Toc28943"/>
      <w:bookmarkStart w:id="119" w:name="_Toc30643"/>
      <w:bookmarkStart w:id="120" w:name="_Toc31650"/>
      <w:r>
        <w:rPr>
          <w:rFonts w:hint="eastAsia" w:ascii="楷体" w:hAnsi="楷体" w:eastAsia="楷体" w:cs="楷体"/>
          <w:color w:val="auto"/>
          <w:sz w:val="28"/>
          <w:szCs w:val="28"/>
          <w:highlight w:val="none"/>
          <w:lang w:val="zh-CN"/>
        </w:rPr>
        <w:t>投标文件的式样和签署</w:t>
      </w:r>
      <w:bookmarkEnd w:id="116"/>
      <w:bookmarkEnd w:id="117"/>
      <w:bookmarkEnd w:id="118"/>
      <w:bookmarkEnd w:id="119"/>
      <w:bookmarkEnd w:id="120"/>
    </w:p>
    <w:p w14:paraId="5D582A99">
      <w:pPr>
        <w:numPr>
          <w:ilvl w:val="1"/>
          <w:numId w:val="19"/>
        </w:numPr>
        <w:tabs>
          <w:tab w:val="clear" w:pos="907"/>
        </w:tabs>
        <w:spacing w:line="360" w:lineRule="auto"/>
        <w:ind w:left="1107" w:hanging="6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投标人应制作</w:t>
      </w:r>
      <w:r>
        <w:rPr>
          <w:rFonts w:hint="eastAsia" w:ascii="楷体" w:hAnsi="楷体" w:eastAsia="楷体" w:cs="楷体"/>
          <w:color w:val="auto"/>
          <w:sz w:val="24"/>
          <w:highlight w:val="none"/>
        </w:rPr>
        <w:t>加密</w:t>
      </w:r>
      <w:r>
        <w:rPr>
          <w:rFonts w:hint="eastAsia" w:ascii="楷体" w:hAnsi="楷体" w:eastAsia="楷体" w:cs="楷体"/>
          <w:color w:val="auto"/>
          <w:sz w:val="24"/>
          <w:highlight w:val="none"/>
          <w:lang w:val="zh-CN"/>
        </w:rPr>
        <w:t>电子文件（电子文件为</w:t>
      </w:r>
      <w:r>
        <w:rPr>
          <w:rFonts w:hint="eastAsia" w:ascii="楷体" w:hAnsi="楷体" w:eastAsia="楷体" w:cs="楷体"/>
          <w:color w:val="auto"/>
          <w:sz w:val="24"/>
          <w:highlight w:val="none"/>
        </w:rPr>
        <w:t>经过投标客户端制作并加密</w:t>
      </w:r>
      <w:r>
        <w:rPr>
          <w:rFonts w:hint="eastAsia" w:ascii="楷体" w:hAnsi="楷体" w:eastAsia="楷体" w:cs="楷体"/>
          <w:color w:val="auto"/>
          <w:sz w:val="24"/>
          <w:highlight w:val="none"/>
          <w:lang w:val="zh-CN"/>
        </w:rPr>
        <w:t>）。</w:t>
      </w:r>
    </w:p>
    <w:p w14:paraId="6FCF39EF">
      <w:pPr>
        <w:numPr>
          <w:ilvl w:val="1"/>
          <w:numId w:val="19"/>
        </w:numPr>
        <w:tabs>
          <w:tab w:val="clear" w:pos="907"/>
        </w:tabs>
        <w:spacing w:line="360" w:lineRule="auto"/>
        <w:ind w:left="1107" w:hanging="6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招标文件要求签名的由法定代表人或经其正式授权的代表签字，投标文件封面及要求盖章处须加盖投标人公章。</w:t>
      </w:r>
    </w:p>
    <w:p w14:paraId="706184AA">
      <w:pPr>
        <w:numPr>
          <w:ilvl w:val="1"/>
          <w:numId w:val="19"/>
        </w:numPr>
        <w:tabs>
          <w:tab w:val="clear" w:pos="907"/>
        </w:tabs>
        <w:spacing w:line="360" w:lineRule="auto"/>
        <w:ind w:left="1107" w:hanging="6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除对差错处做必要修改外，投标文件一般不得行间插字、涂改或增删，如有上述改动，必须由法定代表人或经其授权的代表在修改处旁边签字或加盖投标人公章。</w:t>
      </w:r>
    </w:p>
    <w:p w14:paraId="36A01908">
      <w:pPr>
        <w:pStyle w:val="5"/>
        <w:numPr>
          <w:ilvl w:val="0"/>
          <w:numId w:val="9"/>
        </w:numPr>
        <w:ind w:hanging="5"/>
        <w:rPr>
          <w:rFonts w:ascii="楷体" w:hAnsi="楷体" w:eastAsia="楷体" w:cs="楷体"/>
          <w:color w:val="auto"/>
          <w:sz w:val="28"/>
          <w:szCs w:val="28"/>
          <w:highlight w:val="none"/>
          <w:lang w:val="zh-CN"/>
        </w:rPr>
      </w:pPr>
      <w:bookmarkStart w:id="121" w:name="_Toc19565"/>
      <w:bookmarkStart w:id="122" w:name="_Toc9295"/>
      <w:bookmarkStart w:id="123" w:name="_Toc12107"/>
      <w:bookmarkStart w:id="124" w:name="_Toc16164"/>
      <w:bookmarkStart w:id="125" w:name="_Toc28557"/>
      <w:r>
        <w:rPr>
          <w:rFonts w:hint="eastAsia" w:ascii="楷体" w:hAnsi="楷体" w:eastAsia="楷体" w:cs="楷体"/>
          <w:color w:val="auto"/>
          <w:sz w:val="28"/>
          <w:szCs w:val="28"/>
          <w:highlight w:val="none"/>
          <w:lang w:val="zh-CN"/>
        </w:rPr>
        <w:t>投标有效期</w:t>
      </w:r>
      <w:bookmarkEnd w:id="121"/>
      <w:bookmarkEnd w:id="122"/>
      <w:bookmarkEnd w:id="123"/>
      <w:bookmarkEnd w:id="124"/>
      <w:bookmarkEnd w:id="125"/>
    </w:p>
    <w:p w14:paraId="2CB8BD45">
      <w:pPr>
        <w:numPr>
          <w:ilvl w:val="1"/>
          <w:numId w:val="20"/>
        </w:numPr>
        <w:tabs>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投标有效期自招标文件规定的投标文件递交截止时间起算，并按投标人须知前附表中所述期限内有效。投标有效期比规定时间短的投标将被认定为非实质性响应，视为无效投标。</w:t>
      </w:r>
    </w:p>
    <w:p w14:paraId="7B271D74">
      <w:pPr>
        <w:numPr>
          <w:ilvl w:val="1"/>
          <w:numId w:val="20"/>
        </w:numPr>
        <w:tabs>
          <w:tab w:val="clear" w:pos="907"/>
        </w:tabs>
        <w:spacing w:line="360" w:lineRule="auto"/>
        <w:ind w:left="1047" w:hanging="6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特殊情况下</w:t>
      </w:r>
      <w:r>
        <w:rPr>
          <w:rFonts w:hint="eastAsia" w:ascii="楷体" w:hAnsi="楷体" w:eastAsia="楷体" w:cs="楷体"/>
          <w:color w:val="auto"/>
          <w:sz w:val="24"/>
          <w:highlight w:val="none"/>
          <w:lang w:val="zh-CN"/>
        </w:rPr>
        <w:t>，</w:t>
      </w:r>
      <w:r>
        <w:rPr>
          <w:rFonts w:hint="eastAsia" w:ascii="楷体" w:hAnsi="楷体" w:eastAsia="楷体" w:cs="楷体"/>
          <w:color w:val="auto"/>
          <w:sz w:val="24"/>
          <w:highlight w:val="none"/>
          <w:lang w:val="zh-CN" w:eastAsia="zh-TW"/>
        </w:rPr>
        <w:t>在原投标有效期期满之前</w:t>
      </w:r>
      <w:r>
        <w:rPr>
          <w:rFonts w:hint="eastAsia" w:ascii="楷体" w:hAnsi="楷体" w:eastAsia="楷体" w:cs="楷体"/>
          <w:color w:val="auto"/>
          <w:sz w:val="24"/>
          <w:highlight w:val="none"/>
          <w:lang w:val="zh-CN"/>
        </w:rPr>
        <w:t>，</w:t>
      </w:r>
      <w:r>
        <w:rPr>
          <w:rFonts w:hint="eastAsia" w:ascii="楷体" w:hAnsi="楷体" w:eastAsia="楷体" w:cs="楷体"/>
          <w:color w:val="auto"/>
          <w:sz w:val="24"/>
          <w:highlight w:val="none"/>
          <w:lang w:val="zh-CN" w:eastAsia="zh-TW"/>
        </w:rPr>
        <w:t>招标代理机构可要求投标人延长投标有效期。这种要求与答复均应以书面形式提交。投标人可拒绝招标代理机构的这种要求</w:t>
      </w:r>
      <w:r>
        <w:rPr>
          <w:rFonts w:hint="eastAsia" w:ascii="楷体" w:hAnsi="楷体" w:eastAsia="楷体" w:cs="楷体"/>
          <w:color w:val="auto"/>
          <w:sz w:val="24"/>
          <w:highlight w:val="none"/>
          <w:lang w:val="zh-CN"/>
        </w:rPr>
        <w:t>，</w:t>
      </w:r>
      <w:r>
        <w:rPr>
          <w:rFonts w:hint="eastAsia" w:ascii="楷体" w:hAnsi="楷体" w:eastAsia="楷体" w:cs="楷体"/>
          <w:color w:val="auto"/>
          <w:sz w:val="24"/>
          <w:highlight w:val="none"/>
          <w:lang w:val="zh-CN" w:eastAsia="zh-TW"/>
        </w:rPr>
        <w:t>但其投标在原投标有效期期满后将不再有效。同意延长投标有效期的投标人将不会被要求和允许修正其投标。</w:t>
      </w:r>
    </w:p>
    <w:p w14:paraId="47DB3273">
      <w:pPr>
        <w:pStyle w:val="5"/>
        <w:numPr>
          <w:ilvl w:val="0"/>
          <w:numId w:val="9"/>
        </w:numPr>
        <w:ind w:hanging="5"/>
        <w:rPr>
          <w:rFonts w:ascii="楷体" w:hAnsi="楷体" w:eastAsia="楷体" w:cs="楷体"/>
          <w:color w:val="auto"/>
          <w:sz w:val="28"/>
          <w:szCs w:val="28"/>
          <w:highlight w:val="none"/>
          <w:lang w:val="zh-CN"/>
        </w:rPr>
      </w:pPr>
      <w:bookmarkStart w:id="126" w:name="_Toc31267"/>
      <w:bookmarkStart w:id="127" w:name="_Toc483642668"/>
      <w:bookmarkStart w:id="128" w:name="_Toc22125"/>
      <w:bookmarkStart w:id="129" w:name="_Toc7344"/>
      <w:bookmarkStart w:id="130" w:name="_Toc24642"/>
      <w:r>
        <w:rPr>
          <w:rFonts w:hint="eastAsia" w:ascii="楷体" w:hAnsi="楷体" w:eastAsia="楷体" w:cs="楷体"/>
          <w:color w:val="auto"/>
          <w:sz w:val="28"/>
          <w:szCs w:val="28"/>
          <w:highlight w:val="none"/>
          <w:lang w:val="zh-CN"/>
        </w:rPr>
        <w:t>投标报价</w:t>
      </w:r>
      <w:bookmarkEnd w:id="126"/>
      <w:bookmarkEnd w:id="127"/>
      <w:bookmarkEnd w:id="128"/>
      <w:bookmarkEnd w:id="129"/>
      <w:bookmarkEnd w:id="130"/>
    </w:p>
    <w:p w14:paraId="4BAB7E67">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bookmarkStart w:id="131" w:name="_Toc28304"/>
      <w:bookmarkStart w:id="132" w:name="_Toc474"/>
      <w:bookmarkStart w:id="133" w:name="_Toc1438"/>
      <w:bookmarkStart w:id="134" w:name="_Toc23285"/>
      <w:r>
        <w:rPr>
          <w:rFonts w:hint="eastAsia" w:ascii="楷体" w:hAnsi="楷体" w:eastAsia="楷体" w:cs="楷体"/>
          <w:color w:val="auto"/>
          <w:sz w:val="24"/>
          <w:highlight w:val="none"/>
          <w:lang w:val="zh-CN"/>
        </w:rPr>
        <w:t>投标人应按照“第四章　用户需求书”中规定的内容、责任范围进行报价。并按《开标一览表》及《投标明细报价表》的要求报出</w:t>
      </w:r>
      <w:r>
        <w:rPr>
          <w:rFonts w:hint="eastAsia" w:ascii="楷体" w:hAnsi="楷体" w:eastAsia="楷体" w:cs="楷体"/>
          <w:color w:val="auto"/>
          <w:sz w:val="24"/>
          <w:highlight w:val="none"/>
        </w:rPr>
        <w:t>单价</w:t>
      </w:r>
      <w:r>
        <w:rPr>
          <w:rFonts w:hint="eastAsia" w:ascii="楷体" w:hAnsi="楷体" w:eastAsia="楷体" w:cs="楷体"/>
          <w:color w:val="auto"/>
          <w:sz w:val="24"/>
          <w:highlight w:val="none"/>
          <w:lang w:val="zh-CN"/>
        </w:rPr>
        <w:t>和分项</w:t>
      </w:r>
      <w:r>
        <w:rPr>
          <w:rFonts w:hint="eastAsia" w:ascii="楷体" w:hAnsi="楷体" w:eastAsia="楷体" w:cs="楷体"/>
          <w:color w:val="auto"/>
          <w:sz w:val="24"/>
          <w:highlight w:val="none"/>
        </w:rPr>
        <w:t>明细</w:t>
      </w:r>
      <w:r>
        <w:rPr>
          <w:rFonts w:hint="eastAsia" w:ascii="楷体" w:hAnsi="楷体" w:eastAsia="楷体" w:cs="楷体"/>
          <w:color w:val="auto"/>
          <w:sz w:val="24"/>
          <w:highlight w:val="none"/>
          <w:lang w:val="zh-CN"/>
        </w:rPr>
        <w:t>价格。投标</w:t>
      </w:r>
      <w:r>
        <w:rPr>
          <w:rFonts w:hint="eastAsia" w:ascii="楷体" w:hAnsi="楷体" w:eastAsia="楷体" w:cs="楷体"/>
          <w:color w:val="auto"/>
          <w:sz w:val="24"/>
          <w:highlight w:val="none"/>
        </w:rPr>
        <w:t>报价</w:t>
      </w:r>
      <w:r>
        <w:rPr>
          <w:rFonts w:hint="eastAsia" w:ascii="楷体" w:hAnsi="楷体" w:eastAsia="楷体" w:cs="楷体"/>
          <w:color w:val="auto"/>
          <w:sz w:val="24"/>
          <w:highlight w:val="none"/>
          <w:lang w:val="zh-CN"/>
        </w:rPr>
        <w:t>中不得包含招标文件要求以外的内容，否则，在评标时不予核减。投标</w:t>
      </w:r>
      <w:r>
        <w:rPr>
          <w:rFonts w:hint="eastAsia" w:ascii="楷体" w:hAnsi="楷体" w:eastAsia="楷体" w:cs="楷体"/>
          <w:color w:val="auto"/>
          <w:sz w:val="24"/>
          <w:highlight w:val="none"/>
        </w:rPr>
        <w:t>报价</w:t>
      </w:r>
      <w:r>
        <w:rPr>
          <w:rFonts w:hint="eastAsia" w:ascii="楷体" w:hAnsi="楷体" w:eastAsia="楷体" w:cs="楷体"/>
          <w:color w:val="auto"/>
          <w:sz w:val="24"/>
          <w:highlight w:val="none"/>
          <w:lang w:val="zh-CN"/>
        </w:rPr>
        <w:t>中也不得缺漏招标文件所要求的内容，否则，将被视为包含在投标报价中。</w:t>
      </w:r>
    </w:p>
    <w:p w14:paraId="7D6E90FE">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w:t>
      </w:r>
      <w:r>
        <w:rPr>
          <w:rFonts w:hint="eastAsia" w:ascii="楷体" w:hAnsi="楷体" w:eastAsia="楷体" w:cs="楷体"/>
          <w:color w:val="auto"/>
          <w:sz w:val="24"/>
          <w:highlight w:val="none"/>
        </w:rPr>
        <w:t>报价</w:t>
      </w:r>
      <w:r>
        <w:rPr>
          <w:rFonts w:hint="eastAsia" w:ascii="楷体" w:hAnsi="楷体" w:eastAsia="楷体" w:cs="楷体"/>
          <w:color w:val="auto"/>
          <w:sz w:val="24"/>
          <w:highlight w:val="none"/>
          <w:lang w:val="zh-CN"/>
        </w:rPr>
        <w:t>是在投标人可以独立完成本项目，并满足预期实施效果和符合自身合法利益的前提下，通过准确核算后所报出的全部货物的总包干费用，包括设备价、运至合同指定地点的运输费、安装费（包括损耗、额外材料等）、技术培训费、保险费、各种税费等。</w:t>
      </w:r>
    </w:p>
    <w:p w14:paraId="65F32A8B">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投标明细报价表内容应包含：</w:t>
      </w:r>
    </w:p>
    <w:p w14:paraId="703CA474">
      <w:pPr>
        <w:numPr>
          <w:ilvl w:val="2"/>
          <w:numId w:val="22"/>
        </w:numPr>
        <w:tabs>
          <w:tab w:val="clear" w:pos="907"/>
        </w:tabs>
        <w:spacing w:line="360" w:lineRule="auto"/>
        <w:ind w:left="1247" w:hanging="8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标准附件、备品备件、专用工具等的出厂价（包括已在中国国内的进口货物完税后的仓库交货价、展室交货价或货架交货价），投标货物安装、调试、检验、技术服务和培训等费用；</w:t>
      </w:r>
    </w:p>
    <w:p w14:paraId="7D5097FB">
      <w:pPr>
        <w:numPr>
          <w:ilvl w:val="2"/>
          <w:numId w:val="22"/>
        </w:numPr>
        <w:tabs>
          <w:tab w:val="clear" w:pos="907"/>
        </w:tabs>
        <w:spacing w:line="360" w:lineRule="auto"/>
        <w:ind w:left="1247" w:hanging="8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货物运至最终目的地并安装调试完毕的运输费、保险费以及伴随货物交运的有关费用；</w:t>
      </w:r>
    </w:p>
    <w:p w14:paraId="356189DC">
      <w:pPr>
        <w:numPr>
          <w:ilvl w:val="2"/>
          <w:numId w:val="22"/>
        </w:numPr>
        <w:tabs>
          <w:tab w:val="clear" w:pos="907"/>
        </w:tabs>
        <w:spacing w:line="360" w:lineRule="auto"/>
        <w:ind w:left="1247" w:hanging="8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投标报价均应包含所有的税费；</w:t>
      </w:r>
    </w:p>
    <w:p w14:paraId="26FCBD03">
      <w:pPr>
        <w:numPr>
          <w:ilvl w:val="2"/>
          <w:numId w:val="22"/>
        </w:numPr>
        <w:tabs>
          <w:tab w:val="clear" w:pos="907"/>
        </w:tabs>
        <w:spacing w:line="360" w:lineRule="auto"/>
        <w:ind w:left="1247" w:hanging="82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其他一切隐含及不可预见的费用。</w:t>
      </w:r>
    </w:p>
    <w:p w14:paraId="1A4758DE">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本项目采用</w:t>
      </w:r>
      <w:r>
        <w:rPr>
          <w:rFonts w:hint="eastAsia" w:ascii="楷体" w:hAnsi="楷体" w:eastAsia="楷体" w:cs="楷体"/>
          <w:color w:val="auto"/>
          <w:sz w:val="24"/>
          <w:highlight w:val="none"/>
        </w:rPr>
        <w:t>总价</w:t>
      </w:r>
      <w:r>
        <w:rPr>
          <w:rFonts w:hint="eastAsia" w:ascii="楷体" w:hAnsi="楷体" w:eastAsia="楷体" w:cs="楷体"/>
          <w:color w:val="auto"/>
          <w:sz w:val="24"/>
          <w:highlight w:val="none"/>
          <w:lang w:val="zh-CN"/>
        </w:rPr>
        <w:t>包干，中标人不得在中标后提出任何增加费用要求，投标人在投标时应充分考虑相关风险性因素。</w:t>
      </w:r>
    </w:p>
    <w:p w14:paraId="5D477F24">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对于报价免费的内容须标明“免费”。</w:t>
      </w:r>
    </w:p>
    <w:p w14:paraId="35B9152B">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投标人根据本须知第1</w:t>
      </w: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zh-CN"/>
        </w:rPr>
        <w:t>.2条的规定将投标报价分成几部分，只是为了方便对投标文件进行比较，并不限制招标人以上述任何条件订立合同的权力。</w:t>
      </w:r>
    </w:p>
    <w:p w14:paraId="16FEB798">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投标人所报的投标价在合同执行过程中是固定不变的，不得以任何理由予以变更。任何包含价格调整要求的投标将被认为是非实质性响应投标而被拒绝。</w:t>
      </w:r>
    </w:p>
    <w:p w14:paraId="66F959F9">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中另有规定外，本次招标不接受选择性报价，否则将被视为无效投标。</w:t>
      </w:r>
    </w:p>
    <w:p w14:paraId="4AF07A0E">
      <w:pPr>
        <w:numPr>
          <w:ilvl w:val="1"/>
          <w:numId w:val="21"/>
        </w:numPr>
        <w:tabs>
          <w:tab w:val="left" w:pos="1100"/>
          <w:tab w:val="left" w:pos="1220"/>
          <w:tab w:val="clear" w:pos="907"/>
        </w:tabs>
        <w:spacing w:line="360" w:lineRule="auto"/>
        <w:ind w:left="1087" w:hanging="6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除</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中另有规定外，本次招标不接受具有附加条件的报价，否则将被视为无效投标。</w:t>
      </w:r>
    </w:p>
    <w:p w14:paraId="036AA523">
      <w:pPr>
        <w:pStyle w:val="5"/>
        <w:numPr>
          <w:ilvl w:val="0"/>
          <w:numId w:val="9"/>
        </w:numPr>
        <w:ind w:hanging="5"/>
        <w:rPr>
          <w:rFonts w:ascii="楷体" w:hAnsi="楷体" w:eastAsia="楷体" w:cs="楷体"/>
          <w:color w:val="auto"/>
          <w:sz w:val="28"/>
          <w:szCs w:val="28"/>
          <w:highlight w:val="none"/>
          <w:lang w:val="zh-CN"/>
        </w:rPr>
      </w:pPr>
      <w:bookmarkStart w:id="135" w:name="_Toc13512"/>
      <w:r>
        <w:rPr>
          <w:rFonts w:hint="eastAsia" w:ascii="楷体" w:hAnsi="楷体" w:eastAsia="楷体" w:cs="楷体"/>
          <w:color w:val="auto"/>
          <w:sz w:val="28"/>
          <w:szCs w:val="28"/>
          <w:highlight w:val="none"/>
          <w:lang w:val="zh-CN"/>
        </w:rPr>
        <w:t>联合体投标</w:t>
      </w:r>
      <w:bookmarkEnd w:id="131"/>
      <w:bookmarkEnd w:id="132"/>
      <w:bookmarkEnd w:id="133"/>
      <w:bookmarkEnd w:id="134"/>
      <w:bookmarkEnd w:id="135"/>
    </w:p>
    <w:p w14:paraId="58170321">
      <w:pPr>
        <w:numPr>
          <w:ilvl w:val="1"/>
          <w:numId w:val="23"/>
        </w:numPr>
        <w:tabs>
          <w:tab w:val="left" w:pos="1060"/>
        </w:tabs>
        <w:spacing w:line="360" w:lineRule="auto"/>
        <w:ind w:hanging="48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除非投标邀请函中另有规定，本项目</w:t>
      </w:r>
      <w:r>
        <w:rPr>
          <w:rFonts w:hint="eastAsia" w:ascii="楷体" w:hAnsi="楷体" w:eastAsia="楷体" w:cs="楷体"/>
          <w:color w:val="auto"/>
          <w:sz w:val="24"/>
          <w:highlight w:val="none"/>
        </w:rPr>
        <w:t>不允许</w:t>
      </w:r>
      <w:r>
        <w:rPr>
          <w:rFonts w:hint="eastAsia" w:ascii="楷体" w:hAnsi="楷体" w:eastAsia="楷体" w:cs="楷体"/>
          <w:color w:val="auto"/>
          <w:sz w:val="24"/>
          <w:highlight w:val="none"/>
          <w:lang w:val="zh-CN" w:eastAsia="zh-TW"/>
        </w:rPr>
        <w:t>联合体投标。</w:t>
      </w:r>
    </w:p>
    <w:p w14:paraId="5F3A2037">
      <w:pPr>
        <w:numPr>
          <w:ilvl w:val="1"/>
          <w:numId w:val="23"/>
        </w:numPr>
        <w:tabs>
          <w:tab w:val="left" w:pos="1060"/>
        </w:tabs>
        <w:spacing w:line="360" w:lineRule="auto"/>
        <w:ind w:hanging="48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若投标邀请函中允许联合体投标的，则必须满足：</w:t>
      </w:r>
    </w:p>
    <w:p w14:paraId="1C2184C9">
      <w:pPr>
        <w:numPr>
          <w:ilvl w:val="2"/>
          <w:numId w:val="24"/>
        </w:numPr>
        <w:tabs>
          <w:tab w:val="clear" w:pos="907"/>
        </w:tabs>
        <w:spacing w:line="360" w:lineRule="auto"/>
        <w:ind w:left="1476" w:leftChars="200" w:hanging="1056" w:hangingChars="4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以联合体形式参加投标的，联合体各方均须符合投标邀请函“投标人资格要求”的一般规定，并至少有一方符合“投标人资格要求”的特殊条款要求。</w:t>
      </w:r>
    </w:p>
    <w:p w14:paraId="3C3A309C">
      <w:pPr>
        <w:numPr>
          <w:ilvl w:val="2"/>
          <w:numId w:val="24"/>
        </w:numPr>
        <w:tabs>
          <w:tab w:val="clear" w:pos="907"/>
        </w:tabs>
        <w:spacing w:line="360" w:lineRule="auto"/>
        <w:ind w:left="1476" w:leftChars="200" w:hanging="1056" w:hangingChars="4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3D6BFDC5">
      <w:pPr>
        <w:numPr>
          <w:ilvl w:val="2"/>
          <w:numId w:val="24"/>
        </w:numPr>
        <w:tabs>
          <w:tab w:val="clear" w:pos="907"/>
        </w:tabs>
        <w:spacing w:line="360" w:lineRule="auto"/>
        <w:ind w:left="1476" w:leftChars="200" w:hanging="1056" w:hangingChars="44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联合体中标的，联合体各方应当共同与招标人签订合同。</w:t>
      </w:r>
    </w:p>
    <w:p w14:paraId="403FE708">
      <w:pPr>
        <w:pStyle w:val="5"/>
        <w:numPr>
          <w:ilvl w:val="0"/>
          <w:numId w:val="9"/>
        </w:numPr>
        <w:ind w:hanging="5"/>
        <w:rPr>
          <w:rFonts w:ascii="楷体" w:hAnsi="楷体" w:eastAsia="楷体" w:cs="楷体"/>
          <w:color w:val="auto"/>
          <w:sz w:val="28"/>
          <w:szCs w:val="28"/>
          <w:highlight w:val="none"/>
          <w:lang w:val="zh-CN"/>
        </w:rPr>
      </w:pPr>
      <w:bookmarkStart w:id="136" w:name="_Toc13641"/>
      <w:bookmarkStart w:id="137" w:name="_Toc15181"/>
      <w:bookmarkStart w:id="138" w:name="_Toc11591"/>
      <w:bookmarkStart w:id="139" w:name="_Toc18435"/>
      <w:bookmarkStart w:id="140" w:name="_Toc26934"/>
      <w:r>
        <w:rPr>
          <w:rFonts w:hint="eastAsia" w:ascii="楷体" w:hAnsi="楷体" w:eastAsia="楷体" w:cs="楷体"/>
          <w:color w:val="auto"/>
          <w:sz w:val="28"/>
          <w:szCs w:val="28"/>
          <w:highlight w:val="none"/>
          <w:lang w:val="zh-CN"/>
        </w:rPr>
        <w:t>证明投标人合格和资格的文件</w:t>
      </w:r>
      <w:bookmarkEnd w:id="136"/>
      <w:bookmarkEnd w:id="137"/>
      <w:bookmarkEnd w:id="138"/>
      <w:bookmarkEnd w:id="139"/>
      <w:bookmarkEnd w:id="140"/>
    </w:p>
    <w:p w14:paraId="2A782067">
      <w:pPr>
        <w:numPr>
          <w:ilvl w:val="1"/>
          <w:numId w:val="25"/>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投标人应提交证明其有资格参加投标和中标后有能力履行合同的文件，并作为其投标文件的一部分。</w:t>
      </w:r>
    </w:p>
    <w:p w14:paraId="0BD25FD5">
      <w:pPr>
        <w:numPr>
          <w:ilvl w:val="1"/>
          <w:numId w:val="25"/>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投标人提交的证明其中标后能履行合同的资格证明文件应包括下列文件：</w:t>
      </w:r>
    </w:p>
    <w:p w14:paraId="090EDC8B">
      <w:pPr>
        <w:numPr>
          <w:ilvl w:val="2"/>
          <w:numId w:val="26"/>
        </w:numPr>
        <w:spacing w:line="360" w:lineRule="auto"/>
        <w:ind w:hanging="4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证明投标人已具备履行合同所需的财务、技术和生产能力的文件。</w:t>
      </w:r>
    </w:p>
    <w:p w14:paraId="0D4A0E22">
      <w:pPr>
        <w:numPr>
          <w:ilvl w:val="2"/>
          <w:numId w:val="26"/>
        </w:numPr>
        <w:spacing w:line="360" w:lineRule="auto"/>
        <w:ind w:hanging="4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证明投标人满足招标文件业绩要求的文件。</w:t>
      </w:r>
    </w:p>
    <w:p w14:paraId="6A1B16FC">
      <w:pPr>
        <w:pStyle w:val="5"/>
        <w:numPr>
          <w:ilvl w:val="0"/>
          <w:numId w:val="9"/>
        </w:numPr>
        <w:ind w:hanging="5"/>
        <w:rPr>
          <w:rFonts w:ascii="楷体" w:hAnsi="楷体" w:eastAsia="楷体" w:cs="楷体"/>
          <w:color w:val="auto"/>
          <w:sz w:val="28"/>
          <w:szCs w:val="28"/>
          <w:highlight w:val="none"/>
          <w:lang w:val="zh-CN"/>
        </w:rPr>
      </w:pPr>
      <w:bookmarkStart w:id="141" w:name="_Toc28442"/>
      <w:r>
        <w:rPr>
          <w:rFonts w:hint="eastAsia" w:ascii="楷体" w:hAnsi="楷体" w:eastAsia="楷体" w:cs="楷体"/>
          <w:color w:val="auto"/>
          <w:sz w:val="28"/>
          <w:szCs w:val="28"/>
          <w:highlight w:val="none"/>
          <w:lang w:val="zh-CN"/>
        </w:rPr>
        <w:t>证明</w:t>
      </w:r>
      <w:r>
        <w:rPr>
          <w:rFonts w:hint="eastAsia" w:ascii="楷体" w:hAnsi="楷体" w:eastAsia="楷体" w:cs="楷体"/>
          <w:color w:val="auto"/>
          <w:sz w:val="28"/>
          <w:szCs w:val="28"/>
          <w:highlight w:val="none"/>
        </w:rPr>
        <w:t>货物、服务和工程</w:t>
      </w:r>
      <w:r>
        <w:rPr>
          <w:rFonts w:hint="eastAsia" w:ascii="楷体" w:hAnsi="楷体" w:eastAsia="楷体" w:cs="楷体"/>
          <w:color w:val="auto"/>
          <w:sz w:val="28"/>
          <w:szCs w:val="28"/>
          <w:highlight w:val="none"/>
          <w:lang w:val="zh-CN"/>
        </w:rPr>
        <w:t>的合格性和符合招标文件规定的文件</w:t>
      </w:r>
      <w:bookmarkEnd w:id="141"/>
    </w:p>
    <w:p w14:paraId="35E8CF52">
      <w:pPr>
        <w:numPr>
          <w:ilvl w:val="1"/>
          <w:numId w:val="27"/>
        </w:numPr>
        <w:tabs>
          <w:tab w:val="left" w:pos="1180"/>
          <w:tab w:val="clear" w:pos="907"/>
        </w:tabs>
        <w:spacing w:line="360" w:lineRule="auto"/>
        <w:ind w:left="1173" w:leftChars="227" w:hanging="696" w:hangingChars="290"/>
        <w:rPr>
          <w:rFonts w:ascii="楷体" w:hAnsi="楷体" w:eastAsia="楷体" w:cs="楷体"/>
          <w:color w:val="auto"/>
          <w:sz w:val="24"/>
          <w:highlight w:val="none"/>
          <w:lang w:val="zh-CN" w:eastAsia="zh-TW"/>
        </w:rPr>
      </w:pPr>
      <w:bookmarkStart w:id="142" w:name="_Toc27575"/>
      <w:bookmarkStart w:id="143" w:name="_Toc15333"/>
      <w:bookmarkStart w:id="144" w:name="_Toc10352"/>
      <w:bookmarkStart w:id="145" w:name="_Toc32378"/>
      <w:r>
        <w:rPr>
          <w:rFonts w:hint="eastAsia" w:ascii="楷体" w:hAnsi="楷体" w:eastAsia="楷体" w:cs="楷体"/>
          <w:color w:val="auto"/>
          <w:sz w:val="24"/>
          <w:highlight w:val="none"/>
          <w:lang w:val="zh-CN" w:eastAsia="zh-TW"/>
        </w:rPr>
        <w:t>投标人应提交证明文件，证明其拟投标的</w:t>
      </w:r>
      <w:r>
        <w:rPr>
          <w:rFonts w:hint="eastAsia" w:ascii="楷体" w:hAnsi="楷体" w:eastAsia="楷体" w:cs="楷体"/>
          <w:color w:val="auto"/>
          <w:sz w:val="24"/>
          <w:highlight w:val="none"/>
        </w:rPr>
        <w:t>工程、</w:t>
      </w:r>
      <w:r>
        <w:rPr>
          <w:rFonts w:hint="eastAsia" w:ascii="楷体" w:hAnsi="楷体" w:eastAsia="楷体" w:cs="楷体"/>
          <w:color w:val="auto"/>
          <w:sz w:val="24"/>
          <w:highlight w:val="none"/>
          <w:lang w:val="zh-CN" w:eastAsia="zh-TW"/>
        </w:rPr>
        <w:t>服务</w:t>
      </w:r>
      <w:r>
        <w:rPr>
          <w:rFonts w:hint="eastAsia" w:ascii="楷体" w:hAnsi="楷体" w:eastAsia="楷体" w:cs="楷体"/>
          <w:color w:val="auto"/>
          <w:sz w:val="24"/>
          <w:highlight w:val="none"/>
        </w:rPr>
        <w:t>和货物</w:t>
      </w:r>
      <w:r>
        <w:rPr>
          <w:rFonts w:hint="eastAsia" w:ascii="楷体" w:hAnsi="楷体" w:eastAsia="楷体" w:cs="楷体"/>
          <w:color w:val="auto"/>
          <w:sz w:val="24"/>
          <w:highlight w:val="none"/>
          <w:lang w:val="zh-CN" w:eastAsia="zh-TW"/>
        </w:rPr>
        <w:t>的合格性符合招标文件规定。该证明文件作为投标文件的一部分。</w:t>
      </w:r>
    </w:p>
    <w:p w14:paraId="1D190990">
      <w:pPr>
        <w:numPr>
          <w:ilvl w:val="1"/>
          <w:numId w:val="27"/>
        </w:numPr>
        <w:tabs>
          <w:tab w:val="left" w:pos="1180"/>
          <w:tab w:val="clear" w:pos="907"/>
        </w:tabs>
        <w:spacing w:line="360" w:lineRule="auto"/>
        <w:ind w:left="1173" w:leftChars="227" w:hanging="696" w:hangingChars="29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证明</w:t>
      </w:r>
      <w:r>
        <w:rPr>
          <w:rFonts w:hint="eastAsia" w:ascii="楷体" w:hAnsi="楷体" w:eastAsia="楷体" w:cs="楷体"/>
          <w:color w:val="auto"/>
          <w:sz w:val="24"/>
          <w:highlight w:val="none"/>
        </w:rPr>
        <w:t>工程、</w:t>
      </w:r>
      <w:r>
        <w:rPr>
          <w:rFonts w:hint="eastAsia" w:ascii="楷体" w:hAnsi="楷体" w:eastAsia="楷体" w:cs="楷体"/>
          <w:color w:val="auto"/>
          <w:sz w:val="24"/>
          <w:highlight w:val="none"/>
          <w:lang w:val="zh-CN" w:eastAsia="zh-TW"/>
        </w:rPr>
        <w:t>服务</w:t>
      </w:r>
      <w:r>
        <w:rPr>
          <w:rFonts w:hint="eastAsia" w:ascii="楷体" w:hAnsi="楷体" w:eastAsia="楷体" w:cs="楷体"/>
          <w:color w:val="auto"/>
          <w:sz w:val="24"/>
          <w:highlight w:val="none"/>
        </w:rPr>
        <w:t>和货物</w:t>
      </w:r>
      <w:r>
        <w:rPr>
          <w:rFonts w:hint="eastAsia" w:ascii="楷体" w:hAnsi="楷体" w:eastAsia="楷体" w:cs="楷体"/>
          <w:color w:val="auto"/>
          <w:sz w:val="24"/>
          <w:highlight w:val="none"/>
          <w:lang w:val="zh-CN" w:eastAsia="zh-TW"/>
        </w:rPr>
        <w:t>与招标文件的要求相一致的文件，可以是文字资料、图纸和数据，它包括：</w:t>
      </w:r>
    </w:p>
    <w:p w14:paraId="0716E046">
      <w:pPr>
        <w:numPr>
          <w:ilvl w:val="2"/>
          <w:numId w:val="28"/>
        </w:numPr>
        <w:spacing w:line="360" w:lineRule="auto"/>
        <w:ind w:hanging="48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主要技术指标和性能的详细说明。</w:t>
      </w:r>
    </w:p>
    <w:p w14:paraId="39EDEE53">
      <w:pPr>
        <w:numPr>
          <w:ilvl w:val="2"/>
          <w:numId w:val="28"/>
        </w:numPr>
        <w:tabs>
          <w:tab w:val="clear" w:pos="907"/>
        </w:tabs>
        <w:spacing w:line="360" w:lineRule="auto"/>
        <w:ind w:left="1267" w:hanging="8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货物从招标人验收后开始使用至招标文件规定的保质期内正常、连续地使用所必需的备件和专用工具清单，包括备件和专用工具的货源和现行价格。</w:t>
      </w:r>
    </w:p>
    <w:p w14:paraId="459C2A27">
      <w:pPr>
        <w:numPr>
          <w:ilvl w:val="2"/>
          <w:numId w:val="28"/>
        </w:numPr>
        <w:tabs>
          <w:tab w:val="clear" w:pos="907"/>
        </w:tabs>
        <w:spacing w:line="360" w:lineRule="auto"/>
        <w:ind w:left="1267" w:hanging="8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对照招标文件技术规格，逐条说明所提供</w:t>
      </w:r>
      <w:r>
        <w:rPr>
          <w:rFonts w:hint="eastAsia" w:ascii="楷体" w:hAnsi="楷体" w:eastAsia="楷体" w:cs="楷体"/>
          <w:color w:val="auto"/>
          <w:sz w:val="24"/>
          <w:highlight w:val="none"/>
        </w:rPr>
        <w:t>工程、</w:t>
      </w:r>
      <w:r>
        <w:rPr>
          <w:rFonts w:hint="eastAsia" w:ascii="楷体" w:hAnsi="楷体" w:eastAsia="楷体" w:cs="楷体"/>
          <w:color w:val="auto"/>
          <w:sz w:val="24"/>
          <w:highlight w:val="none"/>
          <w:lang w:val="zh-CN" w:eastAsia="zh-TW"/>
        </w:rPr>
        <w:t>服务</w:t>
      </w:r>
      <w:r>
        <w:rPr>
          <w:rFonts w:hint="eastAsia" w:ascii="楷体" w:hAnsi="楷体" w:eastAsia="楷体" w:cs="楷体"/>
          <w:color w:val="auto"/>
          <w:sz w:val="24"/>
          <w:highlight w:val="none"/>
        </w:rPr>
        <w:t>和货物</w:t>
      </w:r>
      <w:r>
        <w:rPr>
          <w:rFonts w:hint="eastAsia" w:ascii="楷体" w:hAnsi="楷体" w:eastAsia="楷体" w:cs="楷体"/>
          <w:color w:val="auto"/>
          <w:sz w:val="24"/>
          <w:highlight w:val="none"/>
          <w:lang w:val="zh-CN"/>
        </w:rPr>
        <w:t>已对招标文件的技术规格作出了实质性的响应，并申明与技术规格条文的偏差和例外。特别是对有具体参数要求的指标，投标人须提供所投设备的具体参数值。</w:t>
      </w:r>
    </w:p>
    <w:p w14:paraId="08441E8B">
      <w:pPr>
        <w:pStyle w:val="5"/>
        <w:numPr>
          <w:ilvl w:val="0"/>
          <w:numId w:val="9"/>
        </w:numPr>
        <w:ind w:hanging="5"/>
        <w:rPr>
          <w:rFonts w:ascii="楷体" w:hAnsi="楷体" w:eastAsia="楷体" w:cs="楷体"/>
          <w:color w:val="auto"/>
          <w:sz w:val="28"/>
          <w:szCs w:val="28"/>
          <w:highlight w:val="none"/>
          <w:lang w:val="zh-CN"/>
        </w:rPr>
      </w:pPr>
      <w:bookmarkStart w:id="146" w:name="_Toc3740"/>
      <w:r>
        <w:rPr>
          <w:rFonts w:hint="eastAsia" w:ascii="楷体" w:hAnsi="楷体" w:eastAsia="楷体" w:cs="楷体"/>
          <w:color w:val="auto"/>
          <w:sz w:val="28"/>
          <w:szCs w:val="28"/>
          <w:highlight w:val="none"/>
          <w:lang w:val="zh-CN"/>
        </w:rPr>
        <w:t>投标保证金</w:t>
      </w:r>
      <w:bookmarkEnd w:id="142"/>
      <w:bookmarkEnd w:id="143"/>
      <w:bookmarkEnd w:id="144"/>
      <w:bookmarkEnd w:id="145"/>
      <w:bookmarkEnd w:id="146"/>
      <w:r>
        <w:rPr>
          <w:rFonts w:hint="eastAsia" w:ascii="楷体" w:hAnsi="楷体" w:eastAsia="楷体" w:cs="楷体"/>
          <w:color w:val="auto"/>
          <w:sz w:val="28"/>
          <w:szCs w:val="28"/>
          <w:highlight w:val="none"/>
          <w:lang w:val="zh-CN"/>
        </w:rPr>
        <w:t>（</w:t>
      </w:r>
      <w:r>
        <w:rPr>
          <w:rFonts w:hint="eastAsia" w:ascii="楷体" w:hAnsi="楷体" w:eastAsia="楷体" w:cs="楷体"/>
          <w:color w:val="auto"/>
          <w:sz w:val="28"/>
          <w:szCs w:val="28"/>
          <w:highlight w:val="none"/>
          <w:lang w:val="en-US" w:eastAsia="zh-CN"/>
        </w:rPr>
        <w:t>本项目不适用</w:t>
      </w:r>
      <w:r>
        <w:rPr>
          <w:rFonts w:hint="eastAsia" w:ascii="楷体" w:hAnsi="楷体" w:eastAsia="楷体" w:cs="楷体"/>
          <w:color w:val="auto"/>
          <w:sz w:val="28"/>
          <w:szCs w:val="28"/>
          <w:highlight w:val="none"/>
          <w:lang w:val="zh-CN"/>
        </w:rPr>
        <w:t>）</w:t>
      </w:r>
    </w:p>
    <w:p w14:paraId="6138AA5E">
      <w:pPr>
        <w:numPr>
          <w:ilvl w:val="1"/>
          <w:numId w:val="29"/>
        </w:numPr>
        <w:tabs>
          <w:tab w:val="left" w:pos="1100"/>
        </w:tabs>
        <w:spacing w:line="360" w:lineRule="auto"/>
        <w:ind w:left="1137" w:leftChars="227" w:hanging="660" w:hangingChars="275"/>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投标人须按</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eastAsia="zh-TW"/>
        </w:rPr>
        <w:t>中规定的金额和交纳期限向招标代理机构交纳投标保证金，并作为其投标文件的组成部分。</w:t>
      </w:r>
    </w:p>
    <w:p w14:paraId="2697FAAA">
      <w:pPr>
        <w:pStyle w:val="5"/>
        <w:numPr>
          <w:ilvl w:val="0"/>
          <w:numId w:val="9"/>
        </w:numPr>
        <w:ind w:hanging="5"/>
        <w:rPr>
          <w:rFonts w:ascii="楷体" w:hAnsi="楷体" w:eastAsia="楷体" w:cs="楷体"/>
          <w:color w:val="auto"/>
          <w:sz w:val="28"/>
          <w:szCs w:val="28"/>
          <w:highlight w:val="none"/>
          <w:lang w:val="zh-CN"/>
        </w:rPr>
      </w:pPr>
      <w:bookmarkStart w:id="147" w:name="_Toc3170"/>
      <w:bookmarkStart w:id="148" w:name="_Toc25961"/>
      <w:bookmarkStart w:id="149" w:name="_Toc6362"/>
      <w:bookmarkStart w:id="150" w:name="_Toc24733"/>
      <w:bookmarkStart w:id="151" w:name="_Toc10451"/>
      <w:r>
        <w:rPr>
          <w:rFonts w:hint="eastAsia" w:ascii="楷体" w:hAnsi="楷体" w:eastAsia="楷体" w:cs="楷体"/>
          <w:color w:val="auto"/>
          <w:sz w:val="28"/>
          <w:szCs w:val="28"/>
          <w:highlight w:val="none"/>
          <w:lang w:val="zh-CN"/>
        </w:rPr>
        <w:t>投标保证金的退还条件</w:t>
      </w:r>
      <w:bookmarkEnd w:id="147"/>
      <w:bookmarkEnd w:id="148"/>
      <w:bookmarkEnd w:id="149"/>
      <w:bookmarkEnd w:id="150"/>
      <w:bookmarkEnd w:id="151"/>
    </w:p>
    <w:p w14:paraId="680DF754">
      <w:pPr>
        <w:numPr>
          <w:ilvl w:val="1"/>
          <w:numId w:val="30"/>
        </w:numPr>
        <w:tabs>
          <w:tab w:val="clear" w:pos="907"/>
        </w:tabs>
        <w:spacing w:line="360" w:lineRule="auto"/>
        <w:ind w:left="1133" w:leftChars="229" w:hanging="652" w:hangingChars="272"/>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如无质疑或投诉，未中标的投标人保证金，在中标通知书发出后五个工作日内退还；如有质疑或投诉，招标人或</w:t>
      </w:r>
      <w:r>
        <w:rPr>
          <w:rFonts w:hint="eastAsia" w:ascii="楷体" w:hAnsi="楷体" w:eastAsia="楷体" w:cs="楷体"/>
          <w:b/>
          <w:color w:val="auto"/>
          <w:sz w:val="24"/>
          <w:highlight w:val="none"/>
          <w:u w:val="double"/>
        </w:rPr>
        <w:t>招标</w:t>
      </w:r>
      <w:r>
        <w:rPr>
          <w:rFonts w:hint="eastAsia" w:ascii="楷体" w:hAnsi="楷体" w:eastAsia="楷体" w:cs="楷体"/>
          <w:color w:val="auto"/>
          <w:sz w:val="24"/>
          <w:highlight w:val="none"/>
          <w:lang w:val="zh-CN" w:eastAsia="zh-TW"/>
        </w:rPr>
        <w:t>代理机构将在质疑或投诉处理完毕后退还。</w:t>
      </w:r>
    </w:p>
    <w:p w14:paraId="4144370B">
      <w:pPr>
        <w:numPr>
          <w:ilvl w:val="1"/>
          <w:numId w:val="30"/>
        </w:numPr>
        <w:tabs>
          <w:tab w:val="left" w:pos="1180"/>
        </w:tabs>
        <w:spacing w:line="360" w:lineRule="auto"/>
        <w:ind w:left="1133" w:leftChars="229" w:hanging="652" w:hangingChars="272"/>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中标人的投标保证金，在中标人与招标人签订采购合同，并将合同原件送招标代理机构备案后五个工作日内退还。</w:t>
      </w:r>
    </w:p>
    <w:p w14:paraId="6BC628F4">
      <w:pPr>
        <w:numPr>
          <w:ilvl w:val="1"/>
          <w:numId w:val="30"/>
        </w:numPr>
        <w:tabs>
          <w:tab w:val="left" w:pos="1180"/>
        </w:tabs>
        <w:spacing w:line="360" w:lineRule="auto"/>
        <w:ind w:left="0" w:firstLine="480" w:firstLineChars="200"/>
        <w:rPr>
          <w:rFonts w:ascii="楷体" w:hAnsi="楷体" w:eastAsia="楷体" w:cs="楷体"/>
          <w:color w:val="auto"/>
          <w:sz w:val="24"/>
          <w:highlight w:val="none"/>
          <w:lang w:val="zh-CN" w:eastAsia="zh-TW"/>
        </w:rPr>
      </w:pPr>
      <w:bookmarkStart w:id="152" w:name="_Toc11559"/>
      <w:r>
        <w:rPr>
          <w:rFonts w:hint="eastAsia" w:ascii="楷体" w:hAnsi="楷体" w:eastAsia="楷体" w:cs="楷体"/>
          <w:color w:val="auto"/>
          <w:sz w:val="24"/>
          <w:highlight w:val="none"/>
          <w:lang w:val="zh-CN" w:eastAsia="zh-TW"/>
        </w:rPr>
        <w:t>下列任一情况发生时，投标保证金将不予退还</w:t>
      </w:r>
      <w:bookmarkEnd w:id="152"/>
      <w:r>
        <w:rPr>
          <w:rFonts w:hint="eastAsia" w:ascii="楷体" w:hAnsi="楷体" w:eastAsia="楷体" w:cs="楷体"/>
          <w:color w:val="auto"/>
          <w:sz w:val="24"/>
          <w:highlight w:val="none"/>
          <w:lang w:val="zh-CN" w:eastAsia="zh-TW"/>
        </w:rPr>
        <w:t>：</w:t>
      </w:r>
    </w:p>
    <w:p w14:paraId="64F13F01">
      <w:pPr>
        <w:tabs>
          <w:tab w:val="left" w:pos="907"/>
        </w:tabs>
        <w:spacing w:line="360" w:lineRule="auto"/>
        <w:ind w:left="-237" w:leftChars="-113" w:firstLine="720" w:firstLineChars="30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rPr>
        <w:t>17.3.1</w:t>
      </w:r>
      <w:r>
        <w:rPr>
          <w:rFonts w:hint="eastAsia" w:ascii="楷体" w:hAnsi="楷体" w:eastAsia="楷体" w:cs="楷体"/>
          <w:color w:val="auto"/>
          <w:sz w:val="24"/>
          <w:highlight w:val="none"/>
          <w:lang w:val="zh-CN" w:eastAsia="zh-TW"/>
        </w:rPr>
        <w:t>投标人在招标文件规定的投标有效期内撤回其投标的；</w:t>
      </w:r>
    </w:p>
    <w:p w14:paraId="47EDEB46">
      <w:pPr>
        <w:tabs>
          <w:tab w:val="left" w:pos="907"/>
        </w:tabs>
        <w:spacing w:line="360" w:lineRule="auto"/>
        <w:ind w:left="-237" w:leftChars="-113" w:firstLine="720" w:firstLineChars="30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17.3.2中标人中标后无正当理由放弃中标或在规定期限内未按本须知规定</w:t>
      </w:r>
    </w:p>
    <w:p w14:paraId="7749A91C">
      <w:pPr>
        <w:tabs>
          <w:tab w:val="left" w:pos="907"/>
        </w:tabs>
        <w:spacing w:line="360" w:lineRule="auto"/>
        <w:ind w:left="-237" w:leftChars="-113" w:firstLine="720" w:firstLineChars="30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签订合同的；</w:t>
      </w:r>
    </w:p>
    <w:p w14:paraId="0883514C">
      <w:pPr>
        <w:tabs>
          <w:tab w:val="left" w:pos="907"/>
        </w:tabs>
        <w:spacing w:line="360" w:lineRule="auto"/>
        <w:ind w:left="-237" w:leftChars="-113" w:firstLine="720" w:firstLineChars="30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rPr>
        <w:t>17.3.3</w:t>
      </w:r>
      <w:r>
        <w:rPr>
          <w:rFonts w:hint="eastAsia" w:ascii="楷体" w:hAnsi="楷体" w:eastAsia="楷体" w:cs="楷体"/>
          <w:color w:val="auto"/>
          <w:sz w:val="24"/>
          <w:highlight w:val="none"/>
          <w:lang w:val="zh-CN" w:eastAsia="zh-TW"/>
        </w:rPr>
        <w:t>中标人在规定期限内未按本须知规定提供履约保证金的；</w:t>
      </w:r>
    </w:p>
    <w:p w14:paraId="0338C1A2">
      <w:pPr>
        <w:tabs>
          <w:tab w:val="left" w:pos="907"/>
        </w:tabs>
        <w:spacing w:line="360" w:lineRule="auto"/>
        <w:ind w:left="-237" w:leftChars="-113" w:firstLine="720" w:firstLineChars="30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rPr>
        <w:t>17.3.4</w:t>
      </w:r>
      <w:r>
        <w:rPr>
          <w:rFonts w:hint="eastAsia" w:ascii="楷体" w:hAnsi="楷体" w:eastAsia="楷体" w:cs="楷体"/>
          <w:color w:val="auto"/>
          <w:sz w:val="24"/>
          <w:highlight w:val="none"/>
          <w:lang w:val="zh-CN" w:eastAsia="zh-TW"/>
        </w:rPr>
        <w:t>中标人未按本须知规定缴交招标代理服务费的；</w:t>
      </w:r>
    </w:p>
    <w:p w14:paraId="7FF05AD4">
      <w:pPr>
        <w:tabs>
          <w:tab w:val="left" w:pos="907"/>
        </w:tabs>
        <w:spacing w:line="360" w:lineRule="auto"/>
        <w:ind w:left="1201" w:leftChars="229" w:hanging="720" w:hangingChars="30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rPr>
        <w:t>17.3.5</w:t>
      </w:r>
      <w:r>
        <w:rPr>
          <w:rFonts w:hint="eastAsia" w:ascii="楷体" w:hAnsi="楷体" w:eastAsia="楷体" w:cs="楷体"/>
          <w:color w:val="auto"/>
          <w:sz w:val="24"/>
          <w:highlight w:val="none"/>
          <w:lang w:val="zh-CN" w:eastAsia="zh-TW"/>
        </w:rPr>
        <w:t>投标人捏造事实、提供虚假材料或者以非法手段取得证明材料进行异议投诉的。</w:t>
      </w:r>
    </w:p>
    <w:p w14:paraId="15D5595B">
      <w:pPr>
        <w:pStyle w:val="4"/>
        <w:numPr>
          <w:ilvl w:val="0"/>
          <w:numId w:val="8"/>
        </w:numPr>
        <w:jc w:val="center"/>
        <w:rPr>
          <w:rFonts w:ascii="楷体" w:hAnsi="楷体" w:eastAsia="楷体" w:cs="楷体"/>
          <w:color w:val="auto"/>
          <w:highlight w:val="none"/>
        </w:rPr>
      </w:pPr>
      <w:bookmarkStart w:id="153" w:name="_Toc19319"/>
      <w:bookmarkStart w:id="154" w:name="_Toc25191"/>
      <w:bookmarkStart w:id="155" w:name="_Toc6785"/>
      <w:bookmarkStart w:id="156" w:name="_Toc423021944"/>
      <w:bookmarkStart w:id="157" w:name="_Toc10947"/>
      <w:bookmarkStart w:id="158" w:name="_Toc29855"/>
      <w:r>
        <w:rPr>
          <w:rFonts w:hint="eastAsia" w:ascii="楷体" w:hAnsi="楷体" w:eastAsia="楷体" w:cs="楷体"/>
          <w:color w:val="auto"/>
          <w:highlight w:val="none"/>
        </w:rPr>
        <w:t>投标文件的递交</w:t>
      </w:r>
      <w:bookmarkEnd w:id="153"/>
      <w:bookmarkEnd w:id="154"/>
      <w:bookmarkEnd w:id="155"/>
      <w:bookmarkEnd w:id="156"/>
      <w:bookmarkEnd w:id="157"/>
      <w:bookmarkEnd w:id="158"/>
    </w:p>
    <w:p w14:paraId="243057CE">
      <w:pPr>
        <w:pStyle w:val="5"/>
        <w:numPr>
          <w:ilvl w:val="0"/>
          <w:numId w:val="9"/>
        </w:numPr>
        <w:ind w:hanging="5"/>
        <w:rPr>
          <w:rFonts w:ascii="楷体" w:hAnsi="楷体" w:eastAsia="楷体" w:cs="楷体"/>
          <w:color w:val="auto"/>
          <w:sz w:val="28"/>
          <w:szCs w:val="28"/>
          <w:highlight w:val="none"/>
          <w:lang w:val="zh-CN"/>
        </w:rPr>
      </w:pPr>
      <w:bookmarkStart w:id="159" w:name="_Toc26978"/>
      <w:bookmarkStart w:id="160" w:name="_Toc29676"/>
      <w:bookmarkStart w:id="161" w:name="_Toc32088"/>
      <w:bookmarkStart w:id="162" w:name="_Toc19918"/>
      <w:bookmarkStart w:id="163" w:name="_Toc5144"/>
      <w:r>
        <w:rPr>
          <w:rFonts w:hint="eastAsia" w:ascii="楷体" w:hAnsi="楷体" w:eastAsia="楷体" w:cs="楷体"/>
          <w:color w:val="auto"/>
          <w:sz w:val="28"/>
          <w:szCs w:val="28"/>
          <w:highlight w:val="none"/>
          <w:lang w:val="zh-CN"/>
        </w:rPr>
        <w:t>投标文件的密封和标记</w:t>
      </w:r>
      <w:bookmarkEnd w:id="159"/>
      <w:bookmarkEnd w:id="160"/>
      <w:bookmarkEnd w:id="161"/>
      <w:bookmarkEnd w:id="162"/>
      <w:bookmarkEnd w:id="163"/>
    </w:p>
    <w:p w14:paraId="2782FF8B">
      <w:pPr>
        <w:numPr>
          <w:ilvl w:val="1"/>
          <w:numId w:val="31"/>
        </w:numPr>
        <w:tabs>
          <w:tab w:val="clear" w:pos="907"/>
        </w:tabs>
        <w:spacing w:line="360" w:lineRule="auto"/>
        <w:ind w:left="1247" w:hanging="827"/>
        <w:rPr>
          <w:rFonts w:ascii="楷体" w:hAnsi="楷体" w:eastAsia="楷体" w:cs="楷体"/>
          <w:b/>
          <w:bCs/>
          <w:color w:val="auto"/>
          <w:sz w:val="24"/>
          <w:highlight w:val="none"/>
          <w:u w:val="single"/>
          <w:lang w:val="zh-CN" w:eastAsia="zh-TW"/>
        </w:rPr>
      </w:pPr>
      <w:r>
        <w:rPr>
          <w:rFonts w:hint="eastAsia" w:ascii="楷体" w:hAnsi="楷体" w:eastAsia="楷体" w:cs="楷体"/>
          <w:color w:val="auto"/>
          <w:sz w:val="24"/>
          <w:highlight w:val="none"/>
        </w:rPr>
        <w:t>电子投标文件应使用投标客户端进行制作并加密。</w:t>
      </w:r>
    </w:p>
    <w:p w14:paraId="575A8A00">
      <w:pPr>
        <w:pStyle w:val="5"/>
        <w:numPr>
          <w:ilvl w:val="0"/>
          <w:numId w:val="9"/>
        </w:numPr>
        <w:ind w:hanging="5"/>
        <w:rPr>
          <w:rFonts w:ascii="楷体" w:hAnsi="楷体" w:eastAsia="楷体" w:cs="楷体"/>
          <w:color w:val="auto"/>
          <w:sz w:val="28"/>
          <w:szCs w:val="28"/>
          <w:highlight w:val="none"/>
          <w:lang w:val="zh-CN"/>
        </w:rPr>
      </w:pPr>
      <w:bookmarkStart w:id="164" w:name="_Toc10783"/>
      <w:bookmarkStart w:id="165" w:name="_Toc27599"/>
      <w:bookmarkStart w:id="166" w:name="_Toc30703"/>
      <w:bookmarkStart w:id="167" w:name="_Toc22553"/>
      <w:bookmarkStart w:id="168" w:name="_Toc29751"/>
      <w:r>
        <w:rPr>
          <w:rFonts w:hint="eastAsia" w:ascii="楷体" w:hAnsi="楷体" w:eastAsia="楷体" w:cs="楷体"/>
          <w:color w:val="auto"/>
          <w:sz w:val="28"/>
          <w:szCs w:val="28"/>
          <w:highlight w:val="none"/>
          <w:lang w:val="zh-CN"/>
        </w:rPr>
        <w:t>投标文件递交要求</w:t>
      </w:r>
      <w:bookmarkEnd w:id="164"/>
      <w:bookmarkEnd w:id="165"/>
      <w:bookmarkEnd w:id="166"/>
      <w:bookmarkEnd w:id="167"/>
      <w:bookmarkEnd w:id="168"/>
    </w:p>
    <w:p w14:paraId="3A86E002">
      <w:pPr>
        <w:numPr>
          <w:ilvl w:val="1"/>
          <w:numId w:val="32"/>
        </w:numPr>
        <w:tabs>
          <w:tab w:val="left" w:pos="630"/>
          <w:tab w:val="left" w:pos="1180"/>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rPr>
        <w:t>电子</w:t>
      </w:r>
      <w:r>
        <w:rPr>
          <w:rFonts w:hint="eastAsia" w:ascii="楷体" w:hAnsi="楷体" w:eastAsia="楷体" w:cs="楷体"/>
          <w:color w:val="auto"/>
          <w:sz w:val="24"/>
          <w:highlight w:val="none"/>
          <w:lang w:val="zh-CN" w:eastAsia="zh-TW"/>
        </w:rPr>
        <w:t>投标文件须在递交投标文件截止时间前成功上传至电子平台，电子投标文件必须签名盖章。</w:t>
      </w:r>
    </w:p>
    <w:p w14:paraId="725D1772">
      <w:pPr>
        <w:pStyle w:val="5"/>
        <w:numPr>
          <w:ilvl w:val="0"/>
          <w:numId w:val="9"/>
        </w:numPr>
        <w:ind w:hanging="5"/>
        <w:rPr>
          <w:rFonts w:ascii="楷体" w:hAnsi="楷体" w:eastAsia="楷体" w:cs="楷体"/>
          <w:color w:val="auto"/>
          <w:sz w:val="28"/>
          <w:szCs w:val="28"/>
          <w:highlight w:val="none"/>
          <w:lang w:val="zh-CN"/>
        </w:rPr>
      </w:pPr>
      <w:bookmarkStart w:id="169" w:name="_Toc22077"/>
      <w:bookmarkStart w:id="170" w:name="_Toc10324"/>
      <w:bookmarkStart w:id="171" w:name="_Toc5514"/>
      <w:bookmarkStart w:id="172" w:name="_Toc26492"/>
      <w:bookmarkStart w:id="173" w:name="_Toc24470"/>
      <w:r>
        <w:rPr>
          <w:rFonts w:hint="eastAsia" w:ascii="楷体" w:hAnsi="楷体" w:eastAsia="楷体" w:cs="楷体"/>
          <w:color w:val="auto"/>
          <w:sz w:val="28"/>
          <w:szCs w:val="28"/>
          <w:highlight w:val="none"/>
          <w:lang w:val="zh-CN"/>
        </w:rPr>
        <w:t>投标截止</w:t>
      </w:r>
      <w:bookmarkEnd w:id="169"/>
      <w:bookmarkEnd w:id="170"/>
      <w:bookmarkEnd w:id="171"/>
      <w:bookmarkEnd w:id="172"/>
      <w:bookmarkEnd w:id="173"/>
    </w:p>
    <w:p w14:paraId="6D51D831">
      <w:pPr>
        <w:numPr>
          <w:ilvl w:val="1"/>
          <w:numId w:val="33"/>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投标人应在不迟于</w:t>
      </w:r>
      <w:r>
        <w:rPr>
          <w:rFonts w:hint="eastAsia" w:ascii="楷体" w:hAnsi="楷体" w:eastAsia="楷体" w:cs="楷体"/>
          <w:b/>
          <w:bCs/>
          <w:color w:val="auto"/>
          <w:sz w:val="24"/>
          <w:highlight w:val="none"/>
          <w:lang w:val="zh-CN" w:eastAsia="zh-TW"/>
        </w:rPr>
        <w:t>投标邀请函</w:t>
      </w:r>
      <w:r>
        <w:rPr>
          <w:rFonts w:hint="eastAsia" w:ascii="楷体" w:hAnsi="楷体" w:eastAsia="楷体" w:cs="楷体"/>
          <w:color w:val="auto"/>
          <w:sz w:val="24"/>
          <w:highlight w:val="none"/>
          <w:lang w:val="zh-CN" w:eastAsia="zh-TW"/>
        </w:rPr>
        <w:t>中规定的截止日期和时间将投标文件递交至招标代理机构，递交地点应是</w:t>
      </w:r>
      <w:r>
        <w:rPr>
          <w:rFonts w:hint="eastAsia" w:ascii="楷体" w:hAnsi="楷体" w:eastAsia="楷体" w:cs="楷体"/>
          <w:b/>
          <w:bCs/>
          <w:color w:val="auto"/>
          <w:sz w:val="24"/>
          <w:highlight w:val="none"/>
          <w:lang w:val="zh-CN" w:eastAsia="zh-TW"/>
        </w:rPr>
        <w:t>投标邀请函</w:t>
      </w:r>
      <w:r>
        <w:rPr>
          <w:rFonts w:hint="eastAsia" w:ascii="楷体" w:hAnsi="楷体" w:eastAsia="楷体" w:cs="楷体"/>
          <w:color w:val="auto"/>
          <w:sz w:val="24"/>
          <w:highlight w:val="none"/>
          <w:lang w:val="zh-CN" w:eastAsia="zh-TW"/>
        </w:rPr>
        <w:t>中指明的地址。</w:t>
      </w:r>
    </w:p>
    <w:p w14:paraId="0E2F1071">
      <w:pPr>
        <w:numPr>
          <w:ilvl w:val="1"/>
          <w:numId w:val="33"/>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15DC370B">
      <w:pPr>
        <w:numPr>
          <w:ilvl w:val="1"/>
          <w:numId w:val="33"/>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招标代理机构将拒绝接收在招标文件规定的投标截止时间之后收到的任何投标文件。</w:t>
      </w:r>
    </w:p>
    <w:p w14:paraId="7A859BD3">
      <w:pPr>
        <w:pStyle w:val="5"/>
        <w:numPr>
          <w:ilvl w:val="0"/>
          <w:numId w:val="9"/>
        </w:numPr>
        <w:ind w:hanging="5"/>
        <w:rPr>
          <w:rFonts w:ascii="楷体" w:hAnsi="楷体" w:eastAsia="楷体" w:cs="楷体"/>
          <w:color w:val="auto"/>
          <w:sz w:val="28"/>
          <w:szCs w:val="28"/>
          <w:highlight w:val="none"/>
          <w:lang w:val="zh-CN"/>
        </w:rPr>
      </w:pPr>
      <w:bookmarkStart w:id="174" w:name="_Toc32355"/>
      <w:bookmarkStart w:id="175" w:name="_Toc9165"/>
      <w:bookmarkStart w:id="176" w:name="_Toc1816"/>
      <w:bookmarkStart w:id="177" w:name="_Toc1809"/>
      <w:bookmarkStart w:id="178" w:name="_Toc23368"/>
      <w:r>
        <w:rPr>
          <w:rFonts w:hint="eastAsia" w:ascii="楷体" w:hAnsi="楷体" w:eastAsia="楷体" w:cs="楷体"/>
          <w:color w:val="auto"/>
          <w:sz w:val="28"/>
          <w:szCs w:val="28"/>
          <w:highlight w:val="none"/>
          <w:lang w:val="zh-CN"/>
        </w:rPr>
        <w:t>投标文件的修改和撤回</w:t>
      </w:r>
      <w:bookmarkEnd w:id="174"/>
      <w:bookmarkEnd w:id="175"/>
      <w:bookmarkEnd w:id="176"/>
      <w:bookmarkEnd w:id="177"/>
      <w:bookmarkEnd w:id="178"/>
    </w:p>
    <w:p w14:paraId="6D157B58">
      <w:pPr>
        <w:numPr>
          <w:ilvl w:val="1"/>
          <w:numId w:val="34"/>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3B2C8B77">
      <w:pPr>
        <w:numPr>
          <w:ilvl w:val="1"/>
          <w:numId w:val="34"/>
        </w:numPr>
        <w:tabs>
          <w:tab w:val="left" w:pos="1220"/>
        </w:tabs>
        <w:spacing w:line="360" w:lineRule="auto"/>
        <w:ind w:hanging="48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在投标截止时间之后，投标人不得对其投标文件做任何修改。</w:t>
      </w:r>
    </w:p>
    <w:p w14:paraId="43C4B1D4">
      <w:pPr>
        <w:numPr>
          <w:ilvl w:val="1"/>
          <w:numId w:val="34"/>
        </w:numPr>
        <w:tabs>
          <w:tab w:val="clear" w:pos="907"/>
        </w:tabs>
        <w:spacing w:line="360" w:lineRule="auto"/>
        <w:ind w:left="1247" w:hanging="82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从投标截止期至招标文件规定的投标有效期期满的这段时间内，投标人不得撤回其投标。</w:t>
      </w:r>
    </w:p>
    <w:p w14:paraId="22CA4B82">
      <w:pPr>
        <w:numPr>
          <w:ilvl w:val="1"/>
          <w:numId w:val="34"/>
        </w:numPr>
        <w:tabs>
          <w:tab w:val="left" w:pos="1220"/>
        </w:tabs>
        <w:spacing w:line="360" w:lineRule="auto"/>
        <w:ind w:hanging="487"/>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除非招标文件另有规定或说明，投标文件一律不予退还。</w:t>
      </w:r>
    </w:p>
    <w:p w14:paraId="55F6D91C">
      <w:pPr>
        <w:pStyle w:val="4"/>
        <w:numPr>
          <w:ilvl w:val="0"/>
          <w:numId w:val="8"/>
        </w:numPr>
        <w:jc w:val="center"/>
        <w:rPr>
          <w:rFonts w:ascii="楷体" w:hAnsi="楷体" w:eastAsia="楷体" w:cs="楷体"/>
          <w:color w:val="auto"/>
          <w:highlight w:val="none"/>
        </w:rPr>
      </w:pPr>
      <w:bookmarkStart w:id="179" w:name="_Toc18872"/>
      <w:bookmarkStart w:id="180" w:name="_Toc1851"/>
      <w:bookmarkStart w:id="181" w:name="_Toc30765"/>
      <w:bookmarkStart w:id="182" w:name="_Toc21950"/>
      <w:bookmarkStart w:id="183" w:name="_Toc423021945"/>
      <w:bookmarkStart w:id="184" w:name="_Toc32255"/>
      <w:r>
        <w:rPr>
          <w:rFonts w:hint="eastAsia" w:ascii="楷体" w:hAnsi="楷体" w:eastAsia="楷体" w:cs="楷体"/>
          <w:color w:val="auto"/>
          <w:highlight w:val="none"/>
        </w:rPr>
        <w:t>开标与评标</w:t>
      </w:r>
      <w:bookmarkEnd w:id="179"/>
      <w:bookmarkEnd w:id="180"/>
      <w:bookmarkEnd w:id="181"/>
      <w:bookmarkEnd w:id="182"/>
      <w:bookmarkEnd w:id="183"/>
      <w:bookmarkEnd w:id="184"/>
    </w:p>
    <w:p w14:paraId="512EF23D">
      <w:pPr>
        <w:pStyle w:val="5"/>
        <w:numPr>
          <w:ilvl w:val="0"/>
          <w:numId w:val="9"/>
        </w:numPr>
        <w:ind w:hanging="5"/>
        <w:rPr>
          <w:rFonts w:ascii="楷体" w:hAnsi="楷体" w:eastAsia="楷体" w:cs="楷体"/>
          <w:color w:val="auto"/>
          <w:sz w:val="28"/>
          <w:szCs w:val="28"/>
          <w:highlight w:val="none"/>
          <w:lang w:val="zh-CN"/>
        </w:rPr>
      </w:pPr>
      <w:bookmarkStart w:id="185" w:name="_Toc20889"/>
      <w:bookmarkStart w:id="186" w:name="_Toc24164"/>
      <w:bookmarkStart w:id="187" w:name="_Toc19097"/>
      <w:bookmarkStart w:id="188" w:name="_Toc11634"/>
      <w:bookmarkStart w:id="189" w:name="_Toc15366"/>
      <w:r>
        <w:rPr>
          <w:rFonts w:hint="eastAsia" w:ascii="楷体" w:hAnsi="楷体" w:eastAsia="楷体" w:cs="楷体"/>
          <w:color w:val="auto"/>
          <w:sz w:val="28"/>
          <w:szCs w:val="28"/>
          <w:highlight w:val="none"/>
          <w:lang w:val="zh-CN"/>
        </w:rPr>
        <w:t>开标</w:t>
      </w:r>
      <w:bookmarkEnd w:id="185"/>
      <w:bookmarkEnd w:id="186"/>
      <w:bookmarkEnd w:id="187"/>
      <w:bookmarkEnd w:id="188"/>
      <w:bookmarkEnd w:id="189"/>
    </w:p>
    <w:p w14:paraId="78101F9D">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招标代理机构按</w:t>
      </w:r>
      <w:r>
        <w:rPr>
          <w:rFonts w:hint="eastAsia" w:ascii="楷体" w:hAnsi="楷体" w:eastAsia="楷体" w:cs="楷体"/>
          <w:b/>
          <w:bCs/>
          <w:color w:val="auto"/>
          <w:sz w:val="24"/>
          <w:highlight w:val="none"/>
          <w:lang w:val="zh-CN" w:eastAsia="zh-TW"/>
        </w:rPr>
        <w:t>投标邀请函</w:t>
      </w:r>
      <w:r>
        <w:rPr>
          <w:rFonts w:hint="eastAsia" w:ascii="楷体" w:hAnsi="楷体" w:eastAsia="楷体" w:cs="楷体"/>
          <w:color w:val="auto"/>
          <w:sz w:val="24"/>
          <w:highlight w:val="none"/>
          <w:lang w:val="zh-CN" w:eastAsia="zh-TW"/>
        </w:rPr>
        <w:t>中规定的日期、时间和地点组织公开开标。</w:t>
      </w:r>
    </w:p>
    <w:p w14:paraId="5BE89E11">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开标由招标代理机构主持，招标人、投标人和有关方面代表参加。评标委员会专家成员不参加开标会议。</w:t>
      </w:r>
    </w:p>
    <w:p w14:paraId="725BAB86">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eastAsia="zh-TW"/>
        </w:rPr>
        <w:t>开标</w:t>
      </w:r>
      <w:r>
        <w:rPr>
          <w:rFonts w:hint="eastAsia" w:ascii="楷体" w:hAnsi="楷体" w:eastAsia="楷体" w:cs="楷体"/>
          <w:color w:val="auto"/>
          <w:sz w:val="24"/>
          <w:highlight w:val="none"/>
          <w:lang w:val="zh-CN"/>
        </w:rPr>
        <w:t>前，按</w:t>
      </w:r>
      <w:r>
        <w:rPr>
          <w:rFonts w:hint="eastAsia" w:ascii="楷体" w:hAnsi="楷体" w:eastAsia="楷体" w:cs="楷体"/>
          <w:color w:val="auto"/>
          <w:sz w:val="24"/>
          <w:highlight w:val="none"/>
          <w:lang w:val="zh-CN" w:eastAsia="zh-TW"/>
        </w:rPr>
        <w:t>签到顺序递交投标文件的</w:t>
      </w:r>
      <w:r>
        <w:rPr>
          <w:rFonts w:hint="eastAsia" w:ascii="楷体" w:hAnsi="楷体" w:eastAsia="楷体" w:cs="楷体"/>
          <w:b/>
          <w:bCs/>
          <w:color w:val="auto"/>
          <w:sz w:val="24"/>
          <w:highlight w:val="none"/>
          <w:lang w:val="zh-CN" w:eastAsia="zh-TW"/>
        </w:rPr>
        <w:t>前三名</w:t>
      </w:r>
      <w:r>
        <w:rPr>
          <w:rFonts w:hint="eastAsia" w:ascii="楷体" w:hAnsi="楷体" w:eastAsia="楷体" w:cs="楷体"/>
          <w:color w:val="auto"/>
          <w:sz w:val="24"/>
          <w:highlight w:val="none"/>
          <w:lang w:val="zh-CN"/>
        </w:rPr>
        <w:t>授权</w:t>
      </w:r>
      <w:r>
        <w:rPr>
          <w:rFonts w:hint="eastAsia" w:ascii="楷体" w:hAnsi="楷体" w:eastAsia="楷体" w:cs="楷体"/>
          <w:color w:val="auto"/>
          <w:sz w:val="24"/>
          <w:highlight w:val="none"/>
          <w:lang w:val="zh-CN" w:eastAsia="zh-TW"/>
        </w:rPr>
        <w:t>代表</w:t>
      </w:r>
      <w:r>
        <w:rPr>
          <w:rFonts w:hint="eastAsia" w:ascii="楷体" w:hAnsi="楷体" w:eastAsia="楷体" w:cs="楷体"/>
          <w:color w:val="auto"/>
          <w:sz w:val="24"/>
          <w:highlight w:val="none"/>
          <w:lang w:val="zh-CN"/>
        </w:rPr>
        <w:t>检查所有</w:t>
      </w:r>
      <w:r>
        <w:rPr>
          <w:rFonts w:hint="eastAsia" w:ascii="楷体" w:hAnsi="楷体" w:eastAsia="楷体" w:cs="楷体"/>
          <w:color w:val="auto"/>
          <w:sz w:val="24"/>
          <w:highlight w:val="none"/>
          <w:lang w:val="zh-CN" w:eastAsia="zh-TW"/>
        </w:rPr>
        <w:t>投标文件的密封情况</w:t>
      </w:r>
      <w:r>
        <w:rPr>
          <w:rFonts w:hint="eastAsia" w:ascii="楷体" w:hAnsi="楷体" w:eastAsia="楷体" w:cs="楷体"/>
          <w:color w:val="auto"/>
          <w:sz w:val="24"/>
          <w:highlight w:val="none"/>
          <w:lang w:val="zh-CN"/>
        </w:rPr>
        <w:t>。经确认密封完好后，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6BDD3FBF">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未宣读的投标价格、价格折扣和招标文件允许提供的备选投标方案等实质内容，评标时不予考虑。</w:t>
      </w:r>
    </w:p>
    <w:p w14:paraId="799401CE">
      <w:pPr>
        <w:numPr>
          <w:ilvl w:val="1"/>
          <w:numId w:val="35"/>
        </w:numPr>
        <w:tabs>
          <w:tab w:val="left" w:pos="1120"/>
          <w:tab w:val="left" w:pos="1220"/>
        </w:tabs>
        <w:spacing w:line="360" w:lineRule="auto"/>
        <w:ind w:left="1259" w:leftChars="228" w:hanging="780" w:hangingChars="325"/>
        <w:rPr>
          <w:rFonts w:ascii="楷体" w:hAnsi="楷体" w:eastAsia="楷体" w:cs="楷体"/>
          <w:bCs/>
          <w:color w:val="auto"/>
          <w:sz w:val="24"/>
          <w:highlight w:val="none"/>
          <w:lang w:val="zh-CN"/>
        </w:rPr>
      </w:pPr>
      <w:r>
        <w:rPr>
          <w:rFonts w:hint="eastAsia" w:ascii="楷体" w:hAnsi="楷体" w:eastAsia="楷体" w:cs="楷体"/>
          <w:color w:val="auto"/>
          <w:sz w:val="24"/>
          <w:highlight w:val="none"/>
          <w:lang w:val="zh-CN"/>
        </w:rPr>
        <w:t>招标代理机构将做开标记录，并由投标人代表及有关人员签字确认。</w:t>
      </w:r>
    </w:p>
    <w:p w14:paraId="66A8291A">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开标时，投标文件中开标一览表内容与投标明细报价表内容不一致的，以开标一览表为准。</w:t>
      </w:r>
    </w:p>
    <w:p w14:paraId="33CCED01">
      <w:pPr>
        <w:numPr>
          <w:ilvl w:val="1"/>
          <w:numId w:val="35"/>
        </w:numPr>
        <w:tabs>
          <w:tab w:val="left" w:pos="1120"/>
        </w:tabs>
        <w:spacing w:line="360" w:lineRule="auto"/>
        <w:ind w:left="1077" w:leftChars="227" w:hanging="600" w:hangingChars="250"/>
        <w:rPr>
          <w:rFonts w:ascii="楷体" w:hAnsi="楷体" w:eastAsia="楷体" w:cs="楷体"/>
          <w:color w:val="auto"/>
          <w:sz w:val="24"/>
          <w:highlight w:val="none"/>
          <w:lang w:val="zh-CN" w:eastAsia="zh-TW"/>
        </w:rPr>
      </w:pPr>
      <w:r>
        <w:rPr>
          <w:rFonts w:hint="eastAsia" w:ascii="楷体" w:hAnsi="楷体" w:eastAsia="楷体" w:cs="楷体"/>
          <w:color w:val="auto"/>
          <w:sz w:val="24"/>
          <w:highlight w:val="none"/>
          <w:lang w:val="zh-CN" w:eastAsia="zh-TW"/>
        </w:rPr>
        <w:t>在招标文件要求提交投标文件截止时间前收到的所有投标文件不足三家时，不予以拆封、宣读，将作流标处理。投标人递交的投标文件原封退还。</w:t>
      </w:r>
    </w:p>
    <w:p w14:paraId="066730A4">
      <w:pPr>
        <w:pStyle w:val="5"/>
        <w:numPr>
          <w:ilvl w:val="0"/>
          <w:numId w:val="9"/>
        </w:numPr>
        <w:ind w:hanging="5"/>
        <w:rPr>
          <w:rFonts w:ascii="楷体" w:hAnsi="楷体" w:eastAsia="楷体" w:cs="楷体"/>
          <w:color w:val="auto"/>
          <w:sz w:val="28"/>
          <w:szCs w:val="28"/>
          <w:highlight w:val="none"/>
          <w:lang w:val="zh-CN"/>
        </w:rPr>
      </w:pPr>
      <w:bookmarkStart w:id="190" w:name="_Toc22210"/>
      <w:bookmarkStart w:id="191" w:name="_Toc31826"/>
      <w:bookmarkStart w:id="192" w:name="_Toc17883"/>
      <w:bookmarkStart w:id="193" w:name="_Toc26197"/>
      <w:bookmarkStart w:id="194" w:name="_Toc13947"/>
      <w:r>
        <w:rPr>
          <w:rFonts w:hint="eastAsia" w:ascii="楷体" w:hAnsi="楷体" w:eastAsia="楷体" w:cs="楷体"/>
          <w:color w:val="auto"/>
          <w:sz w:val="28"/>
          <w:szCs w:val="28"/>
          <w:highlight w:val="none"/>
          <w:lang w:val="zh-CN"/>
        </w:rPr>
        <w:t>评标</w:t>
      </w:r>
      <w:bookmarkEnd w:id="190"/>
      <w:bookmarkEnd w:id="191"/>
      <w:bookmarkEnd w:id="192"/>
      <w:bookmarkEnd w:id="193"/>
      <w:bookmarkEnd w:id="194"/>
    </w:p>
    <w:p w14:paraId="5C5E1D95">
      <w:pPr>
        <w:numPr>
          <w:ilvl w:val="1"/>
          <w:numId w:val="36"/>
        </w:numPr>
        <w:tabs>
          <w:tab w:val="left" w:pos="1100"/>
          <w:tab w:val="left" w:pos="1220"/>
        </w:tabs>
        <w:spacing w:line="360" w:lineRule="auto"/>
        <w:ind w:left="1060" w:leftChars="228" w:hanging="581" w:hangingChars="241"/>
        <w:rPr>
          <w:rFonts w:ascii="楷体" w:hAnsi="楷体" w:eastAsia="楷体" w:cs="楷体"/>
          <w:b/>
          <w:bCs/>
          <w:color w:val="auto"/>
          <w:sz w:val="24"/>
          <w:highlight w:val="none"/>
          <w:lang w:val="zh-CN"/>
        </w:rPr>
      </w:pPr>
      <w:r>
        <w:rPr>
          <w:rFonts w:hint="eastAsia" w:ascii="楷体" w:hAnsi="楷体" w:eastAsia="楷体" w:cs="楷体"/>
          <w:b/>
          <w:bCs/>
          <w:color w:val="auto"/>
          <w:sz w:val="24"/>
          <w:highlight w:val="none"/>
          <w:lang w:val="zh-CN"/>
        </w:rPr>
        <w:t>评标委员会</w:t>
      </w:r>
    </w:p>
    <w:p w14:paraId="43E36D99">
      <w:pPr>
        <w:numPr>
          <w:ilvl w:val="2"/>
          <w:numId w:val="37"/>
        </w:numPr>
        <w:tabs>
          <w:tab w:val="left" w:pos="1300"/>
        </w:tabs>
        <w:spacing w:line="360" w:lineRule="auto"/>
        <w:ind w:left="1254" w:leftChars="227" w:hanging="777" w:hangingChars="324"/>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本项目评标由依照政府采购法律、法规、规章、规范性文件规定组建的评标委员会负责。评标委员会成员由招标人代表和技术、经济等方面的专家组成。招标人代表人数、专家人数及专业构成按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的规定确定。</w:t>
      </w:r>
    </w:p>
    <w:p w14:paraId="3F86BC2C">
      <w:pPr>
        <w:numPr>
          <w:ilvl w:val="2"/>
          <w:numId w:val="37"/>
        </w:numPr>
        <w:tabs>
          <w:tab w:val="left" w:pos="1300"/>
        </w:tabs>
        <w:spacing w:line="360" w:lineRule="auto"/>
        <w:ind w:left="1269" w:leftChars="226" w:hanging="794" w:hangingChars="331"/>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评标委员会名单在评审结果确定前严格保密。评审专家有下列情形之一的，受到邀请应主动提出回避，采购当事人也可以要求该评审专家回避：</w:t>
      </w:r>
    </w:p>
    <w:p w14:paraId="3CF55FC5">
      <w:pPr>
        <w:numPr>
          <w:ilvl w:val="0"/>
          <w:numId w:val="38"/>
        </w:numPr>
        <w:tabs>
          <w:tab w:val="left" w:pos="851"/>
          <w:tab w:val="left" w:pos="993"/>
          <w:tab w:val="left" w:pos="1134"/>
        </w:tabs>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三年内曾在参加该招标项目供应商（服务商）中任职或担任顾问的；</w:t>
      </w:r>
    </w:p>
    <w:p w14:paraId="792778F7">
      <w:pPr>
        <w:numPr>
          <w:ilvl w:val="0"/>
          <w:numId w:val="38"/>
        </w:numPr>
        <w:tabs>
          <w:tab w:val="left" w:pos="993"/>
          <w:tab w:val="left" w:pos="1134"/>
        </w:tabs>
        <w:spacing w:line="360" w:lineRule="auto"/>
        <w:ind w:left="1097" w:hanging="700"/>
        <w:rPr>
          <w:rFonts w:ascii="楷体" w:hAnsi="楷体" w:eastAsia="楷体" w:cs="楷体"/>
          <w:color w:val="auto"/>
          <w:sz w:val="24"/>
          <w:highlight w:val="none"/>
        </w:rPr>
      </w:pPr>
      <w:r>
        <w:rPr>
          <w:rFonts w:hint="eastAsia" w:ascii="楷体" w:hAnsi="楷体" w:eastAsia="楷体" w:cs="楷体"/>
          <w:color w:val="auto"/>
          <w:sz w:val="24"/>
          <w:highlight w:val="none"/>
        </w:rPr>
        <w:t>配偶或直系亲属在参加该招标项目的供应商（服务商）中任职或担任顾问的；</w:t>
      </w:r>
    </w:p>
    <w:p w14:paraId="299596F0">
      <w:pPr>
        <w:numPr>
          <w:ilvl w:val="0"/>
          <w:numId w:val="38"/>
        </w:numPr>
        <w:tabs>
          <w:tab w:val="left" w:pos="993"/>
          <w:tab w:val="left" w:pos="1134"/>
        </w:tabs>
        <w:spacing w:line="360" w:lineRule="auto"/>
        <w:ind w:left="1097" w:hanging="700"/>
        <w:rPr>
          <w:rFonts w:ascii="楷体" w:hAnsi="楷体" w:eastAsia="楷体" w:cs="楷体"/>
          <w:color w:val="auto"/>
          <w:sz w:val="24"/>
          <w:highlight w:val="none"/>
        </w:rPr>
      </w:pPr>
      <w:r>
        <w:rPr>
          <w:rFonts w:hint="eastAsia" w:ascii="楷体" w:hAnsi="楷体" w:eastAsia="楷体" w:cs="楷体"/>
          <w:color w:val="auto"/>
          <w:sz w:val="24"/>
          <w:highlight w:val="none"/>
        </w:rPr>
        <w:t>与参加该招标项目供应商（服务商）发生过法律纠纷的；</w:t>
      </w:r>
    </w:p>
    <w:p w14:paraId="1116148A">
      <w:pPr>
        <w:numPr>
          <w:ilvl w:val="0"/>
          <w:numId w:val="38"/>
        </w:numPr>
        <w:tabs>
          <w:tab w:val="left" w:pos="993"/>
          <w:tab w:val="left" w:pos="1134"/>
        </w:tabs>
        <w:spacing w:line="360" w:lineRule="auto"/>
        <w:ind w:left="1097" w:hanging="700"/>
        <w:rPr>
          <w:rFonts w:ascii="楷体" w:hAnsi="楷体" w:eastAsia="楷体" w:cs="楷体"/>
          <w:color w:val="auto"/>
          <w:sz w:val="24"/>
          <w:highlight w:val="none"/>
        </w:rPr>
      </w:pPr>
      <w:r>
        <w:rPr>
          <w:rFonts w:hint="eastAsia" w:ascii="楷体" w:hAnsi="楷体" w:eastAsia="楷体" w:cs="楷体"/>
          <w:color w:val="auto"/>
          <w:sz w:val="24"/>
          <w:highlight w:val="none"/>
        </w:rPr>
        <w:t>评标委员会中，同一任职单位评审专家超过二名的；</w:t>
      </w:r>
    </w:p>
    <w:p w14:paraId="48BCCF9D">
      <w:pPr>
        <w:numPr>
          <w:ilvl w:val="0"/>
          <w:numId w:val="38"/>
        </w:numPr>
        <w:tabs>
          <w:tab w:val="left" w:pos="993"/>
          <w:tab w:val="left" w:pos="1134"/>
        </w:tabs>
        <w:spacing w:line="360" w:lineRule="auto"/>
        <w:ind w:left="1097" w:hanging="700"/>
        <w:rPr>
          <w:rFonts w:ascii="楷体" w:hAnsi="楷体" w:eastAsia="楷体" w:cs="楷体"/>
          <w:color w:val="auto"/>
          <w:sz w:val="24"/>
          <w:highlight w:val="none"/>
        </w:rPr>
      </w:pPr>
      <w:r>
        <w:rPr>
          <w:rFonts w:hint="eastAsia" w:ascii="楷体" w:hAnsi="楷体" w:eastAsia="楷体" w:cs="楷体"/>
          <w:color w:val="auto"/>
          <w:sz w:val="24"/>
          <w:highlight w:val="none"/>
        </w:rPr>
        <w:t>任职单位与招标人或参与该招标项目供应商（服务商）存在行政隶属关系的；</w:t>
      </w:r>
    </w:p>
    <w:p w14:paraId="06AB03AD">
      <w:pPr>
        <w:numPr>
          <w:ilvl w:val="0"/>
          <w:numId w:val="38"/>
        </w:numPr>
        <w:tabs>
          <w:tab w:val="left" w:pos="851"/>
          <w:tab w:val="left" w:pos="993"/>
          <w:tab w:val="left" w:pos="1134"/>
        </w:tabs>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参与招标文件论证或进口产品论证的；</w:t>
      </w:r>
    </w:p>
    <w:p w14:paraId="15353A0E">
      <w:pPr>
        <w:numPr>
          <w:ilvl w:val="0"/>
          <w:numId w:val="38"/>
        </w:numPr>
        <w:tabs>
          <w:tab w:val="left" w:pos="851"/>
          <w:tab w:val="left" w:pos="993"/>
          <w:tab w:val="left" w:pos="1134"/>
        </w:tabs>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法律、法规、规章规定应当回避以及其他可能影响公正评审的。</w:t>
      </w:r>
    </w:p>
    <w:p w14:paraId="7264E10F">
      <w:pPr>
        <w:numPr>
          <w:ilvl w:val="2"/>
          <w:numId w:val="37"/>
        </w:numPr>
        <w:tabs>
          <w:tab w:val="left" w:pos="1300"/>
        </w:tabs>
        <w:spacing w:line="360" w:lineRule="auto"/>
        <w:ind w:left="1269" w:leftChars="226" w:hanging="794" w:hangingChars="331"/>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评标委员会将按照投标人须知前附表中确定的评标方法和本招标文件第三章规定的评分体系与标准进行评标。</w:t>
      </w:r>
    </w:p>
    <w:p w14:paraId="7AC6BEEA">
      <w:pPr>
        <w:numPr>
          <w:ilvl w:val="1"/>
          <w:numId w:val="36"/>
        </w:numPr>
        <w:tabs>
          <w:tab w:val="left" w:pos="1100"/>
          <w:tab w:val="left" w:pos="1220"/>
        </w:tabs>
        <w:spacing w:line="360" w:lineRule="auto"/>
        <w:ind w:left="1060" w:leftChars="228" w:hanging="581" w:hangingChars="241"/>
        <w:rPr>
          <w:rFonts w:ascii="楷体" w:hAnsi="楷体" w:eastAsia="楷体" w:cs="楷体"/>
          <w:color w:val="auto"/>
          <w:sz w:val="24"/>
          <w:highlight w:val="none"/>
          <w:lang w:val="zh-CN"/>
        </w:rPr>
      </w:pPr>
      <w:r>
        <w:rPr>
          <w:rFonts w:hint="eastAsia" w:ascii="楷体" w:hAnsi="楷体" w:eastAsia="楷体" w:cs="楷体"/>
          <w:b/>
          <w:bCs/>
          <w:color w:val="auto"/>
          <w:sz w:val="24"/>
          <w:highlight w:val="none"/>
          <w:lang w:val="zh-CN"/>
        </w:rPr>
        <w:t>评标细则：</w:t>
      </w:r>
      <w:r>
        <w:rPr>
          <w:rFonts w:hint="eastAsia" w:ascii="楷体" w:hAnsi="楷体" w:eastAsia="楷体" w:cs="楷体"/>
          <w:color w:val="auto"/>
          <w:sz w:val="24"/>
          <w:highlight w:val="none"/>
          <w:lang w:val="zh-CN"/>
        </w:rPr>
        <w:t>详见本招标文件“第三章评分体系与标准”。</w:t>
      </w:r>
    </w:p>
    <w:p w14:paraId="3E7300ED">
      <w:pPr>
        <w:pStyle w:val="5"/>
        <w:numPr>
          <w:ilvl w:val="0"/>
          <w:numId w:val="9"/>
        </w:numPr>
        <w:ind w:hanging="5"/>
        <w:rPr>
          <w:rFonts w:ascii="楷体" w:hAnsi="楷体" w:eastAsia="楷体" w:cs="楷体"/>
          <w:color w:val="auto"/>
          <w:sz w:val="28"/>
          <w:szCs w:val="28"/>
          <w:highlight w:val="none"/>
          <w:lang w:val="zh-CN"/>
        </w:rPr>
      </w:pPr>
      <w:bookmarkStart w:id="195" w:name="_Toc24123"/>
      <w:bookmarkStart w:id="196" w:name="_Toc31722"/>
      <w:bookmarkStart w:id="197" w:name="_Toc15766"/>
      <w:bookmarkStart w:id="198" w:name="_Toc4914"/>
      <w:bookmarkStart w:id="199" w:name="_Toc6186"/>
      <w:r>
        <w:rPr>
          <w:rFonts w:hint="eastAsia" w:ascii="楷体" w:hAnsi="楷体" w:eastAsia="楷体" w:cs="楷体"/>
          <w:color w:val="auto"/>
          <w:sz w:val="28"/>
          <w:szCs w:val="28"/>
          <w:highlight w:val="none"/>
          <w:lang w:val="zh-CN"/>
        </w:rPr>
        <w:t>定标原则和授标</w:t>
      </w:r>
      <w:bookmarkEnd w:id="195"/>
      <w:bookmarkEnd w:id="196"/>
      <w:bookmarkEnd w:id="197"/>
      <w:bookmarkEnd w:id="198"/>
      <w:bookmarkEnd w:id="199"/>
    </w:p>
    <w:p w14:paraId="34EFAE48">
      <w:pPr>
        <w:numPr>
          <w:ilvl w:val="1"/>
          <w:numId w:val="39"/>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评标委员会按照招标文件确定的评标方法、步骤、标准，对投标文件进行评审，提出书面评标报告。</w:t>
      </w:r>
    </w:p>
    <w:p w14:paraId="381E3F04">
      <w:pPr>
        <w:numPr>
          <w:ilvl w:val="1"/>
          <w:numId w:val="39"/>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采用综合评分法的，按评审后投标人得分由高到低的顺序排列。得分相同的，按投标报价由低到高顺序排列。综合评分相同，且投标报价</w:t>
      </w:r>
      <w:r>
        <w:rPr>
          <w:rFonts w:hint="eastAsia" w:ascii="楷体" w:hAnsi="楷体" w:eastAsia="楷体" w:cs="楷体"/>
          <w:color w:val="auto"/>
          <w:sz w:val="24"/>
          <w:highlight w:val="none"/>
        </w:rPr>
        <w:t>最低的</w:t>
      </w:r>
      <w:r>
        <w:rPr>
          <w:rFonts w:hint="eastAsia" w:ascii="楷体" w:hAnsi="楷体" w:eastAsia="楷体" w:cs="楷体"/>
          <w:color w:val="auto"/>
          <w:sz w:val="24"/>
          <w:highlight w:val="none"/>
          <w:lang w:val="zh-CN"/>
        </w:rPr>
        <w:t>相同的，名次由评标委员会抽签决定。除</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另有规定，推荐综合得分排名第一的投标人为第一中标候选人，排名第二的投标人为第二中标候选人，排名第三的投标人为第三中标候选人。</w:t>
      </w:r>
    </w:p>
    <w:p w14:paraId="33FE62ED">
      <w:pPr>
        <w:numPr>
          <w:ilvl w:val="1"/>
          <w:numId w:val="39"/>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评标委员会提交评标报告和推荐中标意见报招标人确认，招标人在收到评标报告后的法定时间内，按照评标报告中推荐的中标候选人顺序确定中标人，也可以事先授权评标委员会直接确定中标人。</w:t>
      </w:r>
    </w:p>
    <w:p w14:paraId="2EC0B367">
      <w:pPr>
        <w:numPr>
          <w:ilvl w:val="1"/>
          <w:numId w:val="39"/>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定标后，招标人将就规定的内容在信息媒体上公示三</w:t>
      </w:r>
      <w:r>
        <w:rPr>
          <w:rFonts w:hint="eastAsia" w:ascii="楷体" w:hAnsi="楷体" w:eastAsia="楷体" w:cs="楷体"/>
          <w:color w:val="auto"/>
          <w:sz w:val="24"/>
          <w:highlight w:val="none"/>
        </w:rPr>
        <w:t>个工作日</w:t>
      </w:r>
      <w:r>
        <w:rPr>
          <w:rFonts w:hint="eastAsia" w:ascii="楷体" w:hAnsi="楷体" w:eastAsia="楷体" w:cs="楷体"/>
          <w:color w:val="auto"/>
          <w:sz w:val="24"/>
          <w:highlight w:val="none"/>
          <w:lang w:val="zh-CN"/>
        </w:rPr>
        <w:t>。</w:t>
      </w:r>
    </w:p>
    <w:p w14:paraId="088B3108">
      <w:pPr>
        <w:numPr>
          <w:ilvl w:val="1"/>
          <w:numId w:val="39"/>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3389380">
      <w:pPr>
        <w:pStyle w:val="5"/>
        <w:numPr>
          <w:ilvl w:val="0"/>
          <w:numId w:val="9"/>
        </w:numPr>
        <w:ind w:hanging="5"/>
        <w:rPr>
          <w:rFonts w:ascii="楷体" w:hAnsi="楷体" w:eastAsia="楷体" w:cs="楷体"/>
          <w:color w:val="auto"/>
          <w:sz w:val="28"/>
          <w:szCs w:val="28"/>
          <w:highlight w:val="none"/>
          <w:lang w:val="zh-CN"/>
        </w:rPr>
      </w:pPr>
      <w:bookmarkStart w:id="200" w:name="_Toc67"/>
      <w:bookmarkStart w:id="201" w:name="_Toc7028"/>
      <w:bookmarkStart w:id="202" w:name="_Toc4553"/>
      <w:bookmarkStart w:id="203" w:name="_Toc29982"/>
      <w:bookmarkStart w:id="204" w:name="_Toc18578"/>
      <w:r>
        <w:rPr>
          <w:rFonts w:hint="eastAsia" w:ascii="楷体" w:hAnsi="楷体" w:eastAsia="楷体" w:cs="楷体"/>
          <w:color w:val="auto"/>
          <w:sz w:val="28"/>
          <w:szCs w:val="28"/>
          <w:highlight w:val="none"/>
          <w:lang w:val="zh-CN"/>
        </w:rPr>
        <w:t>中标通知书</w:t>
      </w:r>
      <w:bookmarkEnd w:id="200"/>
      <w:bookmarkEnd w:id="201"/>
      <w:bookmarkEnd w:id="202"/>
      <w:bookmarkEnd w:id="203"/>
      <w:bookmarkEnd w:id="204"/>
    </w:p>
    <w:p w14:paraId="54D68622">
      <w:pPr>
        <w:numPr>
          <w:ilvl w:val="1"/>
          <w:numId w:val="40"/>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公示期满后，招标代理机构在信息媒体发布中标公告，并同时向中标人发放《中标通知书》。（</w:t>
      </w:r>
      <w:r>
        <w:rPr>
          <w:rFonts w:hint="eastAsia" w:ascii="楷体" w:hAnsi="楷体" w:eastAsia="楷体" w:cs="楷体"/>
          <w:color w:val="auto"/>
          <w:sz w:val="24"/>
          <w:highlight w:val="none"/>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color w:val="auto"/>
          <w:sz w:val="24"/>
          <w:highlight w:val="none"/>
          <w:lang w:val="zh-CN"/>
        </w:rPr>
        <w:t>）</w:t>
      </w:r>
    </w:p>
    <w:p w14:paraId="5BAFC0E8">
      <w:pPr>
        <w:numPr>
          <w:ilvl w:val="1"/>
          <w:numId w:val="40"/>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《中标通知书》对中标人和招标人具有同等法律效力。</w:t>
      </w:r>
    </w:p>
    <w:p w14:paraId="276E9C8F">
      <w:pPr>
        <w:numPr>
          <w:ilvl w:val="1"/>
          <w:numId w:val="40"/>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《中标通知书》将作为授予合同资格的合法依据，是合同的一个组成部分。</w:t>
      </w:r>
    </w:p>
    <w:p w14:paraId="6DE20DA6">
      <w:pPr>
        <w:pStyle w:val="4"/>
        <w:numPr>
          <w:ilvl w:val="0"/>
          <w:numId w:val="8"/>
        </w:numPr>
        <w:jc w:val="center"/>
        <w:rPr>
          <w:rFonts w:ascii="楷体" w:hAnsi="楷体" w:eastAsia="楷体" w:cs="楷体"/>
          <w:color w:val="auto"/>
          <w:highlight w:val="none"/>
        </w:rPr>
      </w:pPr>
      <w:bookmarkStart w:id="205" w:name="_Toc7013"/>
      <w:bookmarkStart w:id="206" w:name="_Toc21329"/>
      <w:bookmarkStart w:id="207" w:name="_Toc32640"/>
      <w:bookmarkStart w:id="208" w:name="_Toc11160"/>
      <w:r>
        <w:rPr>
          <w:rFonts w:hint="eastAsia" w:ascii="楷体" w:hAnsi="楷体" w:eastAsia="楷体" w:cs="楷体"/>
          <w:color w:val="auto"/>
          <w:highlight w:val="none"/>
        </w:rPr>
        <w:t>异议及投诉</w:t>
      </w:r>
      <w:bookmarkEnd w:id="205"/>
      <w:bookmarkEnd w:id="206"/>
      <w:bookmarkEnd w:id="207"/>
      <w:bookmarkEnd w:id="208"/>
    </w:p>
    <w:p w14:paraId="049F6D1A">
      <w:pPr>
        <w:pStyle w:val="5"/>
        <w:numPr>
          <w:ilvl w:val="0"/>
          <w:numId w:val="9"/>
        </w:numPr>
        <w:ind w:hanging="5"/>
        <w:rPr>
          <w:rFonts w:ascii="楷体" w:hAnsi="楷体" w:eastAsia="楷体" w:cs="楷体"/>
          <w:color w:val="auto"/>
          <w:sz w:val="28"/>
          <w:szCs w:val="28"/>
          <w:highlight w:val="none"/>
          <w:lang w:val="zh-CN"/>
        </w:rPr>
      </w:pPr>
      <w:bookmarkStart w:id="209" w:name="_Toc7531"/>
      <w:bookmarkStart w:id="210" w:name="_Toc29207"/>
      <w:bookmarkStart w:id="211" w:name="_Toc3005"/>
      <w:bookmarkStart w:id="212" w:name="_Toc2438"/>
      <w:r>
        <w:rPr>
          <w:rFonts w:hint="eastAsia" w:ascii="楷体" w:hAnsi="楷体" w:eastAsia="楷体" w:cs="楷体"/>
          <w:color w:val="auto"/>
          <w:sz w:val="28"/>
          <w:szCs w:val="28"/>
          <w:highlight w:val="none"/>
          <w:lang w:val="zh-CN"/>
        </w:rPr>
        <w:t>异议</w:t>
      </w:r>
      <w:bookmarkEnd w:id="209"/>
      <w:bookmarkEnd w:id="210"/>
      <w:bookmarkEnd w:id="211"/>
      <w:bookmarkEnd w:id="212"/>
    </w:p>
    <w:p w14:paraId="6A146129">
      <w:pPr>
        <w:numPr>
          <w:ilvl w:val="1"/>
          <w:numId w:val="41"/>
        </w:numPr>
        <w:tabs>
          <w:tab w:val="left" w:pos="1200"/>
        </w:tabs>
        <w:spacing w:line="360" w:lineRule="auto"/>
        <w:ind w:left="1259" w:leftChars="228" w:hanging="780" w:hangingChars="325"/>
        <w:rPr>
          <w:rFonts w:ascii="楷体" w:hAnsi="楷体" w:eastAsia="楷体" w:cs="楷体"/>
          <w:color w:val="auto"/>
          <w:sz w:val="24"/>
          <w:highlight w:val="none"/>
        </w:rPr>
      </w:pPr>
      <w:r>
        <w:rPr>
          <w:rFonts w:hint="eastAsia" w:ascii="楷体" w:hAnsi="楷体" w:eastAsia="楷体" w:cs="楷体"/>
          <w:color w:val="auto"/>
          <w:sz w:val="24"/>
          <w:highlight w:val="none"/>
        </w:rPr>
        <w:t>投标人或者其他利害关系人对依法必须进行招标的项目的评标结果有异议的，应当在中标候选人公示期间，以书面形式向招标人或招标代理机构提出异议，逾期异议无效。</w:t>
      </w:r>
    </w:p>
    <w:p w14:paraId="5392C63F">
      <w:pPr>
        <w:numPr>
          <w:ilvl w:val="1"/>
          <w:numId w:val="41"/>
        </w:numPr>
        <w:tabs>
          <w:tab w:val="left" w:pos="1200"/>
        </w:tabs>
        <w:spacing w:line="360" w:lineRule="auto"/>
        <w:ind w:left="1259" w:leftChars="228" w:hanging="780" w:hangingChars="325"/>
        <w:rPr>
          <w:rFonts w:ascii="楷体" w:hAnsi="楷体" w:eastAsia="楷体" w:cs="楷体"/>
          <w:color w:val="auto"/>
          <w:sz w:val="24"/>
          <w:highlight w:val="none"/>
        </w:rPr>
      </w:pPr>
      <w:r>
        <w:rPr>
          <w:rFonts w:hint="eastAsia" w:ascii="楷体" w:hAnsi="楷体" w:eastAsia="楷体" w:cs="楷体"/>
          <w:color w:val="auto"/>
          <w:sz w:val="24"/>
          <w:highlight w:val="none"/>
        </w:rPr>
        <w:t>异议函应当署名。异议供应商（服务商）为自然人的，应当由本人签字；异议供应商（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6C096019">
      <w:pPr>
        <w:numPr>
          <w:ilvl w:val="1"/>
          <w:numId w:val="41"/>
        </w:numPr>
        <w:tabs>
          <w:tab w:val="left" w:pos="1200"/>
        </w:tabs>
        <w:spacing w:line="360" w:lineRule="auto"/>
        <w:ind w:left="1259" w:leftChars="228" w:hanging="780" w:hangingChars="325"/>
        <w:rPr>
          <w:rFonts w:ascii="楷体" w:hAnsi="楷体" w:eastAsia="楷体" w:cs="楷体"/>
          <w:color w:val="auto"/>
          <w:sz w:val="24"/>
          <w:highlight w:val="none"/>
        </w:rPr>
      </w:pPr>
      <w:r>
        <w:rPr>
          <w:rFonts w:hint="eastAsia" w:ascii="楷体" w:hAnsi="楷体" w:eastAsia="楷体" w:cs="楷体"/>
          <w:color w:val="auto"/>
          <w:sz w:val="24"/>
          <w:highlight w:val="none"/>
        </w:rPr>
        <w:t>异议内容必须以书面形式向招标人或招标代理机构提出，投标人以电话、传真或电邮形式提交的异议属于无效异议。</w:t>
      </w:r>
    </w:p>
    <w:p w14:paraId="6F62AED4">
      <w:pPr>
        <w:pStyle w:val="5"/>
        <w:numPr>
          <w:ilvl w:val="0"/>
          <w:numId w:val="9"/>
        </w:numPr>
        <w:ind w:hanging="5"/>
        <w:rPr>
          <w:rFonts w:ascii="楷体" w:hAnsi="楷体" w:eastAsia="楷体" w:cs="楷体"/>
          <w:color w:val="auto"/>
          <w:sz w:val="28"/>
          <w:szCs w:val="28"/>
          <w:highlight w:val="none"/>
          <w:lang w:val="zh-CN"/>
        </w:rPr>
      </w:pPr>
      <w:bookmarkStart w:id="213" w:name="_Toc12355"/>
      <w:bookmarkStart w:id="214" w:name="_Toc20615"/>
      <w:bookmarkStart w:id="215" w:name="_Toc4832"/>
      <w:bookmarkStart w:id="216" w:name="_Toc1415"/>
      <w:bookmarkStart w:id="217" w:name="_Toc27632"/>
      <w:bookmarkStart w:id="218" w:name="_Toc25587"/>
      <w:r>
        <w:rPr>
          <w:rFonts w:hint="eastAsia" w:ascii="楷体" w:hAnsi="楷体" w:eastAsia="楷体" w:cs="楷体"/>
          <w:color w:val="auto"/>
          <w:sz w:val="28"/>
          <w:szCs w:val="28"/>
          <w:highlight w:val="none"/>
          <w:lang w:val="zh-CN"/>
        </w:rPr>
        <w:t>投诉</w:t>
      </w:r>
      <w:bookmarkEnd w:id="213"/>
      <w:bookmarkEnd w:id="214"/>
      <w:bookmarkEnd w:id="215"/>
      <w:bookmarkEnd w:id="216"/>
      <w:bookmarkEnd w:id="217"/>
      <w:bookmarkEnd w:id="218"/>
    </w:p>
    <w:p w14:paraId="2983A0EB">
      <w:pPr>
        <w:numPr>
          <w:ilvl w:val="1"/>
          <w:numId w:val="42"/>
        </w:numPr>
        <w:tabs>
          <w:tab w:val="left" w:pos="1220"/>
        </w:tabs>
        <w:spacing w:line="360" w:lineRule="auto"/>
        <w:ind w:left="1259" w:leftChars="228" w:hanging="780" w:hangingChars="325"/>
        <w:rPr>
          <w:rFonts w:ascii="楷体" w:hAnsi="楷体" w:eastAsia="楷体" w:cs="楷体"/>
          <w:color w:val="auto"/>
          <w:sz w:val="24"/>
          <w:highlight w:val="none"/>
        </w:rPr>
      </w:pPr>
      <w:r>
        <w:rPr>
          <w:rFonts w:hint="eastAsia" w:ascii="楷体" w:hAnsi="楷体" w:eastAsia="楷体" w:cs="楷体"/>
          <w:color w:val="auto"/>
          <w:sz w:val="24"/>
          <w:highlight w:val="none"/>
        </w:rPr>
        <w:t>供应商（服务商）对招标人、招标代理机构的异议答复不满意，或者招标人、招标代理机构未在规定期限内作出答复的，可以在答复期满后10日内向招标人的监督部门提起投诉。</w:t>
      </w:r>
    </w:p>
    <w:p w14:paraId="5A5D1EF5">
      <w:pPr>
        <w:pStyle w:val="4"/>
        <w:numPr>
          <w:ilvl w:val="0"/>
          <w:numId w:val="8"/>
        </w:numPr>
        <w:jc w:val="center"/>
        <w:rPr>
          <w:rFonts w:ascii="楷体" w:hAnsi="楷体" w:eastAsia="楷体" w:cs="楷体"/>
          <w:color w:val="auto"/>
          <w:highlight w:val="none"/>
        </w:rPr>
      </w:pPr>
      <w:bookmarkStart w:id="219" w:name="_Toc4726"/>
      <w:bookmarkStart w:id="220" w:name="_Toc4037"/>
      <w:bookmarkStart w:id="221" w:name="_Toc13810"/>
      <w:bookmarkStart w:id="222" w:name="_Toc423021947"/>
      <w:bookmarkStart w:id="223" w:name="_Toc6940"/>
      <w:bookmarkStart w:id="224" w:name="_Toc5622"/>
      <w:r>
        <w:rPr>
          <w:rFonts w:hint="eastAsia" w:ascii="楷体" w:hAnsi="楷体" w:eastAsia="楷体" w:cs="楷体"/>
          <w:color w:val="auto"/>
          <w:highlight w:val="none"/>
        </w:rPr>
        <w:t>授予合同</w:t>
      </w:r>
      <w:bookmarkEnd w:id="219"/>
      <w:bookmarkEnd w:id="220"/>
      <w:bookmarkEnd w:id="221"/>
      <w:bookmarkEnd w:id="222"/>
      <w:bookmarkEnd w:id="223"/>
      <w:bookmarkEnd w:id="224"/>
    </w:p>
    <w:p w14:paraId="4622168C">
      <w:pPr>
        <w:pStyle w:val="5"/>
        <w:numPr>
          <w:ilvl w:val="0"/>
          <w:numId w:val="9"/>
        </w:numPr>
        <w:ind w:hanging="5"/>
        <w:rPr>
          <w:rFonts w:ascii="楷体" w:hAnsi="楷体" w:eastAsia="楷体" w:cs="楷体"/>
          <w:color w:val="auto"/>
          <w:sz w:val="28"/>
          <w:szCs w:val="28"/>
          <w:highlight w:val="none"/>
          <w:lang w:val="zh-CN"/>
        </w:rPr>
      </w:pPr>
      <w:bookmarkStart w:id="225" w:name="_Toc24745"/>
      <w:bookmarkStart w:id="226" w:name="_Toc1594"/>
      <w:bookmarkStart w:id="227" w:name="_Toc16893"/>
      <w:bookmarkStart w:id="228" w:name="_Toc30723"/>
      <w:bookmarkStart w:id="229" w:name="_Toc31689"/>
      <w:r>
        <w:rPr>
          <w:rFonts w:hint="eastAsia" w:ascii="楷体" w:hAnsi="楷体" w:eastAsia="楷体" w:cs="楷体"/>
          <w:color w:val="auto"/>
          <w:sz w:val="28"/>
          <w:szCs w:val="28"/>
          <w:highlight w:val="none"/>
          <w:lang w:val="zh-CN"/>
        </w:rPr>
        <w:t>合同的订立</w:t>
      </w:r>
      <w:bookmarkEnd w:id="225"/>
      <w:bookmarkEnd w:id="226"/>
      <w:bookmarkEnd w:id="227"/>
      <w:bookmarkEnd w:id="228"/>
      <w:bookmarkEnd w:id="229"/>
    </w:p>
    <w:p w14:paraId="0B396743">
      <w:pPr>
        <w:numPr>
          <w:ilvl w:val="1"/>
          <w:numId w:val="43"/>
        </w:numPr>
        <w:tabs>
          <w:tab w:val="left" w:pos="1220"/>
        </w:tabs>
        <w:spacing w:line="360" w:lineRule="auto"/>
        <w:ind w:left="1273" w:leftChars="227" w:hanging="796" w:hangingChars="332"/>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14:paraId="0C0CE6C0">
      <w:pPr>
        <w:numPr>
          <w:ilvl w:val="1"/>
          <w:numId w:val="43"/>
        </w:numPr>
        <w:tabs>
          <w:tab w:val="left" w:pos="1220"/>
        </w:tabs>
        <w:spacing w:line="360" w:lineRule="auto"/>
        <w:ind w:left="1273" w:leftChars="227" w:hanging="796" w:hangingChars="332"/>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招标文件、中标人的投标文件及其澄清文件等，均为签订合同的依据。</w:t>
      </w:r>
    </w:p>
    <w:p w14:paraId="085C09CE">
      <w:pPr>
        <w:pStyle w:val="5"/>
        <w:numPr>
          <w:ilvl w:val="0"/>
          <w:numId w:val="9"/>
        </w:numPr>
        <w:ind w:hanging="5"/>
        <w:rPr>
          <w:rFonts w:ascii="楷体" w:hAnsi="楷体" w:eastAsia="楷体" w:cs="楷体"/>
          <w:color w:val="auto"/>
          <w:sz w:val="28"/>
          <w:szCs w:val="28"/>
          <w:highlight w:val="none"/>
          <w:lang w:val="zh-CN"/>
        </w:rPr>
      </w:pPr>
      <w:bookmarkStart w:id="230" w:name="_Toc29"/>
      <w:bookmarkStart w:id="231" w:name="_Toc28839"/>
      <w:bookmarkStart w:id="232" w:name="_Toc5486"/>
      <w:bookmarkStart w:id="233" w:name="_Toc12285"/>
      <w:bookmarkStart w:id="234" w:name="_Toc30424"/>
      <w:r>
        <w:rPr>
          <w:rFonts w:hint="eastAsia" w:ascii="楷体" w:hAnsi="楷体" w:eastAsia="楷体" w:cs="楷体"/>
          <w:color w:val="auto"/>
          <w:sz w:val="28"/>
          <w:szCs w:val="28"/>
          <w:highlight w:val="none"/>
          <w:lang w:val="zh-CN"/>
        </w:rPr>
        <w:t>合同的履行</w:t>
      </w:r>
      <w:bookmarkEnd w:id="230"/>
      <w:bookmarkEnd w:id="231"/>
      <w:bookmarkEnd w:id="232"/>
      <w:bookmarkEnd w:id="233"/>
      <w:bookmarkEnd w:id="234"/>
    </w:p>
    <w:p w14:paraId="2B724970">
      <w:pPr>
        <w:numPr>
          <w:ilvl w:val="1"/>
          <w:numId w:val="44"/>
        </w:numPr>
        <w:tabs>
          <w:tab w:val="left" w:pos="1200"/>
          <w:tab w:val="left" w:pos="1260"/>
        </w:tabs>
        <w:spacing w:line="360" w:lineRule="auto"/>
        <w:ind w:left="1273" w:leftChars="227" w:hanging="796" w:hangingChars="332"/>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2D599795">
      <w:pPr>
        <w:numPr>
          <w:ilvl w:val="1"/>
          <w:numId w:val="44"/>
        </w:numPr>
        <w:tabs>
          <w:tab w:val="left" w:pos="1200"/>
          <w:tab w:val="left" w:pos="1260"/>
        </w:tabs>
        <w:spacing w:line="360" w:lineRule="auto"/>
        <w:ind w:left="1273" w:leftChars="227" w:hanging="796" w:hangingChars="332"/>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14:paraId="619319DB">
      <w:pPr>
        <w:pStyle w:val="5"/>
        <w:numPr>
          <w:ilvl w:val="0"/>
          <w:numId w:val="9"/>
        </w:numPr>
        <w:ind w:hanging="5"/>
        <w:rPr>
          <w:rFonts w:ascii="楷体" w:hAnsi="楷体" w:eastAsia="楷体" w:cs="楷体"/>
          <w:color w:val="auto"/>
          <w:sz w:val="28"/>
          <w:szCs w:val="28"/>
          <w:highlight w:val="none"/>
          <w:lang w:val="zh-CN"/>
        </w:rPr>
      </w:pPr>
      <w:bookmarkStart w:id="235" w:name="_Toc21610"/>
      <w:bookmarkStart w:id="236" w:name="_Toc19633"/>
      <w:bookmarkStart w:id="237" w:name="_Toc1536"/>
      <w:bookmarkStart w:id="238" w:name="_Toc4411"/>
      <w:bookmarkStart w:id="239" w:name="_Toc12849"/>
      <w:r>
        <w:rPr>
          <w:rFonts w:hint="eastAsia" w:ascii="楷体" w:hAnsi="楷体" w:eastAsia="楷体" w:cs="楷体"/>
          <w:color w:val="auto"/>
          <w:sz w:val="28"/>
          <w:szCs w:val="28"/>
          <w:highlight w:val="none"/>
          <w:lang w:val="zh-CN"/>
        </w:rPr>
        <w:t>履约保证金</w:t>
      </w:r>
      <w:bookmarkEnd w:id="235"/>
      <w:bookmarkEnd w:id="236"/>
      <w:bookmarkEnd w:id="237"/>
      <w:bookmarkEnd w:id="238"/>
      <w:bookmarkEnd w:id="239"/>
    </w:p>
    <w:p w14:paraId="0BF748E5">
      <w:pPr>
        <w:numPr>
          <w:ilvl w:val="1"/>
          <w:numId w:val="45"/>
        </w:numPr>
        <w:tabs>
          <w:tab w:val="left" w:pos="1220"/>
        </w:tabs>
        <w:spacing w:line="360" w:lineRule="auto"/>
        <w:ind w:left="1259" w:leftChars="228" w:hanging="780" w:hangingChars="325"/>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招标文件要求中标人提交履约保证金的，中标人应按照</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规定的金额，以银行转账的形式向招标人提交。</w:t>
      </w:r>
    </w:p>
    <w:p w14:paraId="040F69B0">
      <w:pPr>
        <w:rPr>
          <w:rFonts w:ascii="楷体" w:hAnsi="楷体" w:eastAsia="楷体" w:cs="楷体"/>
          <w:color w:val="auto"/>
          <w:highlight w:val="none"/>
        </w:rPr>
      </w:pPr>
      <w:bookmarkStart w:id="240" w:name="_Toc182886647"/>
      <w:bookmarkStart w:id="241" w:name="_Toc372468300"/>
      <w:bookmarkStart w:id="242" w:name="_Toc183316709"/>
      <w:bookmarkStart w:id="243" w:name="_Toc423021950"/>
      <w:bookmarkStart w:id="244" w:name="_Toc30599"/>
    </w:p>
    <w:p w14:paraId="06B6DC21">
      <w:pPr>
        <w:pStyle w:val="5"/>
        <w:numPr>
          <w:ilvl w:val="0"/>
          <w:numId w:val="9"/>
        </w:numPr>
        <w:ind w:hanging="5"/>
        <w:rPr>
          <w:rFonts w:ascii="楷体" w:hAnsi="楷体" w:eastAsia="楷体" w:cs="楷体"/>
          <w:color w:val="auto"/>
          <w:sz w:val="28"/>
          <w:szCs w:val="28"/>
          <w:highlight w:val="none"/>
          <w:lang w:val="zh-CN"/>
        </w:rPr>
      </w:pPr>
      <w:bookmarkStart w:id="245" w:name="_Toc13320"/>
      <w:bookmarkStart w:id="246" w:name="_Toc14343"/>
      <w:bookmarkStart w:id="247" w:name="_Toc30046"/>
      <w:bookmarkStart w:id="248" w:name="_Toc7020"/>
      <w:bookmarkStart w:id="249" w:name="_Toc2287"/>
      <w:bookmarkStart w:id="250" w:name="_Toc10914"/>
      <w:r>
        <w:rPr>
          <w:rFonts w:hint="eastAsia" w:ascii="楷体" w:hAnsi="楷体" w:eastAsia="楷体" w:cs="楷体"/>
          <w:color w:val="auto"/>
          <w:sz w:val="28"/>
          <w:szCs w:val="28"/>
          <w:highlight w:val="none"/>
          <w:lang w:val="zh-CN"/>
        </w:rPr>
        <w:t>招标代理服务费</w:t>
      </w:r>
      <w:bookmarkEnd w:id="245"/>
      <w:bookmarkEnd w:id="246"/>
      <w:bookmarkEnd w:id="247"/>
      <w:bookmarkEnd w:id="248"/>
      <w:bookmarkEnd w:id="249"/>
      <w:bookmarkEnd w:id="250"/>
    </w:p>
    <w:p w14:paraId="334A927C">
      <w:pPr>
        <w:numPr>
          <w:ilvl w:val="1"/>
          <w:numId w:val="46"/>
        </w:numPr>
        <w:tabs>
          <w:tab w:val="left" w:pos="1140"/>
        </w:tabs>
        <w:spacing w:line="360" w:lineRule="auto"/>
        <w:ind w:left="1175" w:leftChars="227" w:hanging="698" w:hangingChars="291"/>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中标人应按照</w:t>
      </w:r>
      <w:r>
        <w:rPr>
          <w:rFonts w:hint="eastAsia" w:ascii="楷体" w:hAnsi="楷体" w:eastAsia="楷体" w:cs="楷体"/>
          <w:b/>
          <w:bCs/>
          <w:color w:val="auto"/>
          <w:sz w:val="24"/>
          <w:highlight w:val="none"/>
          <w:lang w:val="zh-CN"/>
        </w:rPr>
        <w:t>投标人须知前附表</w:t>
      </w:r>
      <w:r>
        <w:rPr>
          <w:rFonts w:hint="eastAsia" w:ascii="楷体" w:hAnsi="楷体" w:eastAsia="楷体" w:cs="楷体"/>
          <w:color w:val="auto"/>
          <w:sz w:val="24"/>
          <w:highlight w:val="none"/>
          <w:lang w:val="zh-CN"/>
        </w:rPr>
        <w:t>中的规定交纳招标代理服务费。</w:t>
      </w:r>
    </w:p>
    <w:p w14:paraId="4ACB2770">
      <w:pPr>
        <w:pStyle w:val="3"/>
        <w:spacing w:beforeLines="2200" w:afterLines="2200"/>
        <w:jc w:val="center"/>
        <w:rPr>
          <w:rFonts w:ascii="楷体" w:hAnsi="楷体" w:eastAsia="楷体" w:cs="楷体"/>
          <w:color w:val="auto"/>
          <w:highlight w:val="none"/>
        </w:rPr>
      </w:pPr>
      <w:bookmarkStart w:id="251" w:name="_Toc15552"/>
      <w:bookmarkStart w:id="252" w:name="_Toc15414"/>
      <w:bookmarkStart w:id="253" w:name="_Toc2412"/>
    </w:p>
    <w:p w14:paraId="549DF8AF">
      <w:pPr>
        <w:pStyle w:val="3"/>
        <w:spacing w:beforeLines="2200" w:afterLines="2200"/>
        <w:jc w:val="center"/>
        <w:rPr>
          <w:rFonts w:ascii="楷体" w:hAnsi="楷体" w:eastAsia="楷体" w:cs="楷体"/>
          <w:color w:val="auto"/>
          <w:highlight w:val="none"/>
        </w:rPr>
      </w:pPr>
      <w:bookmarkStart w:id="254" w:name="_Toc25119"/>
      <w:r>
        <w:rPr>
          <w:rFonts w:hint="eastAsia" w:ascii="楷体" w:hAnsi="楷体" w:eastAsia="楷体" w:cs="楷体"/>
          <w:color w:val="auto"/>
          <w:highlight w:val="none"/>
        </w:rPr>
        <w:t>第三章</w:t>
      </w:r>
      <w:bookmarkEnd w:id="240"/>
      <w:bookmarkEnd w:id="241"/>
      <w:bookmarkEnd w:id="242"/>
      <w:r>
        <w:rPr>
          <w:rFonts w:hint="eastAsia" w:ascii="楷体" w:hAnsi="楷体" w:eastAsia="楷体" w:cs="楷体"/>
          <w:color w:val="auto"/>
          <w:highlight w:val="none"/>
        </w:rPr>
        <w:t>评分体系与标准</w:t>
      </w:r>
      <w:bookmarkEnd w:id="243"/>
      <w:bookmarkEnd w:id="244"/>
      <w:bookmarkEnd w:id="251"/>
      <w:bookmarkEnd w:id="252"/>
      <w:bookmarkEnd w:id="253"/>
      <w:bookmarkEnd w:id="254"/>
    </w:p>
    <w:p w14:paraId="133A837E">
      <w:pPr>
        <w:jc w:val="center"/>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br w:type="page"/>
      </w:r>
      <w:r>
        <w:rPr>
          <w:rFonts w:hint="eastAsia" w:ascii="楷体" w:hAnsi="楷体" w:eastAsia="楷体" w:cs="楷体"/>
          <w:b/>
          <w:bCs/>
          <w:color w:val="auto"/>
          <w:sz w:val="32"/>
          <w:szCs w:val="32"/>
          <w:highlight w:val="none"/>
        </w:rPr>
        <w:t>评分体系与标准</w:t>
      </w:r>
    </w:p>
    <w:p w14:paraId="50356649">
      <w:pPr>
        <w:pStyle w:val="4"/>
        <w:numPr>
          <w:ilvl w:val="0"/>
          <w:numId w:val="47"/>
        </w:numPr>
        <w:adjustRightInd w:val="0"/>
        <w:snapToGrid w:val="0"/>
        <w:spacing w:before="0" w:after="0" w:line="360" w:lineRule="auto"/>
        <w:jc w:val="left"/>
        <w:rPr>
          <w:rFonts w:ascii="楷体" w:hAnsi="楷体" w:eastAsia="楷体" w:cs="楷体"/>
          <w:color w:val="auto"/>
          <w:sz w:val="24"/>
          <w:szCs w:val="24"/>
          <w:highlight w:val="none"/>
        </w:rPr>
      </w:pPr>
      <w:bookmarkStart w:id="255" w:name="_Toc24056"/>
      <w:bookmarkStart w:id="256" w:name="_Toc5450"/>
      <w:bookmarkStart w:id="257" w:name="_Toc3892"/>
      <w:bookmarkStart w:id="258" w:name="_Toc19963"/>
      <w:bookmarkStart w:id="259" w:name="_Toc18113"/>
      <w:bookmarkStart w:id="260" w:name="_Toc16529"/>
      <w:bookmarkStart w:id="261" w:name="_Toc23501"/>
      <w:r>
        <w:rPr>
          <w:rFonts w:hint="eastAsia" w:ascii="楷体" w:hAnsi="楷体" w:eastAsia="楷体" w:cs="楷体"/>
          <w:color w:val="auto"/>
          <w:sz w:val="24"/>
          <w:szCs w:val="24"/>
          <w:highlight w:val="none"/>
        </w:rPr>
        <w:t>评标方法</w:t>
      </w:r>
      <w:bookmarkEnd w:id="255"/>
      <w:bookmarkEnd w:id="256"/>
      <w:bookmarkEnd w:id="257"/>
      <w:bookmarkEnd w:id="258"/>
      <w:bookmarkEnd w:id="259"/>
      <w:bookmarkEnd w:id="260"/>
      <w:bookmarkEnd w:id="261"/>
    </w:p>
    <w:p w14:paraId="5A745D1A">
      <w:pPr>
        <w:adjustRightInd w:val="0"/>
        <w:snapToGrid w:val="0"/>
        <w:spacing w:line="360" w:lineRule="auto"/>
        <w:ind w:firstLine="638" w:firstLineChars="266"/>
        <w:rPr>
          <w:rFonts w:ascii="楷体" w:hAnsi="楷体" w:eastAsia="楷体" w:cs="楷体"/>
          <w:bCs/>
          <w:color w:val="auto"/>
          <w:sz w:val="24"/>
          <w:highlight w:val="none"/>
        </w:rPr>
      </w:pPr>
      <w:r>
        <w:rPr>
          <w:rFonts w:hint="eastAsia" w:ascii="楷体" w:hAnsi="楷体" w:eastAsia="楷体" w:cs="楷体"/>
          <w:bCs/>
          <w:color w:val="auto"/>
          <w:sz w:val="24"/>
          <w:highlight w:val="none"/>
        </w:rPr>
        <w:t>本次评标采用综合评分法，即在最大限度地满足招标文件实质性要求前提下，按照招标文件中规定的各项因素进行综合评审后，以评标总得分最高的投标人作为中标候选供应商（服务商）或者中标人（服务商）的评标方法。</w:t>
      </w:r>
    </w:p>
    <w:p w14:paraId="45B435A1">
      <w:pPr>
        <w:pStyle w:val="4"/>
        <w:numPr>
          <w:ilvl w:val="0"/>
          <w:numId w:val="47"/>
        </w:numPr>
        <w:adjustRightInd w:val="0"/>
        <w:snapToGrid w:val="0"/>
        <w:spacing w:before="0" w:after="0" w:line="360" w:lineRule="auto"/>
        <w:jc w:val="left"/>
        <w:rPr>
          <w:rFonts w:ascii="楷体" w:hAnsi="楷体" w:eastAsia="楷体" w:cs="楷体"/>
          <w:color w:val="auto"/>
          <w:sz w:val="24"/>
          <w:szCs w:val="24"/>
          <w:highlight w:val="none"/>
        </w:rPr>
      </w:pPr>
      <w:bookmarkStart w:id="262" w:name="_Toc613"/>
      <w:bookmarkStart w:id="263" w:name="_Toc23511"/>
      <w:bookmarkStart w:id="264" w:name="_Toc30198"/>
      <w:bookmarkStart w:id="265" w:name="_Toc29992"/>
      <w:bookmarkStart w:id="266" w:name="_Toc5726"/>
      <w:bookmarkStart w:id="267" w:name="_Toc3659"/>
      <w:bookmarkStart w:id="268" w:name="_Toc18263"/>
      <w:r>
        <w:rPr>
          <w:rFonts w:hint="eastAsia" w:ascii="楷体" w:hAnsi="楷体" w:eastAsia="楷体" w:cs="楷体"/>
          <w:color w:val="auto"/>
          <w:sz w:val="24"/>
          <w:szCs w:val="24"/>
          <w:highlight w:val="none"/>
        </w:rPr>
        <w:t>评标流程</w:t>
      </w:r>
      <w:bookmarkEnd w:id="262"/>
      <w:bookmarkEnd w:id="263"/>
      <w:bookmarkEnd w:id="264"/>
      <w:bookmarkEnd w:id="265"/>
      <w:bookmarkEnd w:id="266"/>
      <w:bookmarkEnd w:id="267"/>
      <w:bookmarkEnd w:id="268"/>
    </w:p>
    <w:p w14:paraId="6615EAEC">
      <w:pPr>
        <w:numPr>
          <w:ilvl w:val="1"/>
          <w:numId w:val="48"/>
        </w:numPr>
        <w:tabs>
          <w:tab w:val="left" w:pos="1220"/>
        </w:tabs>
        <w:adjustRightInd w:val="0"/>
        <w:snapToGrid w:val="0"/>
        <w:spacing w:line="360" w:lineRule="auto"/>
        <w:ind w:hanging="2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投标文件初步审查</w:t>
      </w:r>
    </w:p>
    <w:p w14:paraId="49C87FF1">
      <w:pPr>
        <w:numPr>
          <w:ilvl w:val="1"/>
          <w:numId w:val="48"/>
        </w:numPr>
        <w:tabs>
          <w:tab w:val="left" w:pos="1220"/>
        </w:tabs>
        <w:adjustRightInd w:val="0"/>
        <w:snapToGrid w:val="0"/>
        <w:spacing w:line="360" w:lineRule="auto"/>
        <w:ind w:hanging="2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投标文件详细评审（商务评审、技术评审及价格评审）</w:t>
      </w:r>
    </w:p>
    <w:p w14:paraId="1E1A727D">
      <w:pPr>
        <w:numPr>
          <w:ilvl w:val="1"/>
          <w:numId w:val="48"/>
        </w:numPr>
        <w:tabs>
          <w:tab w:val="left" w:pos="1220"/>
        </w:tabs>
        <w:adjustRightInd w:val="0"/>
        <w:snapToGrid w:val="0"/>
        <w:spacing w:line="360" w:lineRule="auto"/>
        <w:ind w:hanging="267"/>
        <w:rPr>
          <w:rFonts w:ascii="楷体" w:hAnsi="楷体" w:eastAsia="楷体" w:cs="楷体"/>
          <w:color w:val="auto"/>
          <w:sz w:val="24"/>
          <w:highlight w:val="none"/>
          <w:lang w:val="zh-CN"/>
        </w:rPr>
      </w:pPr>
      <w:bookmarkStart w:id="269" w:name="JudgeBidwfDesc"/>
      <w:bookmarkEnd w:id="269"/>
      <w:r>
        <w:rPr>
          <w:rFonts w:hint="eastAsia" w:ascii="楷体" w:hAnsi="楷体" w:eastAsia="楷体" w:cs="楷体"/>
          <w:color w:val="auto"/>
          <w:sz w:val="24"/>
          <w:highlight w:val="none"/>
          <w:lang w:val="zh-CN"/>
        </w:rPr>
        <w:t>综合评分汇总及中标推荐</w:t>
      </w:r>
    </w:p>
    <w:p w14:paraId="0FDD669C">
      <w:pPr>
        <w:pStyle w:val="4"/>
        <w:numPr>
          <w:ilvl w:val="0"/>
          <w:numId w:val="47"/>
        </w:numPr>
        <w:adjustRightInd w:val="0"/>
        <w:snapToGrid w:val="0"/>
        <w:spacing w:before="0" w:after="0" w:line="360" w:lineRule="auto"/>
        <w:jc w:val="left"/>
        <w:rPr>
          <w:rFonts w:ascii="楷体" w:hAnsi="楷体" w:eastAsia="楷体" w:cs="楷体"/>
          <w:color w:val="auto"/>
          <w:sz w:val="24"/>
          <w:szCs w:val="24"/>
          <w:highlight w:val="none"/>
          <w:lang w:val="zh-CN"/>
        </w:rPr>
      </w:pPr>
      <w:bookmarkStart w:id="270" w:name="_Toc7167"/>
      <w:bookmarkStart w:id="271" w:name="_Toc29707"/>
      <w:bookmarkStart w:id="272" w:name="_Toc28795"/>
      <w:bookmarkStart w:id="273" w:name="_Toc332"/>
      <w:bookmarkStart w:id="274" w:name="_Toc29918"/>
      <w:bookmarkStart w:id="275" w:name="_Toc30393"/>
      <w:bookmarkStart w:id="276" w:name="_Toc18958"/>
      <w:r>
        <w:rPr>
          <w:rFonts w:hint="eastAsia" w:ascii="楷体" w:hAnsi="楷体" w:eastAsia="楷体" w:cs="楷体"/>
          <w:color w:val="auto"/>
          <w:sz w:val="24"/>
          <w:szCs w:val="24"/>
          <w:highlight w:val="none"/>
          <w:lang w:val="zh-CN"/>
        </w:rPr>
        <w:t>初步评审</w:t>
      </w:r>
      <w:bookmarkEnd w:id="270"/>
      <w:bookmarkEnd w:id="271"/>
      <w:bookmarkEnd w:id="272"/>
      <w:bookmarkEnd w:id="273"/>
      <w:bookmarkEnd w:id="274"/>
      <w:bookmarkEnd w:id="275"/>
      <w:bookmarkEnd w:id="276"/>
    </w:p>
    <w:p w14:paraId="6B5764F7">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投标文件的初审即为资格及符合性审查。评标委员会根据《资格性审查及符合性审查表》（见附表</w:t>
      </w: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zh-CN"/>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4B2F89F7">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73DB81BF">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14:paraId="57036417">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投标处理。</w:t>
      </w:r>
    </w:p>
    <w:p w14:paraId="62AA8F85">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对于投标文件中不构成实质性偏差的不正规、不一致或不规则，评标委员会可以接受，但这种接受不能损害或影响任何投标人的相对排序。</w:t>
      </w:r>
    </w:p>
    <w:p w14:paraId="28BF7FEA">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2F0EBB0B">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22947E1B">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投标文件没有投标人加盖公章、投标人法定代表人或经其正式授权的代表签名或盖章的；</w:t>
      </w:r>
    </w:p>
    <w:p w14:paraId="32FDE689">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投标文件未编制目录、未按顺序编制页码的；</w:t>
      </w:r>
    </w:p>
    <w:p w14:paraId="354357EC">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投标文件提供虚假材料的；</w:t>
      </w:r>
    </w:p>
    <w:p w14:paraId="6390B5CB">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投标文件未完全满足招标文件带“★”号的条款或指标的；</w:t>
      </w:r>
    </w:p>
    <w:p w14:paraId="089AB4D6">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投标人没有按招标文件的要求提交相关证件、证明文件、合同和其他文件的原件、复印件或提交的原件与复印件不一致的；</w:t>
      </w:r>
    </w:p>
    <w:p w14:paraId="5695ACC0">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投标人报价不确定或超过招标文件中列出的采购预算（最高限价）的；</w:t>
      </w:r>
    </w:p>
    <w:p w14:paraId="23F80F82">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投标人未按招标文件要求交纳投标保证金的；</w:t>
      </w:r>
    </w:p>
    <w:p w14:paraId="1B7A26D8">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联合体投标未提交联合体各方共同投标协议的；</w:t>
      </w:r>
    </w:p>
    <w:p w14:paraId="7088A8EE">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投标人投标报价低于企业的成本价的；</w:t>
      </w:r>
    </w:p>
    <w:p w14:paraId="20A2D33E">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评审期间，投标人没有按评标委员会的要求提交经授权代表签字的澄清、说明、补正或改变了投标文件的实质性内容的；</w:t>
      </w:r>
    </w:p>
    <w:p w14:paraId="482FD640">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投标人对招标人、评标委员会、招标代理机构及其工作人员施加影响，有碍公平、公正的；</w:t>
      </w:r>
    </w:p>
    <w:p w14:paraId="214811A6">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法律、法规和招标文件规定的其他无效情形。</w:t>
      </w:r>
    </w:p>
    <w:p w14:paraId="2484D9DA">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如发生下列情形之一的，本项目废标：</w:t>
      </w:r>
    </w:p>
    <w:p w14:paraId="1D955FEB">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符合专业条件的供应商（服务商）或者对招标文件作实质响应的供应商（服务商）不足三家的；</w:t>
      </w:r>
    </w:p>
    <w:p w14:paraId="4B24AAE0">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出现影响采购公正的违法、违规行为的；</w:t>
      </w:r>
    </w:p>
    <w:p w14:paraId="48371E59">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投标人的报价均超过了采购预算，招标人不能支付的；</w:t>
      </w:r>
    </w:p>
    <w:p w14:paraId="0BF79A08">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rPr>
      </w:pPr>
      <w:r>
        <w:rPr>
          <w:rFonts w:hint="eastAsia" w:ascii="楷体" w:hAnsi="楷体" w:eastAsia="楷体" w:cs="楷体"/>
          <w:color w:val="auto"/>
          <w:sz w:val="24"/>
          <w:highlight w:val="none"/>
        </w:rPr>
        <w:t>因重大变故，采购任务取消的。</w:t>
      </w:r>
    </w:p>
    <w:p w14:paraId="702F783C">
      <w:pPr>
        <w:numPr>
          <w:ilvl w:val="1"/>
          <w:numId w:val="49"/>
        </w:numPr>
        <w:tabs>
          <w:tab w:val="clear" w:pos="907"/>
        </w:tabs>
        <w:adjustRightInd w:val="0"/>
        <w:snapToGrid w:val="0"/>
        <w:spacing w:line="360" w:lineRule="auto"/>
        <w:ind w:left="1187" w:hanging="54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投标文件的澄清</w:t>
      </w:r>
    </w:p>
    <w:p w14:paraId="5B09224B">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2508198C">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投标人的澄清文件是其投标文件的组成部分。</w:t>
      </w:r>
    </w:p>
    <w:p w14:paraId="3479CC73">
      <w:pPr>
        <w:pStyle w:val="4"/>
        <w:numPr>
          <w:ilvl w:val="0"/>
          <w:numId w:val="47"/>
        </w:numPr>
        <w:adjustRightInd w:val="0"/>
        <w:snapToGrid w:val="0"/>
        <w:spacing w:before="0" w:after="0" w:line="360" w:lineRule="auto"/>
        <w:jc w:val="left"/>
        <w:rPr>
          <w:rFonts w:ascii="楷体" w:hAnsi="楷体" w:eastAsia="楷体" w:cs="楷体"/>
          <w:color w:val="auto"/>
          <w:sz w:val="24"/>
          <w:szCs w:val="24"/>
          <w:highlight w:val="none"/>
          <w:lang w:val="zh-CN"/>
        </w:rPr>
      </w:pPr>
      <w:bookmarkStart w:id="277" w:name="_Toc26291"/>
      <w:bookmarkStart w:id="278" w:name="_Toc25270"/>
      <w:bookmarkStart w:id="279" w:name="_Toc152"/>
      <w:bookmarkStart w:id="280" w:name="_Toc8047"/>
      <w:bookmarkStart w:id="281" w:name="_Toc4433"/>
      <w:bookmarkStart w:id="282" w:name="_Toc23079"/>
      <w:bookmarkStart w:id="283" w:name="_Toc13133"/>
      <w:r>
        <w:rPr>
          <w:rFonts w:hint="eastAsia" w:ascii="楷体" w:hAnsi="楷体" w:eastAsia="楷体" w:cs="楷体"/>
          <w:color w:val="auto"/>
          <w:sz w:val="24"/>
          <w:szCs w:val="24"/>
          <w:highlight w:val="none"/>
          <w:lang w:val="zh-CN"/>
        </w:rPr>
        <w:t>详细评审</w:t>
      </w:r>
      <w:bookmarkEnd w:id="277"/>
      <w:bookmarkEnd w:id="278"/>
      <w:bookmarkEnd w:id="279"/>
      <w:bookmarkEnd w:id="280"/>
      <w:bookmarkEnd w:id="281"/>
      <w:bookmarkEnd w:id="282"/>
      <w:bookmarkEnd w:id="283"/>
    </w:p>
    <w:p w14:paraId="464E98F0">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详细评审是对通过初审的有效投标人进行技术和商务方面的评分。评分总值最高为100分，各分项的分值分配见附表</w:t>
      </w: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zh-CN"/>
        </w:rPr>
        <w:t>。</w:t>
      </w:r>
    </w:p>
    <w:p w14:paraId="49CE1E9B">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shd w:val="clear" w:color="auto" w:fill="FFFFFF"/>
          <w:lang w:val="zh-CN"/>
        </w:rPr>
      </w:pPr>
      <w:r>
        <w:rPr>
          <w:rFonts w:hint="eastAsia" w:ascii="楷体" w:hAnsi="楷体" w:eastAsia="楷体" w:cs="楷体"/>
          <w:color w:val="auto"/>
          <w:sz w:val="24"/>
          <w:highlight w:val="none"/>
          <w:shd w:val="clear" w:color="auto" w:fill="FFFFFF"/>
          <w:lang w:val="zh-CN"/>
        </w:rPr>
        <w:t>技术评审：见附表</w:t>
      </w:r>
      <w:r>
        <w:rPr>
          <w:rFonts w:hint="eastAsia" w:ascii="楷体" w:hAnsi="楷体" w:eastAsia="楷体" w:cs="楷体"/>
          <w:color w:val="auto"/>
          <w:sz w:val="24"/>
          <w:highlight w:val="none"/>
          <w:shd w:val="clear" w:color="auto" w:fill="FFFFFF"/>
        </w:rPr>
        <w:t>4</w:t>
      </w:r>
    </w:p>
    <w:p w14:paraId="0C3A0FFE">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lang w:val="zh-CN"/>
        </w:rPr>
      </w:pPr>
      <w:r>
        <w:rPr>
          <w:rFonts w:hint="eastAsia" w:ascii="楷体" w:hAnsi="楷体" w:eastAsia="楷体" w:cs="楷体"/>
          <w:color w:val="auto"/>
          <w:sz w:val="24"/>
          <w:highlight w:val="none"/>
          <w:shd w:val="clear" w:color="auto" w:fill="FFFFFF"/>
          <w:lang w:val="zh-CN"/>
        </w:rPr>
        <w:t>商务评审：见附表</w:t>
      </w:r>
      <w:r>
        <w:rPr>
          <w:rFonts w:hint="eastAsia" w:ascii="楷体" w:hAnsi="楷体" w:eastAsia="楷体" w:cs="楷体"/>
          <w:color w:val="auto"/>
          <w:sz w:val="24"/>
          <w:highlight w:val="none"/>
          <w:shd w:val="clear" w:color="auto" w:fill="FFFFFF"/>
        </w:rPr>
        <w:t>3</w:t>
      </w:r>
    </w:p>
    <w:p w14:paraId="2A4CE833">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价格</w:t>
      </w:r>
      <w:r>
        <w:rPr>
          <w:rFonts w:hint="eastAsia" w:ascii="楷体" w:hAnsi="楷体" w:eastAsia="楷体" w:cs="楷体"/>
          <w:color w:val="auto"/>
          <w:sz w:val="24"/>
          <w:highlight w:val="none"/>
          <w:shd w:val="clear" w:color="auto" w:fill="FFFFFF"/>
          <w:lang w:val="zh-CN"/>
        </w:rPr>
        <w:t>评审：</w:t>
      </w:r>
      <w:r>
        <w:rPr>
          <w:rFonts w:hint="eastAsia" w:ascii="楷体" w:hAnsi="楷体" w:eastAsia="楷体" w:cs="楷体"/>
          <w:color w:val="auto"/>
          <w:sz w:val="24"/>
          <w:highlight w:val="none"/>
          <w:lang w:val="zh-CN"/>
        </w:rPr>
        <w:t>评标委员会对各个有效投标人的投标报价进行校核、评审或作出必要的修正，并按价格评分办法计算其价格评分。</w:t>
      </w:r>
    </w:p>
    <w:p w14:paraId="7A539850">
      <w:pPr>
        <w:numPr>
          <w:ilvl w:val="0"/>
          <w:numId w:val="54"/>
        </w:numPr>
        <w:tabs>
          <w:tab w:val="clear" w:pos="1077"/>
        </w:tabs>
        <w:adjustRightInd w:val="0"/>
        <w:snapToGrid w:val="0"/>
        <w:spacing w:line="360" w:lineRule="auto"/>
        <w:ind w:left="1277" w:hanging="63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投标报价的校核及对报价错误的处理与修正原则：评标委员会详细分析、核准供应商（服务商）价格表，检查其是否存在计算上或累加上的算术错误，并按以下原则进行修正：</w:t>
      </w:r>
    </w:p>
    <w:p w14:paraId="09C53775">
      <w:pPr>
        <w:numPr>
          <w:ilvl w:val="0"/>
          <w:numId w:val="55"/>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投标文件的大写金额与小写金额不一致的，以大写金额为准。</w:t>
      </w:r>
    </w:p>
    <w:p w14:paraId="29A488A9">
      <w:pPr>
        <w:numPr>
          <w:ilvl w:val="0"/>
          <w:numId w:val="55"/>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总价金额与按单价汇总金额不一致的，以单价金额计算结果为准。</w:t>
      </w:r>
    </w:p>
    <w:p w14:paraId="240F104F">
      <w:pPr>
        <w:numPr>
          <w:ilvl w:val="0"/>
          <w:numId w:val="55"/>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单价金额小数点有明显错位的，以总价为准，并修改单价。</w:t>
      </w:r>
    </w:p>
    <w:p w14:paraId="627A9AFD">
      <w:pPr>
        <w:tabs>
          <w:tab w:val="left" w:pos="1134"/>
        </w:tabs>
        <w:adjustRightInd w:val="0"/>
        <w:snapToGrid w:val="0"/>
        <w:spacing w:line="360" w:lineRule="auto"/>
        <w:ind w:left="840"/>
        <w:rPr>
          <w:rFonts w:ascii="楷体" w:hAnsi="楷体" w:eastAsia="楷体" w:cs="楷体"/>
          <w:color w:val="auto"/>
          <w:sz w:val="24"/>
          <w:highlight w:val="none"/>
        </w:rPr>
      </w:pPr>
      <w:r>
        <w:rPr>
          <w:rFonts w:hint="eastAsia" w:ascii="楷体" w:hAnsi="楷体" w:eastAsia="楷体" w:cs="楷体"/>
          <w:b/>
          <w:color w:val="auto"/>
          <w:sz w:val="24"/>
          <w:highlight w:val="none"/>
        </w:rPr>
        <w:t>同时出现两种以上不一致的，按照上述规定的顺序修正。修正后的报价经投标人确认后产生约束力，投标人不确认的，其投标无效。</w:t>
      </w:r>
    </w:p>
    <w:p w14:paraId="44F5EBEC">
      <w:pPr>
        <w:numPr>
          <w:ilvl w:val="0"/>
          <w:numId w:val="54"/>
        </w:numPr>
        <w:tabs>
          <w:tab w:val="clear" w:pos="1077"/>
        </w:tabs>
        <w:adjustRightInd w:val="0"/>
        <w:snapToGrid w:val="0"/>
        <w:spacing w:line="360" w:lineRule="auto"/>
        <w:ind w:left="1277" w:hanging="63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投标报价缺漏项的处理：对投标货物投标报价缺漏项的，评标委员会将以其他投标人对应项的最高投标报价补充计入其评标总价；若其中标，有关该内容的合同价格不予调整。</w:t>
      </w:r>
    </w:p>
    <w:p w14:paraId="1FF8FA9E">
      <w:pPr>
        <w:numPr>
          <w:ilvl w:val="0"/>
          <w:numId w:val="54"/>
        </w:numPr>
        <w:tabs>
          <w:tab w:val="clear" w:pos="1077"/>
        </w:tabs>
        <w:adjustRightInd w:val="0"/>
        <w:snapToGrid w:val="0"/>
        <w:spacing w:line="360" w:lineRule="auto"/>
        <w:ind w:left="1277" w:hanging="63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评标价的确定：按上述条款校核修正后的价格为评标价。</w:t>
      </w:r>
    </w:p>
    <w:p w14:paraId="488FB83F">
      <w:pPr>
        <w:numPr>
          <w:ilvl w:val="0"/>
          <w:numId w:val="54"/>
        </w:numPr>
        <w:tabs>
          <w:tab w:val="clear" w:pos="1077"/>
        </w:tabs>
        <w:adjustRightInd w:val="0"/>
        <w:snapToGrid w:val="0"/>
        <w:spacing w:line="360" w:lineRule="auto"/>
        <w:ind w:left="1277" w:hanging="63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中标价的确定：中标价将根据投标人的报价及招标文件评标办法按照下述原则修正，但无论如何修正，中标价不能大于投标人的报价。</w:t>
      </w:r>
    </w:p>
    <w:p w14:paraId="4E55C0B3">
      <w:pPr>
        <w:numPr>
          <w:ilvl w:val="0"/>
          <w:numId w:val="56"/>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以投标报价总表中的投标总价大写表述为准；</w:t>
      </w:r>
    </w:p>
    <w:p w14:paraId="333921CE">
      <w:pPr>
        <w:numPr>
          <w:ilvl w:val="0"/>
          <w:numId w:val="56"/>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单价与数量之积与合价不一致时以小者为准；</w:t>
      </w:r>
    </w:p>
    <w:p w14:paraId="7A038096">
      <w:pPr>
        <w:numPr>
          <w:ilvl w:val="0"/>
          <w:numId w:val="56"/>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缺项、漏项时视为包含在其他项目中；</w:t>
      </w:r>
    </w:p>
    <w:p w14:paraId="23B76F73">
      <w:pPr>
        <w:numPr>
          <w:ilvl w:val="0"/>
          <w:numId w:val="56"/>
        </w:numPr>
        <w:tabs>
          <w:tab w:val="left" w:pos="1134"/>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其他情况按照靠小不靠大的原则予以修正调整。</w:t>
      </w:r>
    </w:p>
    <w:p w14:paraId="13B7BC09">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按照上述原则修正后的总价如果超出投标人的报价，则将中标价调整至投标人的报价；如果总价小于投标人的报价，则修正后的总价为中标价。</w:t>
      </w:r>
    </w:p>
    <w:p w14:paraId="6D37C49C">
      <w:pPr>
        <w:numPr>
          <w:ilvl w:val="0"/>
          <w:numId w:val="54"/>
        </w:numPr>
        <w:tabs>
          <w:tab w:val="clear" w:pos="1077"/>
        </w:tabs>
        <w:adjustRightInd w:val="0"/>
        <w:snapToGrid w:val="0"/>
        <w:spacing w:line="360" w:lineRule="auto"/>
        <w:ind w:left="1277" w:hanging="63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计算价格评分：详见附表</w:t>
      </w:r>
      <w:r>
        <w:rPr>
          <w:rFonts w:hint="eastAsia" w:ascii="楷体" w:hAnsi="楷体" w:eastAsia="楷体" w:cs="楷体"/>
          <w:color w:val="auto"/>
          <w:sz w:val="24"/>
          <w:highlight w:val="none"/>
        </w:rPr>
        <w:t>5</w:t>
      </w:r>
      <w:r>
        <w:rPr>
          <w:rFonts w:hint="eastAsia" w:ascii="楷体" w:hAnsi="楷体" w:eastAsia="楷体" w:cs="楷体"/>
          <w:color w:val="auto"/>
          <w:sz w:val="24"/>
          <w:highlight w:val="none"/>
          <w:lang w:val="zh-CN"/>
        </w:rPr>
        <w:t>：价格评审</w:t>
      </w:r>
    </w:p>
    <w:p w14:paraId="32BA712C">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评标总得分及其统计</w:t>
      </w:r>
    </w:p>
    <w:p w14:paraId="4AE4500E">
      <w:pPr>
        <w:numPr>
          <w:ilvl w:val="0"/>
          <w:numId w:val="57"/>
        </w:numPr>
        <w:tabs>
          <w:tab w:val="clear" w:pos="1077"/>
        </w:tabs>
        <w:adjustRightInd w:val="0"/>
        <w:snapToGrid w:val="0"/>
        <w:spacing w:line="360" w:lineRule="auto"/>
        <w:ind w:left="1297" w:hanging="65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按照评标程序、评分标准及权重分配的规定，评标委员会各成员分别就各个有效投标人的技术商务状况及其对招标文件要求的响应情况进行评分，将各评委评分的算术平均值作为该投标人的技术商务评分。然后，根据比价原则评出价格评分。将技术商务评分和价格评分相加得出评标总得分（评标总得分分值按四舍五入原则精确到小数点后两位数）。</w:t>
      </w:r>
    </w:p>
    <w:p w14:paraId="1F428AB3">
      <w:pPr>
        <w:numPr>
          <w:ilvl w:val="1"/>
          <w:numId w:val="53"/>
        </w:numPr>
        <w:tabs>
          <w:tab w:val="clear" w:pos="907"/>
        </w:tabs>
        <w:adjustRightInd w:val="0"/>
        <w:snapToGrid w:val="0"/>
        <w:spacing w:line="360" w:lineRule="auto"/>
        <w:ind w:left="1207" w:hanging="5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推荐意见</w:t>
      </w:r>
    </w:p>
    <w:p w14:paraId="1DF5286B">
      <w:pPr>
        <w:tabs>
          <w:tab w:val="left" w:pos="1220"/>
        </w:tabs>
        <w:adjustRightInd w:val="0"/>
        <w:snapToGrid w:val="0"/>
        <w:spacing w:line="360" w:lineRule="auto"/>
        <w:ind w:firstLine="480" w:firstLineChars="200"/>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详见本招标文件第二章投标人须知第</w:t>
      </w:r>
      <w:r>
        <w:rPr>
          <w:rFonts w:hint="eastAsia" w:ascii="楷体" w:hAnsi="楷体" w:eastAsia="楷体" w:cs="楷体"/>
          <w:color w:val="auto"/>
          <w:sz w:val="24"/>
          <w:highlight w:val="none"/>
        </w:rPr>
        <w:t>24款相关内容。</w:t>
      </w:r>
    </w:p>
    <w:p w14:paraId="2F58F466">
      <w:pPr>
        <w:pStyle w:val="4"/>
        <w:numPr>
          <w:ilvl w:val="0"/>
          <w:numId w:val="47"/>
        </w:numPr>
        <w:adjustRightInd w:val="0"/>
        <w:snapToGrid w:val="0"/>
        <w:spacing w:before="0" w:after="0" w:line="360" w:lineRule="auto"/>
        <w:jc w:val="left"/>
        <w:rPr>
          <w:rFonts w:ascii="楷体" w:hAnsi="楷体" w:eastAsia="楷体" w:cs="楷体"/>
          <w:color w:val="auto"/>
          <w:sz w:val="24"/>
          <w:szCs w:val="24"/>
          <w:highlight w:val="none"/>
          <w:lang w:val="zh-CN"/>
        </w:rPr>
      </w:pPr>
      <w:bookmarkStart w:id="284" w:name="_Toc17517"/>
      <w:bookmarkStart w:id="285" w:name="_Toc12509"/>
      <w:bookmarkStart w:id="286" w:name="_Toc9215"/>
      <w:bookmarkStart w:id="287" w:name="_Toc25275"/>
      <w:bookmarkStart w:id="288" w:name="_Toc11968"/>
      <w:bookmarkStart w:id="289" w:name="_Toc30220"/>
      <w:bookmarkStart w:id="290" w:name="_Toc26429"/>
      <w:r>
        <w:rPr>
          <w:rFonts w:hint="eastAsia" w:ascii="楷体" w:hAnsi="楷体" w:eastAsia="楷体" w:cs="楷体"/>
          <w:color w:val="auto"/>
          <w:sz w:val="24"/>
          <w:szCs w:val="24"/>
          <w:highlight w:val="none"/>
          <w:lang w:val="zh-CN"/>
        </w:rPr>
        <w:t>附表</w:t>
      </w:r>
      <w:bookmarkEnd w:id="284"/>
      <w:bookmarkEnd w:id="285"/>
      <w:bookmarkEnd w:id="286"/>
      <w:bookmarkEnd w:id="287"/>
      <w:bookmarkEnd w:id="288"/>
      <w:bookmarkEnd w:id="289"/>
      <w:bookmarkEnd w:id="290"/>
    </w:p>
    <w:p w14:paraId="3E6AB59A">
      <w:pPr>
        <w:numPr>
          <w:ilvl w:val="1"/>
          <w:numId w:val="58"/>
        </w:numPr>
        <w:tabs>
          <w:tab w:val="left" w:pos="1220"/>
        </w:tabs>
        <w:adjustRightInd w:val="0"/>
        <w:snapToGrid w:val="0"/>
        <w:spacing w:line="360" w:lineRule="auto"/>
        <w:ind w:hanging="267"/>
        <w:rPr>
          <w:rFonts w:ascii="楷体" w:hAnsi="楷体" w:eastAsia="楷体" w:cs="楷体"/>
          <w:color w:val="auto"/>
          <w:sz w:val="24"/>
          <w:highlight w:val="none"/>
          <w:lang w:val="zh-CN"/>
        </w:rPr>
      </w:pPr>
      <w:bookmarkStart w:id="291" w:name="_Toc23661"/>
      <w:bookmarkStart w:id="292" w:name="_Toc13698"/>
      <w:r>
        <w:rPr>
          <w:rFonts w:hint="eastAsia" w:ascii="楷体" w:hAnsi="楷体" w:eastAsia="楷体" w:cs="楷体"/>
          <w:color w:val="auto"/>
          <w:sz w:val="24"/>
          <w:highlight w:val="none"/>
          <w:lang w:val="zh-CN"/>
        </w:rPr>
        <w:t>附表</w:t>
      </w: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val="zh-CN"/>
        </w:rPr>
        <w:t>资格性审查及符合性审查表</w:t>
      </w:r>
    </w:p>
    <w:p w14:paraId="009DFFE1">
      <w:pPr>
        <w:numPr>
          <w:ilvl w:val="1"/>
          <w:numId w:val="58"/>
        </w:numPr>
        <w:tabs>
          <w:tab w:val="left" w:pos="1220"/>
        </w:tabs>
        <w:adjustRightInd w:val="0"/>
        <w:snapToGrid w:val="0"/>
        <w:spacing w:line="360" w:lineRule="auto"/>
        <w:ind w:hanging="2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附表</w:t>
      </w: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zh-CN"/>
        </w:rPr>
        <w:t>商务技术及价格权重分配</w:t>
      </w:r>
    </w:p>
    <w:p w14:paraId="154D5A62">
      <w:pPr>
        <w:numPr>
          <w:ilvl w:val="1"/>
          <w:numId w:val="58"/>
        </w:numPr>
        <w:tabs>
          <w:tab w:val="left" w:pos="1220"/>
        </w:tabs>
        <w:adjustRightInd w:val="0"/>
        <w:snapToGrid w:val="0"/>
        <w:spacing w:line="360" w:lineRule="auto"/>
        <w:ind w:hanging="2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附表</w:t>
      </w: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val="zh-CN"/>
        </w:rPr>
        <w:t>商务评审表</w:t>
      </w:r>
    </w:p>
    <w:p w14:paraId="41A9A0EF">
      <w:pPr>
        <w:numPr>
          <w:ilvl w:val="1"/>
          <w:numId w:val="58"/>
        </w:numPr>
        <w:tabs>
          <w:tab w:val="left" w:pos="1220"/>
        </w:tabs>
        <w:adjustRightInd w:val="0"/>
        <w:snapToGrid w:val="0"/>
        <w:spacing w:line="360" w:lineRule="auto"/>
        <w:ind w:hanging="267"/>
        <w:rPr>
          <w:rFonts w:ascii="楷体" w:hAnsi="楷体" w:eastAsia="楷体" w:cs="楷体"/>
          <w:color w:val="auto"/>
          <w:sz w:val="24"/>
          <w:highlight w:val="none"/>
          <w:lang w:val="zh-CN"/>
        </w:rPr>
      </w:pPr>
      <w:r>
        <w:rPr>
          <w:rFonts w:hint="eastAsia" w:ascii="楷体" w:hAnsi="楷体" w:eastAsia="楷体" w:cs="楷体"/>
          <w:color w:val="auto"/>
          <w:sz w:val="24"/>
          <w:highlight w:val="none"/>
          <w:lang w:val="zh-CN"/>
        </w:rPr>
        <w:t>附表</w:t>
      </w:r>
      <w:r>
        <w:rPr>
          <w:rFonts w:hint="eastAsia" w:ascii="楷体" w:hAnsi="楷体" w:eastAsia="楷体" w:cs="楷体"/>
          <w:color w:val="auto"/>
          <w:sz w:val="24"/>
          <w:highlight w:val="none"/>
        </w:rPr>
        <w:t>4：</w:t>
      </w:r>
      <w:r>
        <w:rPr>
          <w:rFonts w:hint="eastAsia" w:ascii="楷体" w:hAnsi="楷体" w:eastAsia="楷体" w:cs="楷体"/>
          <w:color w:val="auto"/>
          <w:sz w:val="24"/>
          <w:highlight w:val="none"/>
          <w:lang w:val="zh-CN"/>
        </w:rPr>
        <w:t>技术评审表</w:t>
      </w:r>
    </w:p>
    <w:p w14:paraId="4ED72B51">
      <w:pPr>
        <w:numPr>
          <w:ilvl w:val="1"/>
          <w:numId w:val="58"/>
        </w:numPr>
        <w:tabs>
          <w:tab w:val="left" w:pos="1220"/>
        </w:tabs>
        <w:adjustRightInd w:val="0"/>
        <w:snapToGrid w:val="0"/>
        <w:spacing w:line="360" w:lineRule="auto"/>
        <w:ind w:hanging="267"/>
        <w:rPr>
          <w:rFonts w:ascii="楷体" w:hAnsi="楷体" w:eastAsia="楷体" w:cs="楷体"/>
          <w:b/>
          <w:color w:val="auto"/>
          <w:sz w:val="24"/>
          <w:highlight w:val="none"/>
        </w:rPr>
      </w:pPr>
      <w:r>
        <w:rPr>
          <w:rFonts w:hint="eastAsia" w:ascii="楷体" w:hAnsi="楷体" w:eastAsia="楷体" w:cs="楷体"/>
          <w:color w:val="auto"/>
          <w:sz w:val="24"/>
          <w:highlight w:val="none"/>
          <w:lang w:val="zh-CN"/>
        </w:rPr>
        <w:t>附表</w:t>
      </w:r>
      <w:r>
        <w:rPr>
          <w:rFonts w:hint="eastAsia" w:ascii="楷体" w:hAnsi="楷体" w:eastAsia="楷体" w:cs="楷体"/>
          <w:color w:val="auto"/>
          <w:sz w:val="24"/>
          <w:highlight w:val="none"/>
        </w:rPr>
        <w:t>5：</w:t>
      </w:r>
      <w:r>
        <w:rPr>
          <w:rFonts w:hint="eastAsia" w:ascii="楷体" w:hAnsi="楷体" w:eastAsia="楷体" w:cs="楷体"/>
          <w:color w:val="auto"/>
          <w:sz w:val="24"/>
          <w:highlight w:val="none"/>
          <w:lang w:val="zh-CN"/>
        </w:rPr>
        <w:t>价格评审</w:t>
      </w:r>
      <w:r>
        <w:rPr>
          <w:rFonts w:hint="eastAsia" w:ascii="楷体" w:hAnsi="楷体" w:eastAsia="楷体" w:cs="楷体"/>
          <w:b/>
          <w:color w:val="auto"/>
          <w:sz w:val="24"/>
          <w:highlight w:val="none"/>
        </w:rPr>
        <w:br w:type="page"/>
      </w:r>
      <w:r>
        <w:rPr>
          <w:rFonts w:hint="eastAsia" w:ascii="楷体" w:hAnsi="楷体" w:eastAsia="楷体" w:cs="楷体"/>
          <w:b/>
          <w:color w:val="auto"/>
          <w:sz w:val="24"/>
          <w:highlight w:val="none"/>
        </w:rPr>
        <w:t>附表1：资格性审查及符合性审查表</w:t>
      </w:r>
      <w:bookmarkEnd w:id="291"/>
      <w:bookmarkEnd w:id="29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13C4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36ED5124">
            <w:pPr>
              <w:jc w:val="center"/>
              <w:rPr>
                <w:rFonts w:ascii="楷体" w:hAnsi="楷体" w:eastAsia="楷体" w:cs="楷体"/>
                <w:b/>
                <w:color w:val="auto"/>
                <w:sz w:val="24"/>
                <w:highlight w:val="none"/>
                <w:lang w:eastAsia="en-US"/>
              </w:rPr>
            </w:pPr>
            <w:r>
              <w:rPr>
                <w:rFonts w:hint="eastAsia" w:ascii="楷体" w:hAnsi="楷体" w:eastAsia="楷体" w:cs="楷体"/>
                <w:b/>
                <w:color w:val="auto"/>
                <w:sz w:val="24"/>
                <w:highlight w:val="none"/>
                <w:lang w:eastAsia="en-US"/>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3FBDC483">
            <w:pPr>
              <w:jc w:val="center"/>
              <w:rPr>
                <w:rFonts w:ascii="楷体" w:hAnsi="楷体" w:eastAsia="楷体" w:cs="楷体"/>
                <w:b/>
                <w:color w:val="auto"/>
                <w:sz w:val="24"/>
                <w:highlight w:val="none"/>
                <w:lang w:eastAsia="en-US"/>
              </w:rPr>
            </w:pPr>
            <w:r>
              <w:rPr>
                <w:rFonts w:hint="eastAsia" w:ascii="楷体" w:hAnsi="楷体" w:eastAsia="楷体" w:cs="楷体"/>
                <w:b/>
                <w:color w:val="auto"/>
                <w:sz w:val="24"/>
                <w:highlight w:val="none"/>
                <w:lang w:eastAsia="en-US"/>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3FE5BD4A">
            <w:pPr>
              <w:jc w:val="center"/>
              <w:rPr>
                <w:rFonts w:ascii="楷体" w:hAnsi="楷体" w:eastAsia="楷体" w:cs="楷体"/>
                <w:color w:val="auto"/>
                <w:sz w:val="24"/>
                <w:highlight w:val="none"/>
                <w:lang w:eastAsia="en-US"/>
              </w:rPr>
            </w:pPr>
            <w:r>
              <w:rPr>
                <w:rFonts w:hint="eastAsia" w:ascii="楷体" w:hAnsi="楷体" w:eastAsia="楷体" w:cs="楷体"/>
                <w:b/>
                <w:color w:val="auto"/>
                <w:sz w:val="24"/>
                <w:highlight w:val="none"/>
                <w:lang w:eastAsia="en-US"/>
              </w:rPr>
              <w:t>评审标准</w:t>
            </w:r>
          </w:p>
        </w:tc>
      </w:tr>
      <w:tr w14:paraId="723E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3A9D5E2">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25C4907E">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A8C9B29">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D90DAC5">
            <w:pPr>
              <w:jc w:val="left"/>
              <w:rPr>
                <w:rFonts w:ascii="楷体" w:hAnsi="楷体" w:eastAsia="楷体" w:cs="楷体"/>
                <w:color w:val="auto"/>
                <w:sz w:val="24"/>
                <w:highlight w:val="none"/>
              </w:rPr>
            </w:pPr>
            <w:r>
              <w:rPr>
                <w:rFonts w:hint="eastAsia" w:ascii="楷体" w:hAnsi="楷体" w:eastAsia="楷体" w:cs="楷体"/>
                <w:color w:val="auto"/>
                <w:sz w:val="24"/>
                <w:highlight w:val="none"/>
              </w:rPr>
              <w:t>详见投标邀请函中“供应商（服务商）资格”相应条款</w:t>
            </w:r>
          </w:p>
        </w:tc>
      </w:tr>
      <w:tr w14:paraId="39E8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54A67FFA">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3EE5D336">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D8FF05F">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5387D67">
            <w:pPr>
              <w:jc w:val="left"/>
              <w:rPr>
                <w:rFonts w:ascii="楷体" w:hAnsi="楷体" w:eastAsia="楷体" w:cs="楷体"/>
                <w:color w:val="auto"/>
                <w:sz w:val="24"/>
                <w:highlight w:val="none"/>
              </w:rPr>
            </w:pPr>
            <w:r>
              <w:rPr>
                <w:rFonts w:hint="eastAsia" w:ascii="楷体" w:hAnsi="楷体" w:eastAsia="楷体" w:cs="楷体"/>
                <w:color w:val="auto"/>
                <w:sz w:val="24"/>
                <w:highlight w:val="none"/>
              </w:rPr>
              <w:t>按对应格式文件填写、签署、盖章</w:t>
            </w:r>
          </w:p>
        </w:tc>
      </w:tr>
      <w:tr w14:paraId="7A5B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4433D8A">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CC8D1C0">
            <w:pPr>
              <w:jc w:val="center"/>
              <w:rPr>
                <w:rFonts w:ascii="楷体" w:hAnsi="楷体" w:eastAsia="楷体" w:cs="楷体"/>
                <w:color w:val="auto"/>
                <w:sz w:val="24"/>
                <w:highlight w:val="none"/>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79743C4">
            <w:pPr>
              <w:jc w:val="center"/>
              <w:rPr>
                <w:rFonts w:ascii="楷体" w:hAnsi="楷体" w:eastAsia="楷体" w:cs="楷体"/>
                <w:color w:val="auto"/>
                <w:sz w:val="24"/>
                <w:highlight w:val="none"/>
              </w:rPr>
            </w:pPr>
            <w:r>
              <w:rPr>
                <w:rFonts w:hint="eastAsia" w:ascii="楷体" w:hAnsi="楷体" w:eastAsia="楷体" w:cs="楷体"/>
                <w:color w:val="auto"/>
                <w:sz w:val="24"/>
                <w:highlight w:val="none"/>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9D08874">
            <w:pPr>
              <w:jc w:val="left"/>
              <w:rPr>
                <w:rFonts w:ascii="楷体" w:hAnsi="楷体" w:eastAsia="楷体" w:cs="楷体"/>
                <w:color w:val="auto"/>
                <w:sz w:val="24"/>
                <w:highlight w:val="none"/>
              </w:rPr>
            </w:pPr>
            <w:r>
              <w:rPr>
                <w:rFonts w:hint="eastAsia" w:ascii="楷体" w:hAnsi="楷体" w:eastAsia="楷体" w:cs="楷体"/>
                <w:color w:val="auto"/>
                <w:sz w:val="24"/>
                <w:highlight w:val="none"/>
              </w:rPr>
              <w:t>按对应格式文件签署、盖章</w:t>
            </w:r>
          </w:p>
        </w:tc>
      </w:tr>
      <w:tr w14:paraId="06BE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BBE53F6">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A7F9D06">
            <w:pPr>
              <w:jc w:val="center"/>
              <w:rPr>
                <w:rFonts w:ascii="楷体" w:hAnsi="楷体" w:eastAsia="楷体" w:cs="楷体"/>
                <w:color w:val="auto"/>
                <w:sz w:val="24"/>
                <w:highlight w:val="none"/>
              </w:rPr>
            </w:pPr>
          </w:p>
        </w:tc>
        <w:tc>
          <w:tcPr>
            <w:tcW w:w="2209" w:type="dxa"/>
            <w:vMerge w:val="restart"/>
            <w:tcBorders>
              <w:top w:val="single" w:color="000000" w:sz="4" w:space="0"/>
              <w:left w:val="single" w:color="000000" w:sz="4" w:space="0"/>
              <w:right w:val="single" w:color="000000" w:sz="4" w:space="0"/>
            </w:tcBorders>
            <w:noWrap/>
            <w:vAlign w:val="center"/>
          </w:tcPr>
          <w:p w14:paraId="698DBE2D">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报价要求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486467C">
            <w:pPr>
              <w:jc w:val="left"/>
              <w:rPr>
                <w:rFonts w:ascii="楷体" w:hAnsi="楷体" w:eastAsia="楷体" w:cs="楷体"/>
                <w:color w:val="auto"/>
                <w:sz w:val="24"/>
                <w:highlight w:val="none"/>
              </w:rPr>
            </w:pPr>
            <w:r>
              <w:rPr>
                <w:rFonts w:hint="eastAsia" w:ascii="楷体" w:hAnsi="楷体" w:eastAsia="楷体" w:cs="楷体"/>
                <w:color w:val="auto"/>
                <w:sz w:val="24"/>
                <w:highlight w:val="none"/>
              </w:rPr>
              <w:t>投标报价是固定价且是唯一的，投标报价未超出最高限价。</w:t>
            </w:r>
          </w:p>
        </w:tc>
      </w:tr>
      <w:tr w14:paraId="1DE5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DB52AB8">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4B535CEF">
            <w:pPr>
              <w:jc w:val="center"/>
              <w:rPr>
                <w:rFonts w:ascii="楷体" w:hAnsi="楷体" w:eastAsia="楷体" w:cs="楷体"/>
                <w:color w:val="auto"/>
                <w:sz w:val="24"/>
                <w:highlight w:val="none"/>
              </w:rPr>
            </w:pPr>
          </w:p>
        </w:tc>
        <w:tc>
          <w:tcPr>
            <w:tcW w:w="2209" w:type="dxa"/>
            <w:vMerge w:val="continue"/>
            <w:tcBorders>
              <w:left w:val="single" w:color="000000" w:sz="4" w:space="0"/>
              <w:right w:val="single" w:color="000000" w:sz="4" w:space="0"/>
            </w:tcBorders>
            <w:noWrap/>
            <w:vAlign w:val="center"/>
          </w:tcPr>
          <w:p w14:paraId="0C466D62">
            <w:pPr>
              <w:jc w:val="center"/>
              <w:rPr>
                <w:rFonts w:ascii="楷体" w:hAnsi="楷体" w:eastAsia="楷体" w:cs="楷体"/>
                <w:color w:val="auto"/>
                <w:sz w:val="24"/>
                <w:highlight w:val="none"/>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010EC34">
            <w:pPr>
              <w:rPr>
                <w:rFonts w:ascii="楷体" w:hAnsi="楷体" w:eastAsia="楷体" w:cs="楷体"/>
                <w:color w:val="auto"/>
                <w:sz w:val="24"/>
                <w:highlight w:val="none"/>
              </w:rPr>
            </w:pPr>
            <w:r>
              <w:rPr>
                <w:rFonts w:hint="eastAsia" w:ascii="楷体" w:hAnsi="楷体" w:eastAsia="楷体" w:cs="楷体"/>
                <w:color w:val="auto"/>
                <w:sz w:val="24"/>
                <w:highlight w:val="none"/>
              </w:rPr>
              <w:t>投标人的报价明显低于其他通过符合性审查投标人的报价，评标委员会有权要求投标人在规定时间内提供书面说明或提供相关证明材料，否则视为无效投标。</w:t>
            </w:r>
          </w:p>
        </w:tc>
      </w:tr>
      <w:tr w14:paraId="28E4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E2B82D7">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2BB3BBC">
            <w:pPr>
              <w:jc w:val="center"/>
              <w:rPr>
                <w:rFonts w:ascii="楷体" w:hAnsi="楷体" w:eastAsia="楷体" w:cs="楷体"/>
                <w:color w:val="auto"/>
                <w:sz w:val="24"/>
                <w:highlight w:val="none"/>
              </w:rPr>
            </w:pPr>
          </w:p>
        </w:tc>
        <w:tc>
          <w:tcPr>
            <w:tcW w:w="2209" w:type="dxa"/>
            <w:vMerge w:val="continue"/>
            <w:tcBorders>
              <w:left w:val="single" w:color="000000" w:sz="4" w:space="0"/>
              <w:bottom w:val="single" w:color="000000" w:sz="4" w:space="0"/>
              <w:right w:val="single" w:color="000000" w:sz="4" w:space="0"/>
            </w:tcBorders>
            <w:noWrap/>
            <w:vAlign w:val="center"/>
          </w:tcPr>
          <w:p w14:paraId="365863E9">
            <w:pPr>
              <w:jc w:val="center"/>
              <w:rPr>
                <w:rFonts w:ascii="楷体" w:hAnsi="楷体" w:eastAsia="楷体" w:cs="楷体"/>
                <w:color w:val="auto"/>
                <w:sz w:val="24"/>
                <w:highlight w:val="none"/>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96690AE">
            <w:pPr>
              <w:jc w:val="left"/>
              <w:rPr>
                <w:rFonts w:ascii="楷体" w:hAnsi="楷体" w:eastAsia="楷体" w:cs="楷体"/>
                <w:color w:val="auto"/>
                <w:sz w:val="24"/>
                <w:highlight w:val="none"/>
              </w:rPr>
            </w:pPr>
            <w:r>
              <w:rPr>
                <w:rFonts w:hint="eastAsia" w:ascii="楷体" w:hAnsi="楷体" w:eastAsia="楷体" w:cs="楷体"/>
                <w:color w:val="auto"/>
                <w:sz w:val="24"/>
                <w:highlight w:val="none"/>
              </w:rPr>
              <w:t>招标文件不接受提交备选方案。</w:t>
            </w:r>
          </w:p>
        </w:tc>
      </w:tr>
      <w:tr w14:paraId="0C68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57FCC30">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4579E7BE">
            <w:pPr>
              <w:jc w:val="center"/>
              <w:rPr>
                <w:rFonts w:ascii="楷体" w:hAnsi="楷体" w:eastAsia="楷体" w:cs="楷体"/>
                <w:color w:val="auto"/>
                <w:sz w:val="24"/>
                <w:highlight w:val="none"/>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246AF8C4">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9F145A0">
            <w:pPr>
              <w:jc w:val="left"/>
              <w:rPr>
                <w:rFonts w:ascii="楷体" w:hAnsi="楷体" w:eastAsia="楷体" w:cs="楷体"/>
                <w:color w:val="auto"/>
                <w:sz w:val="24"/>
                <w:highlight w:val="none"/>
              </w:rPr>
            </w:pPr>
            <w:r>
              <w:rPr>
                <w:rFonts w:hint="eastAsia" w:ascii="楷体" w:hAnsi="楷体" w:eastAsia="楷体" w:cs="楷体"/>
                <w:color w:val="auto"/>
                <w:sz w:val="24"/>
                <w:highlight w:val="none"/>
              </w:rPr>
              <w:t>投标文件完整且编排有序，投标内容基本完整，无重大错漏，并按要求密封、签署、盖章。</w:t>
            </w:r>
          </w:p>
        </w:tc>
      </w:tr>
      <w:tr w14:paraId="1BE9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269E9034">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5FDC8B3C">
            <w:pPr>
              <w:jc w:val="center"/>
              <w:rPr>
                <w:rFonts w:ascii="楷体" w:hAnsi="楷体" w:eastAsia="楷体" w:cs="楷体"/>
                <w:color w:val="auto"/>
                <w:sz w:val="24"/>
                <w:highlight w:val="none"/>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6E5F0752">
            <w:pPr>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服务期限</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CBAF226">
            <w:pPr>
              <w:jc w:val="left"/>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满足招标文件要求</w:t>
            </w:r>
          </w:p>
        </w:tc>
      </w:tr>
      <w:tr w14:paraId="272C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32254C05">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7EF0EA8">
            <w:pPr>
              <w:jc w:val="center"/>
              <w:rPr>
                <w:rFonts w:ascii="楷体" w:hAnsi="楷体" w:eastAsia="楷体" w:cs="楷体"/>
                <w:color w:val="auto"/>
                <w:sz w:val="24"/>
                <w:highlight w:val="none"/>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F52C2EA">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6801CAC">
            <w:pPr>
              <w:jc w:val="left"/>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投标截止日起90天</w:t>
            </w:r>
          </w:p>
        </w:tc>
      </w:tr>
      <w:tr w14:paraId="4054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B90DE8E">
            <w:pPr>
              <w:jc w:val="center"/>
              <w:rPr>
                <w:rFonts w:ascii="楷体" w:hAnsi="楷体" w:eastAsia="楷体" w:cs="楷体"/>
                <w:color w:val="auto"/>
                <w:sz w:val="24"/>
                <w:highlight w:val="none"/>
                <w:lang w:eastAsia="en-US"/>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52052FA">
            <w:pPr>
              <w:jc w:val="center"/>
              <w:rPr>
                <w:rFonts w:ascii="楷体" w:hAnsi="楷体" w:eastAsia="楷体" w:cs="楷体"/>
                <w:color w:val="auto"/>
                <w:sz w:val="24"/>
                <w:highlight w:val="none"/>
                <w:lang w:eastAsia="en-US"/>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1994539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D586F89">
            <w:pPr>
              <w:jc w:val="left"/>
              <w:rPr>
                <w:rFonts w:ascii="楷体" w:hAnsi="楷体" w:eastAsia="楷体" w:cs="楷体"/>
                <w:color w:val="auto"/>
                <w:sz w:val="24"/>
                <w:highlight w:val="none"/>
              </w:rPr>
            </w:pPr>
            <w:r>
              <w:rPr>
                <w:rFonts w:hint="eastAsia" w:ascii="楷体" w:hAnsi="楷体" w:eastAsia="楷体" w:cs="楷体"/>
                <w:color w:val="auto"/>
                <w:sz w:val="24"/>
                <w:highlight w:val="none"/>
              </w:rPr>
              <w:t>已按招标文件要求提交招标代理服务费支付承诺书</w:t>
            </w:r>
          </w:p>
        </w:tc>
      </w:tr>
      <w:tr w14:paraId="5260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615A944">
            <w:pPr>
              <w:jc w:val="center"/>
              <w:rPr>
                <w:rFonts w:ascii="楷体" w:hAnsi="楷体" w:eastAsia="楷体" w:cs="楷体"/>
                <w:color w:val="auto"/>
                <w:sz w:val="24"/>
                <w:highlight w:val="none"/>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4A63CAB">
            <w:pPr>
              <w:jc w:val="center"/>
              <w:rPr>
                <w:rFonts w:ascii="楷体" w:hAnsi="楷体" w:eastAsia="楷体" w:cs="楷体"/>
                <w:color w:val="auto"/>
                <w:sz w:val="24"/>
                <w:highlight w:val="none"/>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BA8EAA7">
            <w:pPr>
              <w:jc w:val="center"/>
              <w:rPr>
                <w:rFonts w:ascii="楷体" w:hAnsi="楷体" w:eastAsia="楷体" w:cs="楷体"/>
                <w:color w:val="auto"/>
                <w:sz w:val="24"/>
                <w:highlight w:val="none"/>
                <w:lang w:eastAsia="en-US"/>
              </w:rPr>
            </w:pPr>
            <w:r>
              <w:rPr>
                <w:rFonts w:hint="eastAsia" w:ascii="楷体" w:hAnsi="楷体" w:eastAsia="楷体" w:cs="楷体"/>
                <w:color w:val="auto"/>
                <w:sz w:val="24"/>
                <w:highlight w:val="none"/>
                <w:lang w:eastAsia="en-US"/>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5ADE174">
            <w:pPr>
              <w:jc w:val="left"/>
              <w:rPr>
                <w:rFonts w:ascii="楷体" w:hAnsi="楷体" w:eastAsia="楷体" w:cs="楷体"/>
                <w:color w:val="auto"/>
                <w:sz w:val="24"/>
                <w:highlight w:val="none"/>
              </w:rPr>
            </w:pPr>
            <w:r>
              <w:rPr>
                <w:rFonts w:hint="eastAsia" w:ascii="楷体" w:hAnsi="楷体" w:eastAsia="楷体" w:cs="楷体"/>
                <w:color w:val="auto"/>
                <w:sz w:val="24"/>
                <w:highlight w:val="none"/>
              </w:rPr>
              <w:t>没有出现法律、法规和招标文件规定的其他投标无效情形</w:t>
            </w:r>
          </w:p>
        </w:tc>
      </w:tr>
    </w:tbl>
    <w:p w14:paraId="0D8C5F85">
      <w:p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备注：1、每一项符合的打“○”，不符合的打“×”。2、“结论”一栏填写“通过”或“不通过”；任何一项出现“×”的，结论为不通过。不通过的为无效投标。3、汇总时出现不同意见的，评标委员会按简单多数原则表决决定。</w:t>
      </w:r>
    </w:p>
    <w:p w14:paraId="0E617D43">
      <w:pPr>
        <w:tabs>
          <w:tab w:val="left" w:pos="360"/>
          <w:tab w:val="left" w:pos="1030"/>
        </w:tabs>
        <w:adjustRightInd w:val="0"/>
        <w:snapToGrid w:val="0"/>
        <w:rPr>
          <w:rFonts w:ascii="楷体" w:hAnsi="楷体" w:eastAsia="楷体" w:cs="楷体"/>
          <w:b/>
          <w:color w:val="auto"/>
          <w:sz w:val="26"/>
          <w:szCs w:val="26"/>
          <w:highlight w:val="none"/>
        </w:rPr>
      </w:pPr>
      <w:r>
        <w:rPr>
          <w:rFonts w:hint="eastAsia" w:ascii="楷体" w:hAnsi="楷体" w:eastAsia="楷体" w:cs="楷体"/>
          <w:b/>
          <w:color w:val="auto"/>
          <w:sz w:val="24"/>
          <w:highlight w:val="none"/>
        </w:rPr>
        <w:br w:type="page"/>
      </w:r>
      <w:bookmarkStart w:id="293" w:name="_Toc19680"/>
      <w:bookmarkStart w:id="294" w:name="_Toc12147"/>
      <w:bookmarkStart w:id="295" w:name="_Toc10825"/>
      <w:r>
        <w:rPr>
          <w:rFonts w:hint="eastAsia" w:ascii="楷体" w:hAnsi="楷体" w:eastAsia="楷体" w:cs="楷体"/>
          <w:b/>
          <w:color w:val="auto"/>
          <w:sz w:val="26"/>
          <w:szCs w:val="26"/>
          <w:highlight w:val="none"/>
        </w:rPr>
        <w:t>附表2：</w:t>
      </w:r>
      <w:r>
        <w:rPr>
          <w:rFonts w:hint="eastAsia" w:ascii="楷体" w:hAnsi="楷体" w:eastAsia="楷体" w:cs="楷体"/>
          <w:b/>
          <w:color w:val="auto"/>
          <w:sz w:val="26"/>
          <w:szCs w:val="26"/>
          <w:highlight w:val="none"/>
        </w:rPr>
        <w:t>商务技术及价格分值分配</w:t>
      </w:r>
      <w:bookmarkEnd w:id="293"/>
      <w:bookmarkEnd w:id="294"/>
      <w:bookmarkEnd w:id="295"/>
    </w:p>
    <w:tbl>
      <w:tblPr>
        <w:tblStyle w:val="44"/>
        <w:tblW w:w="83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66"/>
        <w:gridCol w:w="1781"/>
        <w:gridCol w:w="1892"/>
        <w:gridCol w:w="1272"/>
      </w:tblGrid>
      <w:tr w14:paraId="74789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658" w:type="dxa"/>
            <w:shd w:val="clear" w:color="auto" w:fill="EAEAEA"/>
            <w:vAlign w:val="center"/>
          </w:tcPr>
          <w:p w14:paraId="098EB90B">
            <w:pPr>
              <w:adjustRightInd w:val="0"/>
              <w:snapToGrid w:val="0"/>
              <w:jc w:val="center"/>
              <w:rPr>
                <w:rFonts w:ascii="楷体" w:hAnsi="楷体" w:eastAsia="楷体" w:cs="楷体"/>
                <w:b/>
                <w:bCs/>
                <w:color w:val="auto"/>
                <w:sz w:val="26"/>
                <w:szCs w:val="26"/>
                <w:highlight w:val="none"/>
              </w:rPr>
            </w:pPr>
            <w:bookmarkStart w:id="296" w:name="_Toc17151"/>
            <w:bookmarkStart w:id="297" w:name="_Toc8708"/>
            <w:r>
              <w:rPr>
                <w:rFonts w:hint="eastAsia" w:ascii="楷体" w:hAnsi="楷体" w:eastAsia="楷体" w:cs="楷体"/>
                <w:b/>
                <w:bCs/>
                <w:color w:val="auto"/>
                <w:sz w:val="26"/>
                <w:szCs w:val="26"/>
                <w:highlight w:val="none"/>
              </w:rPr>
              <w:t>评分项目</w:t>
            </w:r>
          </w:p>
        </w:tc>
        <w:tc>
          <w:tcPr>
            <w:tcW w:w="1766" w:type="dxa"/>
            <w:shd w:val="clear" w:color="auto" w:fill="EAEAEA"/>
            <w:vAlign w:val="center"/>
          </w:tcPr>
          <w:p w14:paraId="5BB62D19">
            <w:pPr>
              <w:adjustRightInd w:val="0"/>
              <w:snapToGrid w:val="0"/>
              <w:jc w:val="center"/>
              <w:rPr>
                <w:rFonts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商务</w:t>
            </w:r>
          </w:p>
        </w:tc>
        <w:tc>
          <w:tcPr>
            <w:tcW w:w="1781" w:type="dxa"/>
            <w:shd w:val="clear" w:color="auto" w:fill="EAEAEA"/>
            <w:vAlign w:val="center"/>
          </w:tcPr>
          <w:p w14:paraId="0118B4BD">
            <w:pPr>
              <w:adjustRightInd w:val="0"/>
              <w:snapToGrid w:val="0"/>
              <w:jc w:val="center"/>
              <w:rPr>
                <w:rFonts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技术</w:t>
            </w:r>
          </w:p>
        </w:tc>
        <w:tc>
          <w:tcPr>
            <w:tcW w:w="1892" w:type="dxa"/>
            <w:shd w:val="clear" w:color="auto" w:fill="EAEAEA"/>
            <w:vAlign w:val="center"/>
          </w:tcPr>
          <w:p w14:paraId="5B64BEE2">
            <w:pPr>
              <w:adjustRightInd w:val="0"/>
              <w:snapToGrid w:val="0"/>
              <w:jc w:val="center"/>
              <w:rPr>
                <w:rFonts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价格</w:t>
            </w:r>
          </w:p>
        </w:tc>
        <w:tc>
          <w:tcPr>
            <w:tcW w:w="1272" w:type="dxa"/>
            <w:shd w:val="clear" w:color="auto" w:fill="EAEAEA"/>
            <w:vAlign w:val="center"/>
          </w:tcPr>
          <w:p w14:paraId="3C6CD733">
            <w:pPr>
              <w:adjustRightInd w:val="0"/>
              <w:snapToGrid w:val="0"/>
              <w:jc w:val="center"/>
              <w:rPr>
                <w:rFonts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合计</w:t>
            </w:r>
          </w:p>
        </w:tc>
      </w:tr>
      <w:tr w14:paraId="1536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8" w:type="dxa"/>
            <w:vAlign w:val="center"/>
          </w:tcPr>
          <w:p w14:paraId="23217C7C">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分值</w:t>
            </w:r>
          </w:p>
        </w:tc>
        <w:tc>
          <w:tcPr>
            <w:tcW w:w="1766" w:type="dxa"/>
            <w:vAlign w:val="center"/>
          </w:tcPr>
          <w:p w14:paraId="268FB628">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2</w:t>
            </w:r>
            <w:r>
              <w:rPr>
                <w:rFonts w:hint="eastAsia" w:ascii="楷体" w:hAnsi="楷体" w:eastAsia="楷体" w:cs="楷体"/>
                <w:color w:val="auto"/>
                <w:sz w:val="26"/>
                <w:szCs w:val="26"/>
                <w:highlight w:val="none"/>
                <w:lang w:val="en-US" w:eastAsia="zh-CN"/>
              </w:rPr>
              <w:t>5</w:t>
            </w:r>
            <w:r>
              <w:rPr>
                <w:rFonts w:hint="eastAsia" w:ascii="楷体" w:hAnsi="楷体" w:eastAsia="楷体" w:cs="楷体"/>
                <w:color w:val="auto"/>
                <w:sz w:val="26"/>
                <w:szCs w:val="26"/>
                <w:highlight w:val="none"/>
              </w:rPr>
              <w:t>分</w:t>
            </w:r>
          </w:p>
        </w:tc>
        <w:tc>
          <w:tcPr>
            <w:tcW w:w="1781" w:type="dxa"/>
            <w:vAlign w:val="center"/>
          </w:tcPr>
          <w:p w14:paraId="5852A9B2">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45</w:t>
            </w:r>
            <w:r>
              <w:rPr>
                <w:rFonts w:hint="eastAsia" w:ascii="楷体" w:hAnsi="楷体" w:eastAsia="楷体" w:cs="楷体"/>
                <w:color w:val="auto"/>
                <w:sz w:val="26"/>
                <w:szCs w:val="26"/>
                <w:highlight w:val="none"/>
              </w:rPr>
              <w:t>分</w:t>
            </w:r>
          </w:p>
        </w:tc>
        <w:tc>
          <w:tcPr>
            <w:tcW w:w="1892" w:type="dxa"/>
            <w:vAlign w:val="center"/>
          </w:tcPr>
          <w:p w14:paraId="323D5AB0">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30分</w:t>
            </w:r>
          </w:p>
        </w:tc>
        <w:tc>
          <w:tcPr>
            <w:tcW w:w="1272" w:type="dxa"/>
            <w:vAlign w:val="center"/>
          </w:tcPr>
          <w:p w14:paraId="1BAE184F">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100分</w:t>
            </w:r>
          </w:p>
        </w:tc>
      </w:tr>
    </w:tbl>
    <w:p w14:paraId="3B9BD2B1">
      <w:pPr>
        <w:tabs>
          <w:tab w:val="left" w:pos="360"/>
          <w:tab w:val="left" w:pos="1030"/>
        </w:tabs>
        <w:adjustRightInd w:val="0"/>
        <w:snapToGrid w:val="0"/>
        <w:rPr>
          <w:rFonts w:ascii="楷体" w:hAnsi="楷体" w:eastAsia="楷体" w:cs="楷体"/>
          <w:b/>
          <w:color w:val="auto"/>
          <w:sz w:val="26"/>
          <w:szCs w:val="26"/>
          <w:highlight w:val="none"/>
        </w:rPr>
      </w:pPr>
    </w:p>
    <w:p w14:paraId="372339BD">
      <w:pPr>
        <w:tabs>
          <w:tab w:val="left" w:pos="360"/>
          <w:tab w:val="left" w:pos="1030"/>
        </w:tabs>
        <w:adjustRightInd w:val="0"/>
        <w:snapToGrid w:val="0"/>
        <w:rPr>
          <w:rFonts w:ascii="楷体" w:hAnsi="楷体" w:eastAsia="楷体" w:cs="楷体"/>
          <w:b/>
          <w:color w:val="auto"/>
          <w:sz w:val="26"/>
          <w:szCs w:val="26"/>
          <w:highlight w:val="none"/>
        </w:rPr>
      </w:pPr>
      <w:bookmarkStart w:id="298" w:name="_Toc29638"/>
      <w:r>
        <w:rPr>
          <w:rFonts w:hint="eastAsia" w:ascii="楷体" w:hAnsi="楷体" w:eastAsia="楷体" w:cs="楷体"/>
          <w:b/>
          <w:color w:val="auto"/>
          <w:sz w:val="26"/>
          <w:szCs w:val="26"/>
          <w:highlight w:val="none"/>
        </w:rPr>
        <w:t>附表3：</w:t>
      </w:r>
      <w:bookmarkEnd w:id="296"/>
      <w:bookmarkEnd w:id="297"/>
      <w:r>
        <w:rPr>
          <w:rFonts w:hint="eastAsia" w:ascii="楷体" w:hAnsi="楷体" w:eastAsia="楷体" w:cs="楷体"/>
          <w:b/>
          <w:color w:val="auto"/>
          <w:sz w:val="26"/>
          <w:szCs w:val="26"/>
          <w:highlight w:val="none"/>
        </w:rPr>
        <w:t>商务评审表</w:t>
      </w:r>
      <w:bookmarkEnd w:id="298"/>
    </w:p>
    <w:tbl>
      <w:tblPr>
        <w:tblStyle w:val="44"/>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411"/>
        <w:gridCol w:w="6289"/>
        <w:gridCol w:w="863"/>
      </w:tblGrid>
      <w:tr w14:paraId="2696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shd w:val="clear" w:color="auto" w:fill="EAEAEA"/>
            <w:vAlign w:val="center"/>
          </w:tcPr>
          <w:p w14:paraId="2441499E">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序号</w:t>
            </w:r>
          </w:p>
        </w:tc>
        <w:tc>
          <w:tcPr>
            <w:tcW w:w="777" w:type="pct"/>
            <w:shd w:val="clear" w:color="auto" w:fill="EAEAEA"/>
            <w:vAlign w:val="center"/>
          </w:tcPr>
          <w:p w14:paraId="5F5DB21F">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评审因素</w:t>
            </w:r>
          </w:p>
        </w:tc>
        <w:tc>
          <w:tcPr>
            <w:tcW w:w="3461" w:type="pct"/>
            <w:shd w:val="clear" w:color="auto" w:fill="EAEAEA"/>
            <w:vAlign w:val="center"/>
          </w:tcPr>
          <w:p w14:paraId="695D1ECD">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评分标准</w:t>
            </w:r>
          </w:p>
        </w:tc>
        <w:tc>
          <w:tcPr>
            <w:tcW w:w="475" w:type="pct"/>
            <w:shd w:val="clear" w:color="auto" w:fill="EAEAEA"/>
            <w:vAlign w:val="center"/>
          </w:tcPr>
          <w:p w14:paraId="34FF4751">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最高</w:t>
            </w:r>
          </w:p>
          <w:p w14:paraId="1F4428A0">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分值</w:t>
            </w:r>
          </w:p>
        </w:tc>
      </w:tr>
      <w:tr w14:paraId="4D50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7A69DCEC">
            <w:pPr>
              <w:widowControl/>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kern w:val="0"/>
                <w:sz w:val="26"/>
                <w:szCs w:val="26"/>
                <w:highlight w:val="none"/>
              </w:rPr>
              <w:t>1</w:t>
            </w:r>
          </w:p>
        </w:tc>
        <w:tc>
          <w:tcPr>
            <w:tcW w:w="777" w:type="pct"/>
            <w:vAlign w:val="center"/>
          </w:tcPr>
          <w:p w14:paraId="6B10B336">
            <w:pPr>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sz w:val="26"/>
                <w:szCs w:val="26"/>
                <w:highlight w:val="none"/>
                <w:lang w:val="en-US" w:eastAsia="zh-CN"/>
              </w:rPr>
              <w:t>类似</w:t>
            </w:r>
            <w:r>
              <w:rPr>
                <w:rFonts w:hint="eastAsia" w:ascii="楷体" w:hAnsi="楷体" w:eastAsia="楷体" w:cs="楷体"/>
                <w:color w:val="auto"/>
                <w:sz w:val="26"/>
                <w:szCs w:val="26"/>
                <w:highlight w:val="none"/>
              </w:rPr>
              <w:t>业绩</w:t>
            </w:r>
          </w:p>
        </w:tc>
        <w:tc>
          <w:tcPr>
            <w:tcW w:w="3461" w:type="pct"/>
            <w:vAlign w:val="center"/>
          </w:tcPr>
          <w:p w14:paraId="16BEF1E2">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根据投标人自202</w:t>
            </w:r>
            <w:r>
              <w:rPr>
                <w:rFonts w:hint="eastAsia" w:ascii="楷体" w:hAnsi="楷体" w:eastAsia="楷体" w:cs="楷体"/>
                <w:color w:val="auto"/>
                <w:sz w:val="26"/>
                <w:szCs w:val="26"/>
                <w:highlight w:val="none"/>
                <w:lang w:val="en-US" w:eastAsia="zh-CN"/>
              </w:rPr>
              <w:t>2</w:t>
            </w:r>
            <w:r>
              <w:rPr>
                <w:rFonts w:hint="eastAsia" w:ascii="楷体" w:hAnsi="楷体" w:eastAsia="楷体" w:cs="楷体"/>
                <w:color w:val="auto"/>
                <w:sz w:val="26"/>
                <w:szCs w:val="26"/>
                <w:highlight w:val="none"/>
              </w:rPr>
              <w:t>年1月1日以来承担过（以签订合同时间为准）的</w:t>
            </w:r>
            <w:r>
              <w:rPr>
                <w:rFonts w:hint="eastAsia" w:ascii="楷体" w:hAnsi="楷体" w:eastAsia="楷体" w:cs="楷体"/>
                <w:color w:val="auto"/>
                <w:sz w:val="26"/>
                <w:szCs w:val="26"/>
                <w:highlight w:val="none"/>
                <w:lang w:val="en-US" w:eastAsia="zh-CN"/>
              </w:rPr>
              <w:t>类似</w:t>
            </w:r>
            <w:r>
              <w:rPr>
                <w:rFonts w:hint="eastAsia" w:ascii="楷体" w:hAnsi="楷体" w:eastAsia="楷体" w:cs="楷体"/>
                <w:color w:val="auto"/>
                <w:sz w:val="26"/>
                <w:szCs w:val="26"/>
                <w:highlight w:val="none"/>
              </w:rPr>
              <w:t>项目业绩情况进行评审</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rPr>
              <w:t>每提供一个项目业绩，得</w:t>
            </w:r>
            <w:r>
              <w:rPr>
                <w:rFonts w:hint="eastAsia" w:ascii="楷体" w:hAnsi="楷体" w:eastAsia="楷体" w:cs="楷体"/>
                <w:color w:val="auto"/>
                <w:sz w:val="26"/>
                <w:szCs w:val="26"/>
                <w:highlight w:val="none"/>
                <w:lang w:val="en-US" w:eastAsia="zh-CN"/>
              </w:rPr>
              <w:t>3</w:t>
            </w:r>
            <w:r>
              <w:rPr>
                <w:rFonts w:hint="eastAsia" w:ascii="楷体" w:hAnsi="楷体" w:eastAsia="楷体" w:cs="楷体"/>
                <w:color w:val="auto"/>
                <w:sz w:val="26"/>
                <w:szCs w:val="26"/>
                <w:highlight w:val="none"/>
              </w:rPr>
              <w:t>分。最高得</w:t>
            </w:r>
            <w:r>
              <w:rPr>
                <w:rFonts w:hint="eastAsia" w:ascii="楷体" w:hAnsi="楷体" w:eastAsia="楷体" w:cs="楷体"/>
                <w:color w:val="auto"/>
                <w:sz w:val="26"/>
                <w:szCs w:val="26"/>
                <w:highlight w:val="none"/>
                <w:lang w:val="en-US" w:eastAsia="zh-CN"/>
              </w:rPr>
              <w:t>15</w:t>
            </w:r>
            <w:r>
              <w:rPr>
                <w:rFonts w:hint="eastAsia" w:ascii="楷体" w:hAnsi="楷体" w:eastAsia="楷体" w:cs="楷体"/>
                <w:color w:val="auto"/>
                <w:sz w:val="26"/>
                <w:szCs w:val="26"/>
                <w:highlight w:val="none"/>
              </w:rPr>
              <w:t>分，没有不得分。</w:t>
            </w:r>
          </w:p>
          <w:p w14:paraId="1101FA0D">
            <w:pPr>
              <w:adjustRightInd w:val="0"/>
              <w:snapToGrid w:val="0"/>
              <w:rPr>
                <w:rFonts w:ascii="楷体" w:hAnsi="楷体" w:eastAsia="楷体" w:cs="楷体"/>
                <w:bCs/>
                <w:color w:val="auto"/>
                <w:sz w:val="26"/>
                <w:szCs w:val="26"/>
                <w:highlight w:val="none"/>
              </w:rPr>
            </w:pPr>
            <w:r>
              <w:rPr>
                <w:rFonts w:hint="eastAsia" w:ascii="楷体" w:hAnsi="楷体" w:eastAsia="楷体" w:cs="楷体"/>
                <w:color w:val="auto"/>
                <w:sz w:val="26"/>
                <w:szCs w:val="26"/>
                <w:highlight w:val="none"/>
              </w:rPr>
              <w:t>注：提供合同复印件，不提供不得分。</w:t>
            </w:r>
          </w:p>
        </w:tc>
        <w:tc>
          <w:tcPr>
            <w:tcW w:w="475" w:type="pct"/>
            <w:vAlign w:val="center"/>
          </w:tcPr>
          <w:p w14:paraId="2F548ACE">
            <w:pPr>
              <w:adjustRightInd w:val="0"/>
              <w:snapToGrid w:val="0"/>
              <w:jc w:val="center"/>
              <w:rPr>
                <w:rFonts w:hint="default" w:ascii="楷体" w:hAnsi="楷体" w:eastAsia="楷体" w:cs="楷体"/>
                <w:b/>
                <w:bCs/>
                <w:color w:val="auto"/>
                <w:kern w:val="0"/>
                <w:sz w:val="26"/>
                <w:szCs w:val="26"/>
                <w:highlight w:val="none"/>
                <w:lang w:val="en-US"/>
              </w:rPr>
            </w:pPr>
            <w:r>
              <w:rPr>
                <w:rFonts w:hint="eastAsia" w:ascii="楷体" w:hAnsi="楷体" w:eastAsia="楷体" w:cs="楷体"/>
                <w:color w:val="auto"/>
                <w:sz w:val="26"/>
                <w:szCs w:val="26"/>
                <w:highlight w:val="none"/>
                <w:lang w:val="en-US" w:eastAsia="zh-CN"/>
              </w:rPr>
              <w:t>15</w:t>
            </w:r>
          </w:p>
        </w:tc>
      </w:tr>
      <w:tr w14:paraId="4367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6E36D6F2">
            <w:pPr>
              <w:widowControl/>
              <w:adjustRightInd w:val="0"/>
              <w:snapToGrid w:val="0"/>
              <w:jc w:val="center"/>
              <w:rPr>
                <w:rFonts w:hint="eastAsia" w:ascii="楷体" w:hAnsi="楷体" w:eastAsia="楷体" w:cs="楷体"/>
                <w:color w:val="auto"/>
                <w:kern w:val="0"/>
                <w:sz w:val="26"/>
                <w:szCs w:val="26"/>
                <w:highlight w:val="none"/>
                <w:lang w:eastAsia="zh-CN"/>
              </w:rPr>
            </w:pPr>
            <w:r>
              <w:rPr>
                <w:rFonts w:hint="eastAsia" w:ascii="楷体" w:hAnsi="楷体" w:eastAsia="楷体" w:cs="楷体"/>
                <w:color w:val="auto"/>
                <w:kern w:val="0"/>
                <w:sz w:val="26"/>
                <w:szCs w:val="26"/>
                <w:highlight w:val="none"/>
                <w:lang w:val="en-US" w:eastAsia="zh-CN"/>
              </w:rPr>
              <w:t>2</w:t>
            </w:r>
          </w:p>
        </w:tc>
        <w:tc>
          <w:tcPr>
            <w:tcW w:w="777" w:type="pct"/>
            <w:vAlign w:val="center"/>
          </w:tcPr>
          <w:p w14:paraId="0FA73FA3">
            <w:pPr>
              <w:adjustRightInd w:val="0"/>
              <w:snapToGrid w:val="0"/>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拟投入服务团队</w:t>
            </w:r>
          </w:p>
        </w:tc>
        <w:tc>
          <w:tcPr>
            <w:tcW w:w="3461" w:type="pct"/>
            <w:vAlign w:val="center"/>
          </w:tcPr>
          <w:p w14:paraId="3D56804D">
            <w:pPr>
              <w:numPr>
                <w:ilvl w:val="0"/>
                <w:numId w:val="59"/>
              </w:numPr>
              <w:adjustRightInd w:val="0"/>
              <w:snapToGrid w:val="0"/>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项目负责人（仅限1人）</w:t>
            </w:r>
          </w:p>
          <w:p w14:paraId="583ECE2D">
            <w:pPr>
              <w:numPr>
                <w:ilvl w:val="0"/>
                <w:numId w:val="0"/>
              </w:numPr>
              <w:adjustRightInd w:val="0"/>
              <w:snapToGrid w:val="0"/>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具有气象类、雷电防御类等相关专业高级职称的，的4分，具有中级职称的，得3分，具有初级职称得2分，本小项最高得4分。</w:t>
            </w:r>
          </w:p>
          <w:p w14:paraId="7D8709BD">
            <w:pPr>
              <w:numPr>
                <w:ilvl w:val="0"/>
                <w:numId w:val="59"/>
              </w:numPr>
              <w:adjustRightInd w:val="0"/>
              <w:snapToGrid w:val="0"/>
              <w:rPr>
                <w:rFonts w:hint="default"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其他团队成员（项目负责人除外）</w:t>
            </w:r>
          </w:p>
          <w:p w14:paraId="2904A63F">
            <w:pPr>
              <w:numPr>
                <w:ilvl w:val="0"/>
                <w:numId w:val="0"/>
              </w:numPr>
              <w:adjustRightInd w:val="0"/>
              <w:snapToGrid w:val="0"/>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具有气象/雷电防御/地理信息专业职称的每提供1人得2分（1人具有上述多个专业的，不重复计算），其他不得分，本小项最高得6分。</w:t>
            </w:r>
          </w:p>
          <w:p w14:paraId="4FF1561F">
            <w:pPr>
              <w:numPr>
                <w:ilvl w:val="0"/>
                <w:numId w:val="0"/>
              </w:numPr>
              <w:adjustRightInd w:val="0"/>
              <w:snapToGrid w:val="0"/>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注：提供上述人员相关证书复印件并加盖公章及投标截止前6个月内任意一个月投标人为其购买社保的证明材料，不提供或提供不全不得分。</w:t>
            </w:r>
          </w:p>
        </w:tc>
        <w:tc>
          <w:tcPr>
            <w:tcW w:w="475" w:type="pct"/>
            <w:vAlign w:val="center"/>
          </w:tcPr>
          <w:p w14:paraId="0C938985">
            <w:pPr>
              <w:adjustRightInd w:val="0"/>
              <w:snapToGrid w:val="0"/>
              <w:jc w:val="center"/>
              <w:rPr>
                <w:rFonts w:hint="default" w:ascii="楷体" w:hAnsi="楷体" w:eastAsia="楷体" w:cs="楷体"/>
                <w:color w:val="auto"/>
                <w:sz w:val="26"/>
                <w:szCs w:val="26"/>
                <w:highlight w:val="none"/>
                <w:lang w:val="en-US"/>
              </w:rPr>
            </w:pPr>
            <w:r>
              <w:rPr>
                <w:rFonts w:hint="eastAsia" w:ascii="楷体" w:hAnsi="楷体" w:eastAsia="楷体" w:cs="楷体"/>
                <w:color w:val="auto"/>
                <w:sz w:val="26"/>
                <w:szCs w:val="26"/>
                <w:highlight w:val="none"/>
                <w:lang w:val="en-US" w:eastAsia="zh-CN"/>
              </w:rPr>
              <w:t>10</w:t>
            </w:r>
          </w:p>
        </w:tc>
      </w:tr>
      <w:tr w14:paraId="02E6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4" w:type="pct"/>
            <w:gridSpan w:val="3"/>
            <w:shd w:val="clear" w:color="auto" w:fill="EAEAEA"/>
            <w:vAlign w:val="center"/>
          </w:tcPr>
          <w:p w14:paraId="6590EE67">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合计</w:t>
            </w:r>
          </w:p>
        </w:tc>
        <w:tc>
          <w:tcPr>
            <w:tcW w:w="475" w:type="pct"/>
            <w:shd w:val="clear" w:color="auto" w:fill="EAEAEA"/>
            <w:vAlign w:val="center"/>
          </w:tcPr>
          <w:p w14:paraId="5BF5B9B8">
            <w:pPr>
              <w:widowControl/>
              <w:adjustRightInd w:val="0"/>
              <w:snapToGrid w:val="0"/>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2</w:t>
            </w:r>
            <w:r>
              <w:rPr>
                <w:rFonts w:hint="eastAsia" w:ascii="楷体" w:hAnsi="楷体" w:eastAsia="楷体" w:cs="楷体"/>
                <w:b/>
                <w:bCs/>
                <w:color w:val="auto"/>
                <w:kern w:val="0"/>
                <w:sz w:val="26"/>
                <w:szCs w:val="26"/>
                <w:highlight w:val="none"/>
                <w:lang w:val="en-US" w:eastAsia="zh-CN"/>
              </w:rPr>
              <w:t>5</w:t>
            </w:r>
            <w:r>
              <w:rPr>
                <w:rFonts w:hint="eastAsia" w:ascii="楷体" w:hAnsi="楷体" w:eastAsia="楷体" w:cs="楷体"/>
                <w:b/>
                <w:color w:val="auto"/>
                <w:kern w:val="0"/>
                <w:sz w:val="26"/>
                <w:szCs w:val="26"/>
                <w:highlight w:val="none"/>
              </w:rPr>
              <w:t>分</w:t>
            </w:r>
          </w:p>
        </w:tc>
      </w:tr>
    </w:tbl>
    <w:p w14:paraId="7330F544">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备注：上表中要求提供佐证材料的，投标人必须提供，否则计0分。（得分四舍五入后，小数点后保留两位有效数）</w:t>
      </w:r>
    </w:p>
    <w:p w14:paraId="114B04C4">
      <w:pPr>
        <w:tabs>
          <w:tab w:val="left" w:pos="360"/>
          <w:tab w:val="left" w:pos="1030"/>
        </w:tabs>
        <w:adjustRightInd w:val="0"/>
        <w:snapToGrid w:val="0"/>
        <w:rPr>
          <w:rFonts w:ascii="楷体" w:hAnsi="楷体" w:eastAsia="楷体" w:cs="楷体"/>
          <w:color w:val="auto"/>
          <w:sz w:val="26"/>
          <w:szCs w:val="26"/>
          <w:highlight w:val="none"/>
        </w:rPr>
      </w:pPr>
      <w:bookmarkStart w:id="299" w:name="_Toc13267"/>
      <w:bookmarkStart w:id="300" w:name="_Toc22061"/>
      <w:r>
        <w:rPr>
          <w:rFonts w:hint="eastAsia" w:ascii="楷体" w:hAnsi="楷体" w:eastAsia="楷体" w:cs="楷体"/>
          <w:b/>
          <w:color w:val="auto"/>
          <w:sz w:val="26"/>
          <w:szCs w:val="26"/>
          <w:highlight w:val="none"/>
        </w:rPr>
        <w:br w:type="page"/>
      </w:r>
      <w:bookmarkStart w:id="301" w:name="_Toc22294"/>
      <w:r>
        <w:rPr>
          <w:rFonts w:hint="eastAsia" w:ascii="楷体" w:hAnsi="楷体" w:eastAsia="楷体" w:cs="楷体"/>
          <w:b/>
          <w:color w:val="auto"/>
          <w:sz w:val="26"/>
          <w:szCs w:val="26"/>
          <w:highlight w:val="none"/>
        </w:rPr>
        <w:t>附表4：技术评审表</w:t>
      </w:r>
      <w:bookmarkEnd w:id="301"/>
    </w:p>
    <w:tbl>
      <w:tblPr>
        <w:tblStyle w:val="4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388"/>
        <w:gridCol w:w="6062"/>
        <w:gridCol w:w="773"/>
      </w:tblGrid>
      <w:tr w14:paraId="14A4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421EBBA6">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序号</w:t>
            </w:r>
          </w:p>
        </w:tc>
        <w:tc>
          <w:tcPr>
            <w:tcW w:w="1388" w:type="dxa"/>
            <w:shd w:val="clear" w:color="auto" w:fill="EAEAEA"/>
            <w:vAlign w:val="center"/>
          </w:tcPr>
          <w:p w14:paraId="6CE37A16">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评审因素</w:t>
            </w:r>
          </w:p>
        </w:tc>
        <w:tc>
          <w:tcPr>
            <w:tcW w:w="6062" w:type="dxa"/>
            <w:shd w:val="clear" w:color="auto" w:fill="EAEAEA"/>
            <w:vAlign w:val="center"/>
          </w:tcPr>
          <w:p w14:paraId="57A6835B">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评分标准</w:t>
            </w:r>
          </w:p>
        </w:tc>
        <w:tc>
          <w:tcPr>
            <w:tcW w:w="773" w:type="dxa"/>
            <w:shd w:val="clear" w:color="auto" w:fill="EAEAEA"/>
            <w:vAlign w:val="center"/>
          </w:tcPr>
          <w:p w14:paraId="6B4E5BD2">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最高</w:t>
            </w:r>
          </w:p>
          <w:p w14:paraId="561D169A">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分值</w:t>
            </w:r>
          </w:p>
        </w:tc>
      </w:tr>
      <w:tr w14:paraId="1C16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6EDA6D8">
            <w:pPr>
              <w:widowControl/>
              <w:adjustRightInd w:val="0"/>
              <w:snapToGrid w:val="0"/>
              <w:jc w:val="center"/>
              <w:rPr>
                <w:rFonts w:ascii="楷体" w:hAnsi="楷体" w:eastAsia="楷体" w:cs="楷体"/>
                <w:bCs/>
                <w:color w:val="auto"/>
                <w:kern w:val="0"/>
                <w:sz w:val="26"/>
                <w:szCs w:val="26"/>
                <w:highlight w:val="none"/>
              </w:rPr>
            </w:pPr>
            <w:r>
              <w:rPr>
                <w:rFonts w:hint="eastAsia" w:ascii="楷体" w:hAnsi="楷体" w:eastAsia="楷体" w:cs="楷体"/>
                <w:bCs/>
                <w:color w:val="auto"/>
                <w:kern w:val="0"/>
                <w:sz w:val="26"/>
                <w:szCs w:val="26"/>
                <w:highlight w:val="none"/>
              </w:rPr>
              <w:t>1</w:t>
            </w:r>
          </w:p>
        </w:tc>
        <w:tc>
          <w:tcPr>
            <w:tcW w:w="1388" w:type="dxa"/>
            <w:vAlign w:val="center"/>
          </w:tcPr>
          <w:p w14:paraId="3CCAE2F4">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项目</w:t>
            </w:r>
            <w:r>
              <w:rPr>
                <w:rFonts w:hint="eastAsia" w:ascii="楷体" w:hAnsi="楷体" w:eastAsia="楷体" w:cs="楷体"/>
                <w:color w:val="auto"/>
                <w:sz w:val="26"/>
                <w:szCs w:val="26"/>
                <w:highlight w:val="none"/>
                <w:lang w:val="en-US" w:eastAsia="zh-CN"/>
              </w:rPr>
              <w:t>实施技术方案</w:t>
            </w:r>
          </w:p>
        </w:tc>
        <w:tc>
          <w:tcPr>
            <w:tcW w:w="6062" w:type="dxa"/>
            <w:vAlign w:val="center"/>
          </w:tcPr>
          <w:p w14:paraId="42C8AC98">
            <w:pPr>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根据投标人提供的</w:t>
            </w:r>
            <w:r>
              <w:rPr>
                <w:rFonts w:hint="eastAsia" w:ascii="楷体" w:hAnsi="楷体" w:eastAsia="楷体" w:cs="楷体"/>
                <w:color w:val="auto"/>
                <w:sz w:val="26"/>
                <w:szCs w:val="26"/>
                <w:highlight w:val="none"/>
                <w:lang w:val="en-US" w:eastAsia="zh-CN"/>
              </w:rPr>
              <w:t>项目实施技术方案（包括但不限于项目内容是否完整清晰、项目目标是否明确和量化、工作方法是否恰当、技术路线是否合理、方案的合理性与可行性等情况）进行</w:t>
            </w:r>
            <w:r>
              <w:rPr>
                <w:rFonts w:ascii="楷体" w:hAnsi="楷体" w:eastAsia="楷体" w:cs="楷体"/>
                <w:color w:val="auto"/>
                <w:sz w:val="26"/>
                <w:szCs w:val="26"/>
                <w:highlight w:val="none"/>
              </w:rPr>
              <w:t>综合</w:t>
            </w:r>
            <w:r>
              <w:rPr>
                <w:rFonts w:hint="eastAsia" w:ascii="楷体" w:hAnsi="楷体" w:eastAsia="楷体" w:cs="楷体"/>
                <w:color w:val="auto"/>
                <w:sz w:val="26"/>
                <w:szCs w:val="26"/>
                <w:highlight w:val="none"/>
                <w:lang w:val="en-US" w:eastAsia="zh-CN"/>
              </w:rPr>
              <w:t>评审：</w:t>
            </w:r>
          </w:p>
          <w:p w14:paraId="5484CB07">
            <w:pPr>
              <w:numPr>
                <w:ilvl w:val="0"/>
                <w:numId w:val="60"/>
              </w:numPr>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项目</w:t>
            </w:r>
            <w:r>
              <w:rPr>
                <w:rFonts w:hint="eastAsia" w:ascii="楷体" w:hAnsi="楷体" w:eastAsia="楷体" w:cs="楷体"/>
                <w:color w:val="auto"/>
                <w:sz w:val="26"/>
                <w:szCs w:val="26"/>
                <w:highlight w:val="none"/>
                <w:lang w:val="en-US" w:eastAsia="zh-CN"/>
              </w:rPr>
              <w:t>实施技术方案详细具体、针对性强，项目内容完整清晰，项目目标明确且量化，工作方案恰当，技术路线合理，与项目实际情况相契合，可行性高，完全满足招标文件的要求，得15分；</w:t>
            </w:r>
          </w:p>
          <w:p w14:paraId="43D1622C">
            <w:pPr>
              <w:numPr>
                <w:ilvl w:val="0"/>
                <w:numId w:val="60"/>
              </w:numP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项目</w:t>
            </w:r>
            <w:r>
              <w:rPr>
                <w:rFonts w:hint="eastAsia" w:ascii="楷体" w:hAnsi="楷体" w:eastAsia="楷体" w:cs="楷体"/>
                <w:color w:val="auto"/>
                <w:sz w:val="26"/>
                <w:szCs w:val="26"/>
                <w:highlight w:val="none"/>
                <w:lang w:val="en-US" w:eastAsia="zh-CN"/>
              </w:rPr>
              <w:t>实施技术方案较详细具体、针对性较强，项目内容较完整清晰，项目目标较明确，工作方案较恰当，技术路线较合理，与项目实际情况较相契合，可行性较高，较满足招标文件的要求，得10分；</w:t>
            </w:r>
          </w:p>
          <w:p w14:paraId="0C13FC35">
            <w:pPr>
              <w:numPr>
                <w:ilvl w:val="0"/>
                <w:numId w:val="60"/>
              </w:numP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项目</w:t>
            </w:r>
            <w:r>
              <w:rPr>
                <w:rFonts w:hint="eastAsia" w:ascii="楷体" w:hAnsi="楷体" w:eastAsia="楷体" w:cs="楷体"/>
                <w:color w:val="auto"/>
                <w:sz w:val="26"/>
                <w:szCs w:val="26"/>
                <w:highlight w:val="none"/>
                <w:lang w:val="en-US" w:eastAsia="zh-CN"/>
              </w:rPr>
              <w:t>实施技术方案基本详细、具有一定针对性，项目内容基本清晰，项目目标基本明确，工作方案恰当性一般，技术路线基本合理，基本符合项目实际情况，基本满足招标文件的要求，得5分；</w:t>
            </w:r>
          </w:p>
          <w:p w14:paraId="26A4007D">
            <w:pPr>
              <w:numPr>
                <w:ilvl w:val="0"/>
                <w:numId w:val="60"/>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项目</w:t>
            </w:r>
            <w:r>
              <w:rPr>
                <w:rFonts w:hint="eastAsia" w:ascii="楷体" w:hAnsi="楷体" w:eastAsia="楷体" w:cs="楷体"/>
                <w:color w:val="auto"/>
                <w:sz w:val="26"/>
                <w:szCs w:val="26"/>
                <w:highlight w:val="none"/>
                <w:lang w:val="en-US" w:eastAsia="zh-CN"/>
              </w:rPr>
              <w:t>实施技术方案部分具备、针对性差，项目内容不清晰，项目目标不明确，工作方案不妥当，技术路线合理性一般，不符合项目实际情况，部分满足招标文件的要求，</w:t>
            </w:r>
            <w:r>
              <w:rPr>
                <w:rFonts w:hint="eastAsia" w:ascii="楷体" w:hAnsi="楷体" w:eastAsia="楷体" w:cs="楷体"/>
                <w:color w:val="auto"/>
                <w:sz w:val="26"/>
                <w:szCs w:val="26"/>
                <w:highlight w:val="none"/>
              </w:rPr>
              <w:t>不得分</w:t>
            </w:r>
            <w:r>
              <w:rPr>
                <w:rFonts w:hint="eastAsia" w:ascii="楷体" w:hAnsi="楷体" w:eastAsia="楷体" w:cs="楷体"/>
                <w:color w:val="auto"/>
                <w:sz w:val="26"/>
                <w:szCs w:val="26"/>
                <w:highlight w:val="none"/>
                <w:lang w:val="en-US" w:eastAsia="zh-CN"/>
              </w:rPr>
              <w:t>；</w:t>
            </w:r>
          </w:p>
          <w:p w14:paraId="52B676C7">
            <w:pPr>
              <w:numPr>
                <w:ilvl w:val="0"/>
                <w:numId w:val="60"/>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其他或不提供不得分。</w:t>
            </w:r>
          </w:p>
        </w:tc>
        <w:tc>
          <w:tcPr>
            <w:tcW w:w="773" w:type="dxa"/>
            <w:vAlign w:val="center"/>
          </w:tcPr>
          <w:p w14:paraId="700A17BE">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15</w:t>
            </w:r>
          </w:p>
        </w:tc>
      </w:tr>
      <w:tr w14:paraId="0BA4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25783C3E">
            <w:pPr>
              <w:widowControl/>
              <w:adjustRightInd w:val="0"/>
              <w:snapToGrid w:val="0"/>
              <w:jc w:val="center"/>
              <w:rPr>
                <w:rFonts w:ascii="楷体" w:hAnsi="楷体" w:eastAsia="楷体" w:cs="楷体"/>
                <w:bCs/>
                <w:color w:val="auto"/>
                <w:kern w:val="0"/>
                <w:sz w:val="26"/>
                <w:szCs w:val="26"/>
                <w:highlight w:val="none"/>
              </w:rPr>
            </w:pPr>
            <w:r>
              <w:rPr>
                <w:rFonts w:hint="eastAsia" w:ascii="楷体" w:hAnsi="楷体" w:eastAsia="楷体" w:cs="楷体"/>
                <w:bCs/>
                <w:color w:val="auto"/>
                <w:kern w:val="0"/>
                <w:sz w:val="26"/>
                <w:szCs w:val="26"/>
                <w:highlight w:val="none"/>
              </w:rPr>
              <w:t>2</w:t>
            </w:r>
          </w:p>
        </w:tc>
        <w:tc>
          <w:tcPr>
            <w:tcW w:w="1388" w:type="dxa"/>
            <w:vAlign w:val="center"/>
          </w:tcPr>
          <w:p w14:paraId="30078BF0">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项目重难点的理解、分析与对策</w:t>
            </w:r>
          </w:p>
        </w:tc>
        <w:tc>
          <w:tcPr>
            <w:tcW w:w="6062" w:type="dxa"/>
            <w:vAlign w:val="center"/>
          </w:tcPr>
          <w:p w14:paraId="202B8FB5">
            <w:p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根据投标人</w:t>
            </w:r>
            <w:r>
              <w:rPr>
                <w:rFonts w:hint="eastAsia" w:ascii="楷体" w:hAnsi="楷体" w:eastAsia="楷体" w:cs="楷体"/>
                <w:color w:val="auto"/>
                <w:sz w:val="26"/>
                <w:szCs w:val="26"/>
                <w:highlight w:val="none"/>
                <w:lang w:val="en-US" w:eastAsia="zh-CN"/>
              </w:rPr>
              <w:t>对项目重难点的理解、分析与对策</w:t>
            </w:r>
            <w:r>
              <w:rPr>
                <w:rFonts w:hint="eastAsia" w:ascii="楷体" w:hAnsi="楷体" w:eastAsia="楷体" w:cs="楷体"/>
                <w:color w:val="auto"/>
                <w:sz w:val="26"/>
                <w:szCs w:val="26"/>
                <w:highlight w:val="none"/>
              </w:rPr>
              <w:t>进行</w:t>
            </w:r>
            <w:r>
              <w:rPr>
                <w:rFonts w:ascii="楷体" w:hAnsi="楷体" w:eastAsia="楷体" w:cs="楷体"/>
                <w:color w:val="auto"/>
                <w:sz w:val="26"/>
                <w:szCs w:val="26"/>
                <w:highlight w:val="none"/>
              </w:rPr>
              <w:t>综合</w:t>
            </w:r>
            <w:r>
              <w:rPr>
                <w:rFonts w:hint="eastAsia" w:ascii="楷体" w:hAnsi="楷体" w:eastAsia="楷体" w:cs="楷体"/>
                <w:color w:val="auto"/>
                <w:sz w:val="26"/>
                <w:szCs w:val="26"/>
                <w:highlight w:val="none"/>
              </w:rPr>
              <w:t>评审：</w:t>
            </w:r>
          </w:p>
          <w:p w14:paraId="61B3B59B">
            <w:pPr>
              <w:numPr>
                <w:ilvl w:val="0"/>
                <w:numId w:val="61"/>
              </w:numPr>
              <w:rPr>
                <w:rFonts w:ascii="楷体" w:hAnsi="楷体" w:eastAsia="楷体" w:cs="楷体"/>
                <w:color w:val="auto"/>
                <w:sz w:val="26"/>
                <w:szCs w:val="26"/>
                <w:highlight w:val="none"/>
              </w:rPr>
            </w:pPr>
            <w:r>
              <w:rPr>
                <w:rFonts w:ascii="楷体" w:hAnsi="楷体" w:eastAsia="楷体" w:cs="楷体"/>
                <w:color w:val="auto"/>
                <w:sz w:val="26"/>
                <w:szCs w:val="26"/>
                <w:highlight w:val="none"/>
              </w:rPr>
              <w:t>对于项目的</w:t>
            </w:r>
            <w:r>
              <w:rPr>
                <w:rFonts w:hint="eastAsia" w:ascii="楷体" w:hAnsi="楷体" w:eastAsia="楷体" w:cs="楷体"/>
                <w:color w:val="auto"/>
                <w:sz w:val="26"/>
                <w:szCs w:val="26"/>
                <w:highlight w:val="none"/>
                <w:lang w:val="en-US" w:eastAsia="zh-CN"/>
              </w:rPr>
              <w:t>重难点</w:t>
            </w:r>
            <w:r>
              <w:rPr>
                <w:rFonts w:ascii="楷体" w:hAnsi="楷体" w:eastAsia="楷体" w:cs="楷体"/>
                <w:color w:val="auto"/>
                <w:sz w:val="26"/>
                <w:szCs w:val="26"/>
                <w:highlight w:val="none"/>
              </w:rPr>
              <w:t>具有准确的阐述和理解，结合实际需要对项目开展提出具有</w:t>
            </w:r>
            <w:r>
              <w:rPr>
                <w:rFonts w:hint="eastAsia" w:ascii="楷体" w:hAnsi="楷体" w:eastAsia="楷体" w:cs="楷体"/>
                <w:color w:val="auto"/>
                <w:sz w:val="26"/>
                <w:szCs w:val="26"/>
                <w:highlight w:val="none"/>
              </w:rPr>
              <w:t>建设性</w:t>
            </w:r>
            <w:r>
              <w:rPr>
                <w:rFonts w:ascii="楷体" w:hAnsi="楷体" w:eastAsia="楷体" w:cs="楷体"/>
                <w:color w:val="auto"/>
                <w:sz w:val="26"/>
                <w:szCs w:val="26"/>
                <w:highlight w:val="none"/>
              </w:rPr>
              <w:t xml:space="preserve">意见，对未来持续性研究有保障，得10分； </w:t>
            </w:r>
          </w:p>
          <w:p w14:paraId="7681F652">
            <w:pPr>
              <w:numPr>
                <w:ilvl w:val="0"/>
                <w:numId w:val="61"/>
              </w:numPr>
              <w:rPr>
                <w:rFonts w:ascii="楷体" w:hAnsi="楷体" w:eastAsia="楷体" w:cs="楷体"/>
                <w:color w:val="auto"/>
                <w:sz w:val="26"/>
                <w:szCs w:val="26"/>
                <w:highlight w:val="none"/>
              </w:rPr>
            </w:pPr>
            <w:r>
              <w:rPr>
                <w:rFonts w:ascii="楷体" w:hAnsi="楷体" w:eastAsia="楷体" w:cs="楷体"/>
                <w:color w:val="auto"/>
                <w:sz w:val="26"/>
                <w:szCs w:val="26"/>
                <w:highlight w:val="none"/>
              </w:rPr>
              <w:t>对于项目的</w:t>
            </w:r>
            <w:r>
              <w:rPr>
                <w:rFonts w:hint="eastAsia" w:ascii="楷体" w:hAnsi="楷体" w:eastAsia="楷体" w:cs="楷体"/>
                <w:color w:val="auto"/>
                <w:sz w:val="26"/>
                <w:szCs w:val="26"/>
                <w:highlight w:val="none"/>
                <w:lang w:eastAsia="zh-CN"/>
              </w:rPr>
              <w:t>重难点</w:t>
            </w:r>
            <w:r>
              <w:rPr>
                <w:rFonts w:ascii="楷体" w:hAnsi="楷体" w:eastAsia="楷体" w:cs="楷体"/>
                <w:color w:val="auto"/>
                <w:sz w:val="26"/>
                <w:szCs w:val="26"/>
                <w:highlight w:val="none"/>
              </w:rPr>
              <w:t>有较为准确的阐述和理解，结合实际对项目开展提出有一定针对性的意见，得7分；</w:t>
            </w:r>
          </w:p>
          <w:p w14:paraId="1EDBAD21">
            <w:pPr>
              <w:numPr>
                <w:ilvl w:val="0"/>
                <w:numId w:val="61"/>
              </w:numPr>
              <w:rPr>
                <w:rFonts w:ascii="楷体" w:hAnsi="楷体" w:eastAsia="楷体" w:cs="楷体"/>
                <w:color w:val="auto"/>
                <w:sz w:val="26"/>
                <w:szCs w:val="26"/>
                <w:highlight w:val="none"/>
              </w:rPr>
            </w:pPr>
            <w:r>
              <w:rPr>
                <w:rFonts w:ascii="楷体" w:hAnsi="楷体" w:eastAsia="楷体" w:cs="楷体"/>
                <w:color w:val="auto"/>
                <w:sz w:val="26"/>
                <w:szCs w:val="26"/>
                <w:highlight w:val="none"/>
              </w:rPr>
              <w:t>对于项目的</w:t>
            </w:r>
            <w:r>
              <w:rPr>
                <w:rFonts w:hint="eastAsia" w:ascii="楷体" w:hAnsi="楷体" w:eastAsia="楷体" w:cs="楷体"/>
                <w:color w:val="auto"/>
                <w:sz w:val="26"/>
                <w:szCs w:val="26"/>
                <w:highlight w:val="none"/>
                <w:lang w:eastAsia="zh-CN"/>
              </w:rPr>
              <w:t>重难点</w:t>
            </w:r>
            <w:r>
              <w:rPr>
                <w:rFonts w:ascii="楷体" w:hAnsi="楷体" w:eastAsia="楷体" w:cs="楷体"/>
                <w:color w:val="auto"/>
                <w:sz w:val="26"/>
                <w:szCs w:val="26"/>
                <w:highlight w:val="none"/>
              </w:rPr>
              <w:t>的阐述和理解</w:t>
            </w:r>
            <w:r>
              <w:rPr>
                <w:rFonts w:hint="eastAsia" w:ascii="楷体" w:hAnsi="楷体" w:eastAsia="楷体" w:cs="楷体"/>
                <w:color w:val="auto"/>
                <w:sz w:val="26"/>
                <w:szCs w:val="26"/>
                <w:highlight w:val="none"/>
                <w:lang w:val="en-US" w:eastAsia="zh-CN"/>
              </w:rPr>
              <w:t>基本</w:t>
            </w:r>
            <w:r>
              <w:rPr>
                <w:rFonts w:ascii="楷体" w:hAnsi="楷体" w:eastAsia="楷体" w:cs="楷体"/>
                <w:color w:val="auto"/>
                <w:sz w:val="26"/>
                <w:szCs w:val="26"/>
                <w:highlight w:val="none"/>
              </w:rPr>
              <w:t>准确，结合实际对项目开展提出</w:t>
            </w:r>
            <w:r>
              <w:rPr>
                <w:rFonts w:hint="eastAsia" w:ascii="楷体" w:hAnsi="楷体" w:eastAsia="楷体" w:cs="楷体"/>
                <w:color w:val="auto"/>
                <w:sz w:val="26"/>
                <w:szCs w:val="26"/>
                <w:highlight w:val="none"/>
                <w:lang w:val="en-US" w:eastAsia="zh-CN"/>
              </w:rPr>
              <w:t>基本符合实际情况</w:t>
            </w:r>
            <w:r>
              <w:rPr>
                <w:rFonts w:ascii="楷体" w:hAnsi="楷体" w:eastAsia="楷体" w:cs="楷体"/>
                <w:color w:val="auto"/>
                <w:sz w:val="26"/>
                <w:szCs w:val="26"/>
                <w:highlight w:val="none"/>
              </w:rPr>
              <w:t>的意见，得</w:t>
            </w:r>
            <w:r>
              <w:rPr>
                <w:rFonts w:hint="eastAsia" w:ascii="楷体" w:hAnsi="楷体" w:eastAsia="楷体" w:cs="楷体"/>
                <w:color w:val="auto"/>
                <w:sz w:val="26"/>
                <w:szCs w:val="26"/>
                <w:highlight w:val="none"/>
                <w:lang w:val="en-US" w:eastAsia="zh-CN"/>
              </w:rPr>
              <w:t>4</w:t>
            </w:r>
            <w:r>
              <w:rPr>
                <w:rFonts w:ascii="楷体" w:hAnsi="楷体" w:eastAsia="楷体" w:cs="楷体"/>
                <w:color w:val="auto"/>
                <w:sz w:val="26"/>
                <w:szCs w:val="26"/>
                <w:highlight w:val="none"/>
              </w:rPr>
              <w:t>分</w:t>
            </w:r>
            <w:r>
              <w:rPr>
                <w:rFonts w:hint="eastAsia" w:ascii="楷体" w:hAnsi="楷体" w:eastAsia="楷体" w:cs="楷体"/>
                <w:color w:val="auto"/>
                <w:sz w:val="26"/>
                <w:szCs w:val="26"/>
                <w:highlight w:val="none"/>
                <w:lang w:eastAsia="zh-CN"/>
              </w:rPr>
              <w:t>；</w:t>
            </w:r>
          </w:p>
          <w:p w14:paraId="540D5D6D">
            <w:pPr>
              <w:numPr>
                <w:ilvl w:val="0"/>
                <w:numId w:val="61"/>
              </w:numPr>
              <w:rPr>
                <w:rFonts w:ascii="楷体" w:hAnsi="楷体" w:eastAsia="楷体" w:cs="楷体"/>
                <w:color w:val="auto"/>
                <w:sz w:val="26"/>
                <w:szCs w:val="26"/>
                <w:highlight w:val="none"/>
              </w:rPr>
            </w:pPr>
            <w:r>
              <w:rPr>
                <w:rFonts w:ascii="楷体" w:hAnsi="楷体" w:eastAsia="楷体" w:cs="楷体"/>
                <w:color w:val="auto"/>
                <w:sz w:val="26"/>
                <w:szCs w:val="26"/>
                <w:highlight w:val="none"/>
              </w:rPr>
              <w:t>对于项目</w:t>
            </w:r>
            <w:r>
              <w:rPr>
                <w:rFonts w:hint="eastAsia" w:ascii="楷体" w:hAnsi="楷体" w:eastAsia="楷体" w:cs="楷体"/>
                <w:color w:val="auto"/>
                <w:sz w:val="26"/>
                <w:szCs w:val="26"/>
                <w:highlight w:val="none"/>
                <w:lang w:eastAsia="zh-CN"/>
              </w:rPr>
              <w:t>重难点</w:t>
            </w:r>
            <w:r>
              <w:rPr>
                <w:rFonts w:ascii="楷体" w:hAnsi="楷体" w:eastAsia="楷体" w:cs="楷体"/>
                <w:color w:val="auto"/>
                <w:sz w:val="26"/>
                <w:szCs w:val="26"/>
                <w:highlight w:val="none"/>
              </w:rPr>
              <w:t>的阐述与理解有欠缺，</w:t>
            </w:r>
            <w:r>
              <w:rPr>
                <w:rFonts w:hint="eastAsia" w:ascii="楷体" w:hAnsi="楷体" w:eastAsia="楷体" w:cs="楷体"/>
                <w:color w:val="auto"/>
                <w:sz w:val="26"/>
                <w:szCs w:val="26"/>
                <w:highlight w:val="none"/>
                <w:lang w:val="en-US" w:eastAsia="zh-CN"/>
              </w:rPr>
              <w:t>无法结合实际给出解决措施</w:t>
            </w:r>
            <w:r>
              <w:rPr>
                <w:rFonts w:ascii="楷体" w:hAnsi="楷体" w:eastAsia="楷体" w:cs="楷体"/>
                <w:color w:val="auto"/>
                <w:sz w:val="26"/>
                <w:szCs w:val="26"/>
                <w:highlight w:val="none"/>
              </w:rPr>
              <w:t>，</w:t>
            </w:r>
            <w:r>
              <w:rPr>
                <w:rFonts w:hint="eastAsia" w:ascii="楷体" w:hAnsi="楷体" w:eastAsia="楷体" w:cs="楷体"/>
                <w:color w:val="auto"/>
                <w:sz w:val="26"/>
                <w:szCs w:val="26"/>
                <w:highlight w:val="none"/>
              </w:rPr>
              <w:t>不得分</w:t>
            </w:r>
            <w:r>
              <w:rPr>
                <w:rFonts w:ascii="楷体" w:hAnsi="楷体" w:eastAsia="楷体" w:cs="楷体"/>
                <w:color w:val="auto"/>
                <w:sz w:val="26"/>
                <w:szCs w:val="26"/>
                <w:highlight w:val="none"/>
              </w:rPr>
              <w:t xml:space="preserve">； </w:t>
            </w:r>
          </w:p>
          <w:p w14:paraId="1B9992E7">
            <w:pPr>
              <w:numPr>
                <w:ilvl w:val="0"/>
                <w:numId w:val="61"/>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其他或不提供不得分</w:t>
            </w:r>
            <w:r>
              <w:rPr>
                <w:rFonts w:ascii="楷体" w:hAnsi="楷体" w:eastAsia="楷体" w:cs="楷体"/>
                <w:color w:val="auto"/>
                <w:sz w:val="26"/>
                <w:szCs w:val="26"/>
                <w:highlight w:val="none"/>
              </w:rPr>
              <w:t>。</w:t>
            </w:r>
          </w:p>
        </w:tc>
        <w:tc>
          <w:tcPr>
            <w:tcW w:w="773" w:type="dxa"/>
            <w:vAlign w:val="center"/>
          </w:tcPr>
          <w:p w14:paraId="1D21456B">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10</w:t>
            </w:r>
          </w:p>
        </w:tc>
      </w:tr>
      <w:tr w14:paraId="261E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115AC5C">
            <w:pPr>
              <w:widowControl/>
              <w:adjustRightInd w:val="0"/>
              <w:snapToGrid w:val="0"/>
              <w:jc w:val="center"/>
              <w:rPr>
                <w:rFonts w:ascii="楷体" w:hAnsi="楷体" w:eastAsia="楷体" w:cs="楷体"/>
                <w:bCs/>
                <w:color w:val="auto"/>
                <w:kern w:val="0"/>
                <w:sz w:val="26"/>
                <w:szCs w:val="26"/>
                <w:highlight w:val="none"/>
              </w:rPr>
            </w:pPr>
            <w:r>
              <w:rPr>
                <w:rFonts w:hint="eastAsia" w:ascii="楷体" w:hAnsi="楷体" w:eastAsia="楷体" w:cs="楷体"/>
                <w:bCs/>
                <w:color w:val="auto"/>
                <w:kern w:val="0"/>
                <w:sz w:val="26"/>
                <w:szCs w:val="26"/>
                <w:highlight w:val="none"/>
              </w:rPr>
              <w:t>3</w:t>
            </w:r>
          </w:p>
        </w:tc>
        <w:tc>
          <w:tcPr>
            <w:tcW w:w="1388" w:type="dxa"/>
            <w:vAlign w:val="center"/>
          </w:tcPr>
          <w:p w14:paraId="02114D44">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工作进度计划</w:t>
            </w:r>
          </w:p>
        </w:tc>
        <w:tc>
          <w:tcPr>
            <w:tcW w:w="6062" w:type="dxa"/>
            <w:vAlign w:val="center"/>
          </w:tcPr>
          <w:p w14:paraId="541295E6">
            <w:pPr>
              <w:rPr>
                <w:rFonts w:ascii="楷体" w:hAnsi="楷体" w:eastAsia="楷体" w:cs="楷体"/>
                <w:color w:val="auto"/>
                <w:sz w:val="26"/>
                <w:szCs w:val="26"/>
                <w:highlight w:val="none"/>
              </w:rPr>
            </w:pPr>
            <w:r>
              <w:rPr>
                <w:rFonts w:ascii="楷体" w:hAnsi="楷体" w:eastAsia="楷体" w:cs="楷体"/>
                <w:color w:val="auto"/>
                <w:sz w:val="26"/>
                <w:szCs w:val="26"/>
                <w:highlight w:val="none"/>
              </w:rPr>
              <w:t>根据</w:t>
            </w:r>
            <w:r>
              <w:rPr>
                <w:rFonts w:hint="eastAsia" w:ascii="楷体" w:hAnsi="楷体" w:eastAsia="楷体" w:cs="楷体"/>
                <w:color w:val="auto"/>
                <w:sz w:val="26"/>
                <w:szCs w:val="26"/>
                <w:highlight w:val="none"/>
                <w:lang w:val="en-US" w:eastAsia="zh-CN"/>
              </w:rPr>
              <w:t>投标人</w:t>
            </w:r>
            <w:r>
              <w:rPr>
                <w:rFonts w:ascii="楷体" w:hAnsi="楷体" w:eastAsia="楷体" w:cs="楷体"/>
                <w:color w:val="auto"/>
                <w:sz w:val="26"/>
                <w:szCs w:val="26"/>
                <w:highlight w:val="none"/>
              </w:rPr>
              <w:t>提供的</w:t>
            </w:r>
            <w:r>
              <w:rPr>
                <w:rFonts w:hint="eastAsia" w:ascii="楷体" w:hAnsi="楷体" w:eastAsia="楷体" w:cs="楷体"/>
                <w:color w:val="auto"/>
                <w:sz w:val="26"/>
                <w:szCs w:val="26"/>
                <w:highlight w:val="none"/>
                <w:lang w:val="en-US" w:eastAsia="zh-CN"/>
              </w:rPr>
              <w:t>工作进度计划</w:t>
            </w:r>
            <w:r>
              <w:rPr>
                <w:rFonts w:ascii="楷体" w:hAnsi="楷体" w:eastAsia="楷体" w:cs="楷体"/>
                <w:color w:val="auto"/>
                <w:sz w:val="26"/>
                <w:szCs w:val="26"/>
                <w:highlight w:val="none"/>
              </w:rPr>
              <w:t>进行综合</w:t>
            </w:r>
            <w:r>
              <w:rPr>
                <w:rFonts w:hint="eastAsia" w:ascii="楷体" w:hAnsi="楷体" w:eastAsia="楷体" w:cs="楷体"/>
                <w:color w:val="auto"/>
                <w:sz w:val="26"/>
                <w:szCs w:val="26"/>
                <w:highlight w:val="none"/>
                <w:lang w:val="en-US" w:eastAsia="zh-CN"/>
              </w:rPr>
              <w:t>评审</w:t>
            </w:r>
            <w:r>
              <w:rPr>
                <w:rFonts w:ascii="楷体" w:hAnsi="楷体" w:eastAsia="楷体" w:cs="楷体"/>
                <w:color w:val="auto"/>
                <w:sz w:val="26"/>
                <w:szCs w:val="26"/>
                <w:highlight w:val="none"/>
              </w:rPr>
              <w:t xml:space="preserve">： </w:t>
            </w:r>
          </w:p>
          <w:p w14:paraId="006B9573">
            <w:pPr>
              <w:numPr>
                <w:ilvl w:val="0"/>
                <w:numId w:val="62"/>
              </w:numPr>
              <w:rPr>
                <w:rFonts w:ascii="楷体" w:hAnsi="楷体" w:eastAsia="楷体" w:cs="楷体"/>
                <w:color w:val="auto"/>
                <w:sz w:val="26"/>
                <w:szCs w:val="26"/>
                <w:highlight w:val="none"/>
              </w:rPr>
            </w:pPr>
            <w:r>
              <w:rPr>
                <w:rFonts w:ascii="楷体" w:hAnsi="楷体" w:eastAsia="楷体" w:cs="楷体"/>
                <w:color w:val="auto"/>
                <w:sz w:val="26"/>
                <w:szCs w:val="26"/>
                <w:highlight w:val="none"/>
              </w:rPr>
              <w:t>项目进度</w:t>
            </w:r>
            <w:r>
              <w:rPr>
                <w:rFonts w:hint="eastAsia" w:ascii="楷体" w:hAnsi="楷体" w:eastAsia="楷体" w:cs="楷体"/>
                <w:color w:val="auto"/>
                <w:sz w:val="26"/>
                <w:szCs w:val="26"/>
                <w:highlight w:val="none"/>
                <w:lang w:val="en-US" w:eastAsia="zh-CN"/>
              </w:rPr>
              <w:t>计划</w:t>
            </w:r>
            <w:r>
              <w:rPr>
                <w:rFonts w:ascii="楷体" w:hAnsi="楷体" w:eastAsia="楷体" w:cs="楷体"/>
                <w:color w:val="auto"/>
                <w:sz w:val="26"/>
                <w:szCs w:val="26"/>
                <w:highlight w:val="none"/>
              </w:rPr>
              <w:t>针对性强、具有很好</w:t>
            </w:r>
            <w:r>
              <w:rPr>
                <w:rFonts w:hint="eastAsia" w:ascii="楷体" w:hAnsi="楷体" w:eastAsia="楷体" w:cs="楷体"/>
                <w:color w:val="auto"/>
                <w:sz w:val="26"/>
                <w:szCs w:val="26"/>
                <w:highlight w:val="none"/>
                <w:lang w:val="en-US" w:eastAsia="zh-CN"/>
              </w:rPr>
              <w:t>的</w:t>
            </w:r>
            <w:r>
              <w:rPr>
                <w:rFonts w:ascii="楷体" w:hAnsi="楷体" w:eastAsia="楷体" w:cs="楷体"/>
                <w:color w:val="auto"/>
                <w:sz w:val="26"/>
                <w:szCs w:val="26"/>
                <w:highlight w:val="none"/>
              </w:rPr>
              <w:t xml:space="preserve">科学性，工作进度能做到事前有方案、事中有监管、事后有评估，进度安排合理，得10分； </w:t>
            </w:r>
          </w:p>
          <w:p w14:paraId="7170F6EE">
            <w:pPr>
              <w:numPr>
                <w:ilvl w:val="0"/>
                <w:numId w:val="62"/>
              </w:numPr>
              <w:rPr>
                <w:rFonts w:ascii="楷体" w:hAnsi="楷体" w:eastAsia="楷体" w:cs="楷体"/>
                <w:color w:val="auto"/>
                <w:sz w:val="26"/>
                <w:szCs w:val="26"/>
                <w:highlight w:val="none"/>
              </w:rPr>
            </w:pPr>
            <w:r>
              <w:rPr>
                <w:rFonts w:ascii="楷体" w:hAnsi="楷体" w:eastAsia="楷体" w:cs="楷体"/>
                <w:color w:val="auto"/>
                <w:sz w:val="26"/>
                <w:szCs w:val="26"/>
                <w:highlight w:val="none"/>
              </w:rPr>
              <w:t>项目进度</w:t>
            </w:r>
            <w:r>
              <w:rPr>
                <w:rFonts w:hint="eastAsia" w:ascii="楷体" w:hAnsi="楷体" w:eastAsia="楷体" w:cs="楷体"/>
                <w:color w:val="auto"/>
                <w:sz w:val="26"/>
                <w:szCs w:val="26"/>
                <w:highlight w:val="none"/>
                <w:lang w:val="en-US" w:eastAsia="zh-CN"/>
              </w:rPr>
              <w:t>计划</w:t>
            </w:r>
            <w:r>
              <w:rPr>
                <w:rFonts w:ascii="楷体" w:hAnsi="楷体" w:eastAsia="楷体" w:cs="楷体"/>
                <w:color w:val="auto"/>
                <w:sz w:val="26"/>
                <w:szCs w:val="26"/>
                <w:highlight w:val="none"/>
              </w:rPr>
              <w:t xml:space="preserve">针对性较强、工作进度基本能做到事前有方案、事中有监管、事后有评估，进度安排较合理，得7分； </w:t>
            </w:r>
          </w:p>
          <w:p w14:paraId="69B654F7">
            <w:pPr>
              <w:numPr>
                <w:ilvl w:val="0"/>
                <w:numId w:val="62"/>
              </w:numPr>
              <w:rPr>
                <w:rFonts w:ascii="楷体" w:hAnsi="楷体" w:eastAsia="楷体" w:cs="楷体"/>
                <w:color w:val="auto"/>
                <w:sz w:val="26"/>
                <w:szCs w:val="26"/>
                <w:highlight w:val="none"/>
              </w:rPr>
            </w:pPr>
            <w:r>
              <w:rPr>
                <w:rFonts w:ascii="楷体" w:hAnsi="楷体" w:eastAsia="楷体" w:cs="楷体"/>
                <w:color w:val="auto"/>
                <w:sz w:val="26"/>
                <w:szCs w:val="26"/>
                <w:highlight w:val="none"/>
              </w:rPr>
              <w:t>项目进度</w:t>
            </w:r>
            <w:r>
              <w:rPr>
                <w:rFonts w:hint="eastAsia" w:ascii="楷体" w:hAnsi="楷体" w:eastAsia="楷体" w:cs="楷体"/>
                <w:color w:val="auto"/>
                <w:sz w:val="26"/>
                <w:szCs w:val="26"/>
                <w:highlight w:val="none"/>
                <w:lang w:val="en-US" w:eastAsia="zh-CN"/>
              </w:rPr>
              <w:t>计划</w:t>
            </w:r>
            <w:r>
              <w:rPr>
                <w:rFonts w:ascii="楷体" w:hAnsi="楷体" w:eastAsia="楷体" w:cs="楷体"/>
                <w:color w:val="auto"/>
                <w:sz w:val="26"/>
                <w:szCs w:val="26"/>
                <w:highlight w:val="none"/>
              </w:rPr>
              <w:t>针对性差、工作进度一般能做到事前有方案、事中有监管、事后有评估，进度安排</w:t>
            </w:r>
            <w:r>
              <w:rPr>
                <w:rFonts w:hint="eastAsia" w:ascii="楷体" w:hAnsi="楷体" w:eastAsia="楷体" w:cs="楷体"/>
                <w:color w:val="auto"/>
                <w:sz w:val="26"/>
                <w:szCs w:val="26"/>
                <w:highlight w:val="none"/>
                <w:lang w:val="en-US" w:eastAsia="zh-CN"/>
              </w:rPr>
              <w:t>基本</w:t>
            </w:r>
            <w:r>
              <w:rPr>
                <w:rFonts w:ascii="楷体" w:hAnsi="楷体" w:eastAsia="楷体" w:cs="楷体"/>
                <w:color w:val="auto"/>
                <w:sz w:val="26"/>
                <w:szCs w:val="26"/>
                <w:highlight w:val="none"/>
              </w:rPr>
              <w:t>合理</w:t>
            </w:r>
            <w:r>
              <w:rPr>
                <w:rFonts w:hint="eastAsia" w:ascii="楷体" w:hAnsi="楷体" w:eastAsia="楷体" w:cs="楷体"/>
                <w:color w:val="auto"/>
                <w:sz w:val="26"/>
                <w:szCs w:val="26"/>
                <w:highlight w:val="none"/>
                <w:lang w:val="en-US" w:eastAsia="zh-CN"/>
              </w:rPr>
              <w:t>性，</w:t>
            </w:r>
            <w:r>
              <w:rPr>
                <w:rFonts w:ascii="楷体" w:hAnsi="楷体" w:eastAsia="楷体" w:cs="楷体"/>
                <w:color w:val="auto"/>
                <w:sz w:val="26"/>
                <w:szCs w:val="26"/>
                <w:highlight w:val="none"/>
              </w:rPr>
              <w:t>得</w:t>
            </w:r>
            <w:r>
              <w:rPr>
                <w:rFonts w:hint="eastAsia" w:ascii="楷体" w:hAnsi="楷体" w:eastAsia="楷体" w:cs="楷体"/>
                <w:color w:val="auto"/>
                <w:sz w:val="26"/>
                <w:szCs w:val="26"/>
                <w:highlight w:val="none"/>
                <w:lang w:val="en-US" w:eastAsia="zh-CN"/>
              </w:rPr>
              <w:t>3</w:t>
            </w:r>
            <w:r>
              <w:rPr>
                <w:rFonts w:ascii="楷体" w:hAnsi="楷体" w:eastAsia="楷体" w:cs="楷体"/>
                <w:color w:val="auto"/>
                <w:sz w:val="26"/>
                <w:szCs w:val="26"/>
                <w:highlight w:val="none"/>
              </w:rPr>
              <w:t xml:space="preserve">分； </w:t>
            </w:r>
          </w:p>
          <w:p w14:paraId="0FCBC6E3">
            <w:pPr>
              <w:numPr>
                <w:ilvl w:val="0"/>
                <w:numId w:val="62"/>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其他或不提供不得分</w:t>
            </w:r>
            <w:r>
              <w:rPr>
                <w:rFonts w:ascii="楷体" w:hAnsi="楷体" w:eastAsia="楷体" w:cs="楷体"/>
                <w:color w:val="auto"/>
                <w:sz w:val="26"/>
                <w:szCs w:val="26"/>
                <w:highlight w:val="none"/>
              </w:rPr>
              <w:t>。</w:t>
            </w:r>
          </w:p>
        </w:tc>
        <w:tc>
          <w:tcPr>
            <w:tcW w:w="773" w:type="dxa"/>
            <w:vAlign w:val="center"/>
          </w:tcPr>
          <w:p w14:paraId="049B4E58">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10</w:t>
            </w:r>
          </w:p>
        </w:tc>
      </w:tr>
      <w:tr w14:paraId="0EEE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83A3A56">
            <w:pPr>
              <w:widowControl/>
              <w:adjustRightInd w:val="0"/>
              <w:snapToGrid w:val="0"/>
              <w:jc w:val="center"/>
              <w:rPr>
                <w:rFonts w:hint="eastAsia" w:ascii="楷体" w:hAnsi="楷体" w:eastAsia="楷体" w:cs="楷体"/>
                <w:bCs/>
                <w:color w:val="auto"/>
                <w:kern w:val="0"/>
                <w:sz w:val="26"/>
                <w:szCs w:val="26"/>
                <w:highlight w:val="none"/>
                <w:lang w:val="en-US" w:eastAsia="zh-CN"/>
              </w:rPr>
            </w:pPr>
            <w:r>
              <w:rPr>
                <w:rFonts w:hint="eastAsia" w:ascii="楷体" w:hAnsi="楷体" w:eastAsia="楷体" w:cs="楷体"/>
                <w:bCs/>
                <w:color w:val="auto"/>
                <w:kern w:val="0"/>
                <w:sz w:val="26"/>
                <w:szCs w:val="26"/>
                <w:highlight w:val="none"/>
                <w:lang w:val="en-US" w:eastAsia="zh-CN"/>
              </w:rPr>
              <w:t>4</w:t>
            </w:r>
          </w:p>
        </w:tc>
        <w:tc>
          <w:tcPr>
            <w:tcW w:w="1388" w:type="dxa"/>
            <w:vAlign w:val="center"/>
          </w:tcPr>
          <w:p w14:paraId="7452FE40">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项目质量保障措施</w:t>
            </w:r>
          </w:p>
        </w:tc>
        <w:tc>
          <w:tcPr>
            <w:tcW w:w="6062" w:type="dxa"/>
            <w:vAlign w:val="center"/>
          </w:tcPr>
          <w:p w14:paraId="30C760E2">
            <w:pPr>
              <w:rPr>
                <w:rFonts w:ascii="楷体" w:hAnsi="楷体" w:eastAsia="楷体" w:cs="楷体"/>
                <w:color w:val="auto"/>
                <w:sz w:val="26"/>
                <w:szCs w:val="26"/>
                <w:highlight w:val="none"/>
              </w:rPr>
            </w:pPr>
            <w:r>
              <w:rPr>
                <w:rFonts w:ascii="楷体" w:hAnsi="楷体" w:eastAsia="楷体" w:cs="楷体"/>
                <w:color w:val="auto"/>
                <w:sz w:val="26"/>
                <w:szCs w:val="26"/>
                <w:highlight w:val="none"/>
              </w:rPr>
              <w:t>根据</w:t>
            </w:r>
            <w:r>
              <w:rPr>
                <w:rFonts w:hint="eastAsia" w:ascii="楷体" w:hAnsi="楷体" w:eastAsia="楷体" w:cs="楷体"/>
                <w:color w:val="auto"/>
                <w:sz w:val="26"/>
                <w:szCs w:val="26"/>
                <w:highlight w:val="none"/>
                <w:lang w:val="en-US" w:eastAsia="zh-CN"/>
              </w:rPr>
              <w:t>投标人</w:t>
            </w:r>
            <w:r>
              <w:rPr>
                <w:rFonts w:ascii="楷体" w:hAnsi="楷体" w:eastAsia="楷体" w:cs="楷体"/>
                <w:color w:val="auto"/>
                <w:sz w:val="26"/>
                <w:szCs w:val="26"/>
                <w:highlight w:val="none"/>
              </w:rPr>
              <w:t>提供的</w:t>
            </w:r>
            <w:r>
              <w:rPr>
                <w:rFonts w:hint="eastAsia" w:ascii="楷体" w:hAnsi="楷体" w:eastAsia="楷体" w:cs="楷体"/>
                <w:color w:val="auto"/>
                <w:sz w:val="26"/>
                <w:szCs w:val="26"/>
                <w:highlight w:val="none"/>
                <w:lang w:val="en-US" w:eastAsia="zh-CN"/>
              </w:rPr>
              <w:t>项目质量保障措施（包括但不限于</w:t>
            </w:r>
            <w:r>
              <w:rPr>
                <w:rFonts w:ascii="楷体" w:hAnsi="楷体" w:eastAsia="楷体" w:cs="楷体"/>
                <w:color w:val="auto"/>
                <w:sz w:val="26"/>
                <w:szCs w:val="26"/>
                <w:highlight w:val="none"/>
              </w:rPr>
              <w:t>预期目标和成果提交</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lang w:val="en-US" w:eastAsia="zh-CN"/>
              </w:rPr>
              <w:t>各级成果审查的保障措施、服务响应速度等）</w:t>
            </w:r>
            <w:r>
              <w:rPr>
                <w:rFonts w:ascii="楷体" w:hAnsi="楷体" w:eastAsia="楷体" w:cs="楷体"/>
                <w:color w:val="auto"/>
                <w:sz w:val="26"/>
                <w:szCs w:val="26"/>
                <w:highlight w:val="none"/>
              </w:rPr>
              <w:t>进行综合</w:t>
            </w:r>
            <w:r>
              <w:rPr>
                <w:rFonts w:hint="eastAsia" w:ascii="楷体" w:hAnsi="楷体" w:eastAsia="楷体" w:cs="楷体"/>
                <w:color w:val="auto"/>
                <w:sz w:val="26"/>
                <w:szCs w:val="26"/>
                <w:highlight w:val="none"/>
                <w:lang w:val="en-US" w:eastAsia="zh-CN"/>
              </w:rPr>
              <w:t>评审</w:t>
            </w:r>
            <w:r>
              <w:rPr>
                <w:rFonts w:ascii="楷体" w:hAnsi="楷体" w:eastAsia="楷体" w:cs="楷体"/>
                <w:color w:val="auto"/>
                <w:sz w:val="26"/>
                <w:szCs w:val="26"/>
                <w:highlight w:val="none"/>
              </w:rPr>
              <w:t xml:space="preserve">： </w:t>
            </w:r>
          </w:p>
          <w:p w14:paraId="133B5B42">
            <w:pPr>
              <w:numPr>
                <w:ilvl w:val="0"/>
                <w:numId w:val="63"/>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项目质量保障措施具体完整</w:t>
            </w:r>
            <w:r>
              <w:rPr>
                <w:rFonts w:ascii="楷体" w:hAnsi="楷体" w:eastAsia="楷体" w:cs="楷体"/>
                <w:color w:val="auto"/>
                <w:sz w:val="26"/>
                <w:szCs w:val="26"/>
                <w:highlight w:val="none"/>
              </w:rPr>
              <w:t>、科学性</w:t>
            </w:r>
            <w:r>
              <w:rPr>
                <w:rFonts w:hint="eastAsia" w:ascii="楷体" w:hAnsi="楷体" w:eastAsia="楷体" w:cs="楷体"/>
                <w:color w:val="auto"/>
                <w:sz w:val="26"/>
                <w:szCs w:val="26"/>
                <w:highlight w:val="none"/>
                <w:lang w:val="en-US" w:eastAsia="zh-CN"/>
              </w:rPr>
              <w:t>高，</w:t>
            </w:r>
            <w:r>
              <w:rPr>
                <w:rFonts w:ascii="楷体" w:hAnsi="楷体" w:eastAsia="楷体" w:cs="楷体"/>
                <w:color w:val="auto"/>
                <w:sz w:val="26"/>
                <w:szCs w:val="26"/>
                <w:highlight w:val="none"/>
              </w:rPr>
              <w:t>预期目标和成果提交非常详细，</w:t>
            </w:r>
            <w:r>
              <w:rPr>
                <w:rFonts w:hint="eastAsia" w:ascii="楷体" w:hAnsi="楷体" w:eastAsia="楷体" w:cs="楷体"/>
                <w:color w:val="auto"/>
                <w:sz w:val="26"/>
                <w:szCs w:val="26"/>
                <w:highlight w:val="none"/>
                <w:lang w:val="en-US" w:eastAsia="zh-CN"/>
              </w:rPr>
              <w:t>各级成果审查的保障措施清晰合理，</w:t>
            </w:r>
            <w:r>
              <w:rPr>
                <w:rFonts w:ascii="楷体" w:hAnsi="楷体" w:eastAsia="楷体" w:cs="楷体"/>
                <w:color w:val="auto"/>
                <w:sz w:val="26"/>
                <w:szCs w:val="26"/>
                <w:highlight w:val="none"/>
              </w:rPr>
              <w:t xml:space="preserve">得10分； </w:t>
            </w:r>
          </w:p>
          <w:p w14:paraId="64C4B4C0">
            <w:pPr>
              <w:numPr>
                <w:ilvl w:val="0"/>
                <w:numId w:val="63"/>
              </w:numP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项目质量保障措施较具体完整</w:t>
            </w:r>
            <w:r>
              <w:rPr>
                <w:rFonts w:ascii="楷体" w:hAnsi="楷体" w:eastAsia="楷体" w:cs="楷体"/>
                <w:color w:val="auto"/>
                <w:sz w:val="26"/>
                <w:szCs w:val="26"/>
                <w:highlight w:val="none"/>
              </w:rPr>
              <w:t>、</w:t>
            </w:r>
            <w:r>
              <w:rPr>
                <w:rFonts w:hint="eastAsia" w:ascii="楷体" w:hAnsi="楷体" w:eastAsia="楷体" w:cs="楷体"/>
                <w:color w:val="auto"/>
                <w:sz w:val="26"/>
                <w:szCs w:val="26"/>
                <w:highlight w:val="none"/>
                <w:lang w:val="en-US" w:eastAsia="zh-CN"/>
              </w:rPr>
              <w:t>具有一定</w:t>
            </w:r>
            <w:r>
              <w:rPr>
                <w:rFonts w:ascii="楷体" w:hAnsi="楷体" w:eastAsia="楷体" w:cs="楷体"/>
                <w:color w:val="auto"/>
                <w:sz w:val="26"/>
                <w:szCs w:val="26"/>
                <w:highlight w:val="none"/>
              </w:rPr>
              <w:t>科学性</w:t>
            </w:r>
            <w:r>
              <w:rPr>
                <w:rFonts w:hint="eastAsia" w:ascii="楷体" w:hAnsi="楷体" w:eastAsia="楷体" w:cs="楷体"/>
                <w:color w:val="auto"/>
                <w:sz w:val="26"/>
                <w:szCs w:val="26"/>
                <w:highlight w:val="none"/>
                <w:lang w:val="en-US" w:eastAsia="zh-CN"/>
              </w:rPr>
              <w:t>，</w:t>
            </w:r>
            <w:r>
              <w:rPr>
                <w:rFonts w:ascii="楷体" w:hAnsi="楷体" w:eastAsia="楷体" w:cs="楷体"/>
                <w:color w:val="auto"/>
                <w:sz w:val="26"/>
                <w:szCs w:val="26"/>
                <w:highlight w:val="none"/>
              </w:rPr>
              <w:t>预期目标和成果</w:t>
            </w:r>
            <w:r>
              <w:rPr>
                <w:rFonts w:hint="eastAsia" w:ascii="楷体" w:hAnsi="楷体" w:eastAsia="楷体" w:cs="楷体"/>
                <w:color w:val="auto"/>
                <w:sz w:val="26"/>
                <w:szCs w:val="26"/>
                <w:highlight w:val="none"/>
                <w:lang w:val="en-US" w:eastAsia="zh-CN"/>
              </w:rPr>
              <w:t>较</w:t>
            </w:r>
            <w:r>
              <w:rPr>
                <w:rFonts w:ascii="楷体" w:hAnsi="楷体" w:eastAsia="楷体" w:cs="楷体"/>
                <w:color w:val="auto"/>
                <w:sz w:val="26"/>
                <w:szCs w:val="26"/>
                <w:highlight w:val="none"/>
              </w:rPr>
              <w:t>详细，</w:t>
            </w:r>
            <w:r>
              <w:rPr>
                <w:rFonts w:hint="eastAsia" w:ascii="楷体" w:hAnsi="楷体" w:eastAsia="楷体" w:cs="楷体"/>
                <w:color w:val="auto"/>
                <w:sz w:val="26"/>
                <w:szCs w:val="26"/>
                <w:highlight w:val="none"/>
                <w:lang w:val="en-US" w:eastAsia="zh-CN"/>
              </w:rPr>
              <w:t>各级成果审查的保障措施较清晰合理，</w:t>
            </w:r>
            <w:r>
              <w:rPr>
                <w:rFonts w:ascii="楷体" w:hAnsi="楷体" w:eastAsia="楷体" w:cs="楷体"/>
                <w:color w:val="auto"/>
                <w:sz w:val="26"/>
                <w:szCs w:val="26"/>
                <w:highlight w:val="none"/>
              </w:rPr>
              <w:t xml:space="preserve">得7分； </w:t>
            </w:r>
          </w:p>
          <w:p w14:paraId="0AA9555B">
            <w:pPr>
              <w:numPr>
                <w:ilvl w:val="0"/>
                <w:numId w:val="63"/>
              </w:numPr>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项目质量保障措施部分完整</w:t>
            </w:r>
            <w:r>
              <w:rPr>
                <w:rFonts w:ascii="楷体" w:hAnsi="楷体" w:eastAsia="楷体" w:cs="楷体"/>
                <w:color w:val="auto"/>
                <w:sz w:val="26"/>
                <w:szCs w:val="26"/>
                <w:highlight w:val="none"/>
              </w:rPr>
              <w:t>、科学性</w:t>
            </w:r>
            <w:r>
              <w:rPr>
                <w:rFonts w:hint="eastAsia" w:ascii="楷体" w:hAnsi="楷体" w:eastAsia="楷体" w:cs="楷体"/>
                <w:color w:val="auto"/>
                <w:sz w:val="26"/>
                <w:szCs w:val="26"/>
                <w:highlight w:val="none"/>
                <w:lang w:val="en-US" w:eastAsia="zh-CN"/>
              </w:rPr>
              <w:t>一般，</w:t>
            </w:r>
            <w:r>
              <w:rPr>
                <w:rFonts w:ascii="楷体" w:hAnsi="楷体" w:eastAsia="楷体" w:cs="楷体"/>
                <w:color w:val="auto"/>
                <w:sz w:val="26"/>
                <w:szCs w:val="26"/>
                <w:highlight w:val="none"/>
              </w:rPr>
              <w:t>预期目标和成果提交</w:t>
            </w:r>
            <w:r>
              <w:rPr>
                <w:rFonts w:hint="eastAsia" w:ascii="楷体" w:hAnsi="楷体" w:eastAsia="楷体" w:cs="楷体"/>
                <w:color w:val="auto"/>
                <w:sz w:val="26"/>
                <w:szCs w:val="26"/>
                <w:highlight w:val="none"/>
                <w:lang w:val="en-US" w:eastAsia="zh-CN"/>
              </w:rPr>
              <w:t>基本详细</w:t>
            </w:r>
            <w:r>
              <w:rPr>
                <w:rFonts w:ascii="楷体" w:hAnsi="楷体" w:eastAsia="楷体" w:cs="楷体"/>
                <w:color w:val="auto"/>
                <w:sz w:val="26"/>
                <w:szCs w:val="26"/>
                <w:highlight w:val="none"/>
              </w:rPr>
              <w:t>，</w:t>
            </w:r>
            <w:r>
              <w:rPr>
                <w:rFonts w:hint="eastAsia" w:ascii="楷体" w:hAnsi="楷体" w:eastAsia="楷体" w:cs="楷体"/>
                <w:color w:val="auto"/>
                <w:sz w:val="26"/>
                <w:szCs w:val="26"/>
                <w:highlight w:val="none"/>
                <w:lang w:val="en-US" w:eastAsia="zh-CN"/>
              </w:rPr>
              <w:t>各级成果审查的保障措施合理性一般，</w:t>
            </w:r>
            <w:r>
              <w:rPr>
                <w:rFonts w:ascii="楷体" w:hAnsi="楷体" w:eastAsia="楷体" w:cs="楷体"/>
                <w:color w:val="auto"/>
                <w:sz w:val="26"/>
                <w:szCs w:val="26"/>
                <w:highlight w:val="none"/>
              </w:rPr>
              <w:t>得</w:t>
            </w:r>
            <w:r>
              <w:rPr>
                <w:rFonts w:hint="eastAsia" w:ascii="楷体" w:hAnsi="楷体" w:eastAsia="楷体" w:cs="楷体"/>
                <w:color w:val="auto"/>
                <w:sz w:val="26"/>
                <w:szCs w:val="26"/>
                <w:highlight w:val="none"/>
                <w:lang w:val="en-US" w:eastAsia="zh-CN"/>
              </w:rPr>
              <w:t>3</w:t>
            </w:r>
            <w:r>
              <w:rPr>
                <w:rFonts w:ascii="楷体" w:hAnsi="楷体" w:eastAsia="楷体" w:cs="楷体"/>
                <w:color w:val="auto"/>
                <w:sz w:val="26"/>
                <w:szCs w:val="26"/>
                <w:highlight w:val="none"/>
              </w:rPr>
              <w:t xml:space="preserve">分； </w:t>
            </w:r>
          </w:p>
          <w:p w14:paraId="580001A9">
            <w:pPr>
              <w:numPr>
                <w:ilvl w:val="0"/>
                <w:numId w:val="63"/>
              </w:numPr>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其他或不提供不得分</w:t>
            </w:r>
            <w:r>
              <w:rPr>
                <w:rFonts w:ascii="楷体" w:hAnsi="楷体" w:eastAsia="楷体" w:cs="楷体"/>
                <w:color w:val="auto"/>
                <w:sz w:val="26"/>
                <w:szCs w:val="26"/>
                <w:highlight w:val="none"/>
              </w:rPr>
              <w:t>。</w:t>
            </w:r>
          </w:p>
        </w:tc>
        <w:tc>
          <w:tcPr>
            <w:tcW w:w="773" w:type="dxa"/>
            <w:vAlign w:val="center"/>
          </w:tcPr>
          <w:p w14:paraId="3B57C5BA">
            <w:pPr>
              <w:jc w:val="center"/>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10</w:t>
            </w:r>
          </w:p>
        </w:tc>
      </w:tr>
      <w:tr w14:paraId="303B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142" w:type="dxa"/>
            <w:gridSpan w:val="3"/>
            <w:shd w:val="clear" w:color="auto" w:fill="EAEAEA"/>
            <w:vAlign w:val="center"/>
          </w:tcPr>
          <w:p w14:paraId="645197AE">
            <w:pPr>
              <w:widowControl/>
              <w:adjustRightInd w:val="0"/>
              <w:snapToGrid w:val="0"/>
              <w:jc w:val="center"/>
              <w:rPr>
                <w:rFonts w:ascii="楷体" w:hAnsi="楷体" w:eastAsia="楷体" w:cs="楷体"/>
                <w:b/>
                <w:color w:val="auto"/>
                <w:kern w:val="0"/>
                <w:sz w:val="26"/>
                <w:szCs w:val="26"/>
                <w:highlight w:val="none"/>
              </w:rPr>
            </w:pPr>
            <w:r>
              <w:rPr>
                <w:rFonts w:hint="eastAsia" w:ascii="楷体" w:hAnsi="楷体" w:eastAsia="楷体" w:cs="楷体"/>
                <w:b/>
                <w:color w:val="auto"/>
                <w:kern w:val="0"/>
                <w:sz w:val="26"/>
                <w:szCs w:val="26"/>
                <w:highlight w:val="none"/>
              </w:rPr>
              <w:t>合计</w:t>
            </w:r>
          </w:p>
        </w:tc>
        <w:tc>
          <w:tcPr>
            <w:tcW w:w="773" w:type="dxa"/>
            <w:shd w:val="clear" w:color="auto" w:fill="EAEAEA"/>
            <w:vAlign w:val="center"/>
          </w:tcPr>
          <w:p w14:paraId="1557C106">
            <w:pPr>
              <w:widowControl/>
              <w:adjustRightInd w:val="0"/>
              <w:snapToGrid w:val="0"/>
              <w:jc w:val="center"/>
              <w:rPr>
                <w:rFonts w:ascii="楷体" w:hAnsi="楷体" w:eastAsia="楷体" w:cs="楷体"/>
                <w:b/>
                <w:color w:val="auto"/>
                <w:kern w:val="0"/>
                <w:sz w:val="26"/>
                <w:szCs w:val="26"/>
                <w:highlight w:val="none"/>
              </w:rPr>
            </w:pPr>
            <w:r>
              <w:rPr>
                <w:rFonts w:hint="eastAsia" w:ascii="楷体" w:hAnsi="楷体" w:eastAsia="楷体" w:cs="楷体"/>
                <w:b/>
                <w:color w:val="auto"/>
                <w:kern w:val="0"/>
                <w:sz w:val="26"/>
                <w:szCs w:val="26"/>
                <w:highlight w:val="none"/>
                <w:lang w:val="en-US" w:eastAsia="zh-CN"/>
              </w:rPr>
              <w:t>45</w:t>
            </w:r>
            <w:r>
              <w:rPr>
                <w:rFonts w:hint="eastAsia" w:ascii="楷体" w:hAnsi="楷体" w:eastAsia="楷体" w:cs="楷体"/>
                <w:b/>
                <w:color w:val="auto"/>
                <w:kern w:val="0"/>
                <w:sz w:val="26"/>
                <w:szCs w:val="26"/>
                <w:highlight w:val="none"/>
              </w:rPr>
              <w:t>分</w:t>
            </w:r>
          </w:p>
        </w:tc>
      </w:tr>
    </w:tbl>
    <w:p w14:paraId="22559C7A">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备注：上表中要求提供佐证材料的，投标人必须提供，否则计0分。（得分四舍五入后，小数点后保留两位有效数）</w:t>
      </w:r>
    </w:p>
    <w:p w14:paraId="32BF976C">
      <w:pPr>
        <w:adjustRightInd w:val="0"/>
        <w:snapToGrid w:val="0"/>
        <w:rPr>
          <w:rFonts w:ascii="楷体" w:hAnsi="楷体" w:eastAsia="楷体" w:cs="楷体"/>
          <w:b/>
          <w:color w:val="auto"/>
          <w:sz w:val="26"/>
          <w:szCs w:val="26"/>
          <w:highlight w:val="none"/>
        </w:rPr>
      </w:pPr>
    </w:p>
    <w:p w14:paraId="720615DE">
      <w:pPr>
        <w:adjustRightInd w:val="0"/>
        <w:snapToGrid w:val="0"/>
        <w:rPr>
          <w:rFonts w:ascii="楷体" w:hAnsi="楷体" w:eastAsia="楷体" w:cs="楷体"/>
          <w:b/>
          <w:color w:val="auto"/>
          <w:sz w:val="26"/>
          <w:szCs w:val="26"/>
          <w:highlight w:val="none"/>
        </w:rPr>
      </w:pPr>
      <w:r>
        <w:rPr>
          <w:rFonts w:hint="eastAsia" w:ascii="楷体" w:hAnsi="楷体" w:eastAsia="楷体" w:cs="楷体"/>
          <w:b/>
          <w:color w:val="auto"/>
          <w:sz w:val="26"/>
          <w:szCs w:val="26"/>
          <w:highlight w:val="none"/>
        </w:rPr>
        <w:t>附表5：价格评审</w:t>
      </w:r>
      <w:bookmarkEnd w:id="299"/>
      <w:bookmarkEnd w:id="300"/>
    </w:p>
    <w:tbl>
      <w:tblPr>
        <w:tblStyle w:val="44"/>
        <w:tblW w:w="90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907"/>
        <w:gridCol w:w="6538"/>
        <w:gridCol w:w="797"/>
      </w:tblGrid>
      <w:tr w14:paraId="0BB87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12" w:space="0"/>
              <w:bottom w:val="single" w:color="000000" w:sz="4" w:space="0"/>
            </w:tcBorders>
            <w:shd w:val="clear" w:color="auto" w:fill="D9D9D9"/>
            <w:vAlign w:val="center"/>
          </w:tcPr>
          <w:p w14:paraId="2A62D688">
            <w:pPr>
              <w:adjustRightInd w:val="0"/>
              <w:snapToGrid w:val="0"/>
              <w:jc w:val="center"/>
              <w:rPr>
                <w:rFonts w:ascii="楷体" w:hAnsi="楷体" w:eastAsia="楷体" w:cs="楷体"/>
                <w:color w:val="auto"/>
                <w:sz w:val="26"/>
                <w:szCs w:val="26"/>
                <w:highlight w:val="none"/>
              </w:rPr>
            </w:pPr>
            <w:r>
              <w:rPr>
                <w:rFonts w:hint="eastAsia" w:ascii="楷体" w:hAnsi="楷体" w:eastAsia="楷体" w:cs="楷体"/>
                <w:b/>
                <w:color w:val="auto"/>
                <w:sz w:val="26"/>
                <w:szCs w:val="26"/>
                <w:highlight w:val="none"/>
              </w:rPr>
              <w:t>序号</w:t>
            </w:r>
          </w:p>
        </w:tc>
        <w:tc>
          <w:tcPr>
            <w:tcW w:w="907" w:type="dxa"/>
            <w:tcBorders>
              <w:top w:val="single" w:color="000000" w:sz="12" w:space="0"/>
              <w:bottom w:val="single" w:color="000000" w:sz="4" w:space="0"/>
            </w:tcBorders>
            <w:shd w:val="clear" w:color="auto" w:fill="D9D9D9"/>
            <w:vAlign w:val="center"/>
          </w:tcPr>
          <w:p w14:paraId="6D5DE20B">
            <w:pPr>
              <w:adjustRightInd w:val="0"/>
              <w:snapToGrid w:val="0"/>
              <w:jc w:val="center"/>
              <w:rPr>
                <w:rFonts w:ascii="楷体" w:hAnsi="楷体" w:eastAsia="楷体" w:cs="楷体"/>
                <w:color w:val="auto"/>
                <w:sz w:val="26"/>
                <w:szCs w:val="26"/>
                <w:highlight w:val="none"/>
              </w:rPr>
            </w:pPr>
            <w:r>
              <w:rPr>
                <w:rFonts w:hint="eastAsia" w:ascii="楷体" w:hAnsi="楷体" w:eastAsia="楷体" w:cs="楷体"/>
                <w:b/>
                <w:color w:val="auto"/>
                <w:sz w:val="26"/>
                <w:szCs w:val="26"/>
                <w:highlight w:val="none"/>
              </w:rPr>
              <w:t>评审因素</w:t>
            </w:r>
          </w:p>
        </w:tc>
        <w:tc>
          <w:tcPr>
            <w:tcW w:w="6538" w:type="dxa"/>
            <w:tcBorders>
              <w:top w:val="single" w:color="000000" w:sz="12" w:space="0"/>
              <w:bottom w:val="single" w:color="000000" w:sz="4" w:space="0"/>
            </w:tcBorders>
            <w:shd w:val="clear" w:color="auto" w:fill="D9D9D9"/>
            <w:vAlign w:val="center"/>
          </w:tcPr>
          <w:p w14:paraId="1B0561BA">
            <w:pPr>
              <w:adjustRightInd w:val="0"/>
              <w:snapToGrid w:val="0"/>
              <w:jc w:val="center"/>
              <w:rPr>
                <w:rFonts w:ascii="楷体" w:hAnsi="楷体" w:eastAsia="楷体" w:cs="楷体"/>
                <w:bCs/>
                <w:color w:val="auto"/>
                <w:sz w:val="26"/>
                <w:szCs w:val="26"/>
                <w:highlight w:val="none"/>
              </w:rPr>
            </w:pPr>
            <w:r>
              <w:rPr>
                <w:rFonts w:hint="eastAsia" w:ascii="楷体" w:hAnsi="楷体" w:eastAsia="楷体" w:cs="楷体"/>
                <w:b/>
                <w:color w:val="auto"/>
                <w:sz w:val="26"/>
                <w:szCs w:val="26"/>
                <w:highlight w:val="none"/>
              </w:rPr>
              <w:t>评分细则</w:t>
            </w:r>
          </w:p>
        </w:tc>
        <w:tc>
          <w:tcPr>
            <w:tcW w:w="797" w:type="dxa"/>
            <w:tcBorders>
              <w:top w:val="single" w:color="000000" w:sz="12" w:space="0"/>
              <w:bottom w:val="single" w:color="000000" w:sz="4" w:space="0"/>
            </w:tcBorders>
            <w:shd w:val="clear" w:color="auto" w:fill="D9D9D9"/>
            <w:vAlign w:val="center"/>
          </w:tcPr>
          <w:p w14:paraId="56C3DDEA">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最高</w:t>
            </w:r>
          </w:p>
          <w:p w14:paraId="73B9B73B">
            <w:pPr>
              <w:adjustRightInd w:val="0"/>
              <w:snapToGrid w:val="0"/>
              <w:jc w:val="center"/>
              <w:rPr>
                <w:rFonts w:ascii="楷体" w:hAnsi="楷体" w:eastAsia="楷体" w:cs="楷体"/>
                <w:color w:val="auto"/>
                <w:sz w:val="26"/>
                <w:szCs w:val="26"/>
                <w:highlight w:val="none"/>
              </w:rPr>
            </w:pPr>
            <w:r>
              <w:rPr>
                <w:rFonts w:hint="eastAsia" w:ascii="楷体" w:hAnsi="楷体" w:eastAsia="楷体" w:cs="楷体"/>
                <w:b/>
                <w:bCs/>
                <w:color w:val="auto"/>
                <w:kern w:val="0"/>
                <w:sz w:val="26"/>
                <w:szCs w:val="26"/>
                <w:highlight w:val="none"/>
              </w:rPr>
              <w:t>分值</w:t>
            </w:r>
          </w:p>
        </w:tc>
      </w:tr>
      <w:tr w14:paraId="223BEF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4" w:space="0"/>
            </w:tcBorders>
            <w:vAlign w:val="center"/>
          </w:tcPr>
          <w:p w14:paraId="55CC23A0">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w:t>
            </w:r>
          </w:p>
        </w:tc>
        <w:tc>
          <w:tcPr>
            <w:tcW w:w="907" w:type="dxa"/>
            <w:tcBorders>
              <w:top w:val="single" w:color="000000" w:sz="4" w:space="0"/>
            </w:tcBorders>
            <w:vAlign w:val="center"/>
          </w:tcPr>
          <w:p w14:paraId="6F53AF44">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投标报价</w:t>
            </w:r>
          </w:p>
        </w:tc>
        <w:tc>
          <w:tcPr>
            <w:tcW w:w="6538" w:type="dxa"/>
            <w:tcBorders>
              <w:top w:val="single" w:color="000000" w:sz="4" w:space="0"/>
            </w:tcBorders>
            <w:vAlign w:val="center"/>
          </w:tcPr>
          <w:p w14:paraId="0F4FE330">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(1)以满足招标文件要求（通过资格性审查及符合性审查）的有效投标人的投标报价进行计算。</w:t>
            </w:r>
          </w:p>
          <w:p w14:paraId="2B27AE42">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(2)以有效评标价算术平均值为基准价。</w:t>
            </w:r>
          </w:p>
          <w:p w14:paraId="357886C3">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(3)价格评审用以下方式进行计算</w:t>
            </w:r>
          </w:p>
          <w:p w14:paraId="0E4EAFC1">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①投标报价等于基准价的得30分，高于基准价的，每高于1个百分点扣0.5分。</w:t>
            </w:r>
          </w:p>
          <w:p w14:paraId="5F754DAD">
            <w:pPr>
              <w:adjustRightInd w:val="0"/>
              <w:snapToGrid w:val="0"/>
              <w:ind w:firstLine="522" w:firstLineChars="200"/>
              <w:rPr>
                <w:rFonts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价格得分=30-|评标总价-评标基准价|/评标基准价*50</w:t>
            </w:r>
          </w:p>
          <w:p w14:paraId="71E7CF0C">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②投标报价低于基准价的，每低于1个百分点扣0.25分。</w:t>
            </w:r>
          </w:p>
          <w:p w14:paraId="75D7F50A">
            <w:pPr>
              <w:adjustRightInd w:val="0"/>
              <w:snapToGrid w:val="0"/>
              <w:ind w:firstLine="522" w:firstLineChars="200"/>
              <w:rPr>
                <w:rFonts w:ascii="楷体" w:hAnsi="楷体" w:eastAsia="楷体" w:cs="楷体"/>
                <w:color w:val="auto"/>
                <w:sz w:val="26"/>
                <w:szCs w:val="26"/>
                <w:highlight w:val="none"/>
              </w:rPr>
            </w:pPr>
            <w:r>
              <w:rPr>
                <w:rFonts w:hint="eastAsia" w:ascii="楷体" w:hAnsi="楷体" w:eastAsia="楷体" w:cs="楷体"/>
                <w:b/>
                <w:bCs/>
                <w:color w:val="auto"/>
                <w:sz w:val="26"/>
                <w:szCs w:val="26"/>
                <w:highlight w:val="none"/>
              </w:rPr>
              <w:t>价格得分=30-|评标总价-评标基准价|/评标基准价*25</w:t>
            </w:r>
          </w:p>
          <w:p w14:paraId="7CF855F0">
            <w:pPr>
              <w:adjustRightInd w:val="0"/>
              <w:snapToGrid w:val="0"/>
              <w:ind w:firstLine="520" w:firstLineChars="20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不为1%整数倍数的按比例计算，最终分值精确到小数点后二位，由评标委员会当场统一计算。百分率四舍五入取小数点后2位。</w:t>
            </w:r>
          </w:p>
        </w:tc>
        <w:tc>
          <w:tcPr>
            <w:tcW w:w="797" w:type="dxa"/>
            <w:tcBorders>
              <w:top w:val="single" w:color="000000" w:sz="4" w:space="0"/>
            </w:tcBorders>
            <w:vAlign w:val="center"/>
          </w:tcPr>
          <w:p w14:paraId="7F6CFFFF">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30</w:t>
            </w:r>
          </w:p>
        </w:tc>
      </w:tr>
    </w:tbl>
    <w:p w14:paraId="78362933">
      <w:pPr>
        <w:pStyle w:val="3"/>
        <w:spacing w:beforeLines="2600" w:afterLines="2200" w:line="0" w:lineRule="atLeast"/>
        <w:jc w:val="center"/>
        <w:rPr>
          <w:rFonts w:ascii="楷体" w:hAnsi="楷体" w:eastAsia="楷体" w:cs="楷体"/>
          <w:color w:val="auto"/>
          <w:highlight w:val="none"/>
        </w:rPr>
      </w:pPr>
      <w:bookmarkStart w:id="302" w:name="_Toc2252"/>
      <w:bookmarkStart w:id="303" w:name="_Toc423021951"/>
      <w:bookmarkStart w:id="304" w:name="_Toc14045"/>
      <w:bookmarkStart w:id="305" w:name="_Toc6184"/>
      <w:bookmarkStart w:id="306" w:name="_Toc17733"/>
    </w:p>
    <w:p w14:paraId="19B7F294">
      <w:pPr>
        <w:pStyle w:val="3"/>
        <w:spacing w:beforeLines="2600" w:afterLines="2200" w:line="0" w:lineRule="atLeast"/>
        <w:jc w:val="center"/>
        <w:rPr>
          <w:rFonts w:ascii="楷体" w:hAnsi="楷体" w:eastAsia="楷体" w:cs="楷体"/>
          <w:color w:val="auto"/>
          <w:highlight w:val="none"/>
        </w:rPr>
      </w:pPr>
      <w:bookmarkStart w:id="307" w:name="_Toc13713"/>
      <w:r>
        <w:rPr>
          <w:rFonts w:hint="eastAsia" w:ascii="楷体" w:hAnsi="楷体" w:eastAsia="楷体" w:cs="楷体"/>
          <w:color w:val="auto"/>
          <w:highlight w:val="none"/>
        </w:rPr>
        <w:t>第四章用户需求书</w:t>
      </w:r>
      <w:bookmarkEnd w:id="302"/>
      <w:bookmarkEnd w:id="303"/>
      <w:bookmarkEnd w:id="304"/>
      <w:bookmarkEnd w:id="305"/>
      <w:bookmarkEnd w:id="306"/>
      <w:bookmarkEnd w:id="307"/>
    </w:p>
    <w:p w14:paraId="00FC9C7E">
      <w:pPr>
        <w:keepNext w:val="0"/>
        <w:keepLines w:val="0"/>
        <w:pageBreakBefore w:val="0"/>
        <w:widowControl/>
        <w:kinsoku/>
        <w:wordWrap/>
        <w:overflowPunct/>
        <w:topLinePunct w:val="0"/>
        <w:autoSpaceDE/>
        <w:autoSpaceDN/>
        <w:bidi w:val="0"/>
        <w:spacing w:line="360" w:lineRule="auto"/>
        <w:jc w:val="center"/>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br w:type="page"/>
      </w:r>
      <w:r>
        <w:rPr>
          <w:rFonts w:hint="eastAsia" w:ascii="楷体" w:hAnsi="楷体" w:eastAsia="楷体" w:cs="楷体"/>
          <w:b/>
          <w:bCs/>
          <w:color w:val="auto"/>
          <w:sz w:val="32"/>
          <w:szCs w:val="32"/>
          <w:highlight w:val="none"/>
        </w:rPr>
        <w:t>用户需求书</w:t>
      </w:r>
    </w:p>
    <w:p w14:paraId="4102B0FF">
      <w:pPr>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lang w:val="en-US" w:eastAsia="zh-CN"/>
        </w:rPr>
        <w:t>服务</w:t>
      </w:r>
      <w:r>
        <w:rPr>
          <w:rFonts w:hint="eastAsia" w:ascii="楷体" w:hAnsi="楷体" w:eastAsia="楷体" w:cs="楷体"/>
          <w:b/>
          <w:bCs/>
          <w:color w:val="auto"/>
          <w:sz w:val="26"/>
          <w:szCs w:val="26"/>
          <w:highlight w:val="none"/>
        </w:rPr>
        <w:t>内容</w:t>
      </w:r>
      <w:r>
        <w:rPr>
          <w:rFonts w:hint="eastAsia" w:ascii="楷体" w:hAnsi="楷体" w:eastAsia="楷体" w:cs="楷体"/>
          <w:b/>
          <w:bCs/>
          <w:color w:val="auto"/>
          <w:sz w:val="26"/>
          <w:szCs w:val="26"/>
          <w:highlight w:val="none"/>
          <w:lang w:val="en-US" w:eastAsia="zh-CN"/>
        </w:rPr>
        <w:t>及目标</w:t>
      </w:r>
    </w:p>
    <w:p w14:paraId="20AD823D">
      <w:pPr>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针对评估项目，依据雷电发生频率、强度、时空分布特征以及国家有关法律、法规、标准，运用定量和定性的方法，对评估项目可能造成的生产和生活致灾影响做出评估。采集项目所在区域气象雷电数据，进行大气雷电环境分析、雷电灾害分析、</w:t>
      </w:r>
      <w:r>
        <w:rPr>
          <w:rFonts w:hint="eastAsia" w:ascii="楷体" w:hAnsi="楷体" w:eastAsia="楷体" w:cs="楷体"/>
          <w:color w:val="auto"/>
          <w:sz w:val="26"/>
          <w:szCs w:val="26"/>
          <w:highlight w:val="none"/>
          <w:lang w:eastAsia="zh-CN"/>
        </w:rPr>
        <w:t>建设项目所在地土壤电阻率情况、</w:t>
      </w:r>
      <w:r>
        <w:rPr>
          <w:rFonts w:hint="eastAsia" w:ascii="楷体" w:hAnsi="楷体" w:eastAsia="楷体" w:cs="楷体"/>
          <w:color w:val="auto"/>
          <w:sz w:val="26"/>
          <w:szCs w:val="26"/>
          <w:highlight w:val="none"/>
        </w:rPr>
        <w:t>风险识别和风险评价，提出防御和减轻雷电灾害的对策、措施和</w:t>
      </w:r>
      <w:r>
        <w:rPr>
          <w:rFonts w:hint="eastAsia" w:ascii="楷体" w:hAnsi="楷体" w:eastAsia="楷体" w:cs="楷体"/>
          <w:color w:val="auto"/>
          <w:sz w:val="26"/>
          <w:szCs w:val="26"/>
          <w:highlight w:val="none"/>
          <w:lang w:val="en-US" w:eastAsia="zh-CN"/>
        </w:rPr>
        <w:t>意见；</w:t>
      </w:r>
      <w:r>
        <w:rPr>
          <w:rFonts w:hint="eastAsia" w:ascii="楷体" w:hAnsi="楷体" w:eastAsia="楷体" w:cs="楷体"/>
          <w:color w:val="auto"/>
          <w:sz w:val="26"/>
          <w:szCs w:val="26"/>
          <w:highlight w:val="none"/>
        </w:rPr>
        <w:t>指导项目防雷设计、项目防雷装置施工</w:t>
      </w:r>
      <w:r>
        <w:rPr>
          <w:rFonts w:hint="eastAsia" w:ascii="楷体" w:hAnsi="楷体" w:eastAsia="楷体" w:cs="楷体"/>
          <w:color w:val="auto"/>
          <w:sz w:val="26"/>
          <w:szCs w:val="26"/>
          <w:highlight w:val="none"/>
          <w:lang w:val="en-US" w:eastAsia="zh-CN"/>
        </w:rPr>
        <w:t>并对</w:t>
      </w:r>
      <w:r>
        <w:rPr>
          <w:rFonts w:hint="eastAsia" w:ascii="楷体" w:hAnsi="楷体" w:eastAsia="楷体" w:cs="楷体"/>
          <w:color w:val="auto"/>
          <w:sz w:val="26"/>
          <w:szCs w:val="26"/>
          <w:highlight w:val="none"/>
        </w:rPr>
        <w:t>项目施工过程出具防雷安全指导意见；建设项目安全运营防雷指导意见。编制《广东</w:t>
      </w:r>
      <w:r>
        <w:rPr>
          <w:rFonts w:hint="eastAsia" w:ascii="楷体" w:hAnsi="楷体" w:eastAsia="楷体" w:cs="楷体"/>
          <w:color w:val="auto"/>
          <w:sz w:val="26"/>
          <w:szCs w:val="26"/>
          <w:highlight w:val="none"/>
          <w:u w:val="none"/>
        </w:rPr>
        <w:t>烟草清远市有限公司卷烟物流配送中心易地技术改造项目雷电灾害风险评估报告</w:t>
      </w:r>
      <w:r>
        <w:rPr>
          <w:rFonts w:hint="eastAsia" w:ascii="楷体" w:hAnsi="楷体" w:eastAsia="楷体" w:cs="楷体"/>
          <w:color w:val="auto"/>
          <w:sz w:val="26"/>
          <w:szCs w:val="26"/>
          <w:highlight w:val="none"/>
        </w:rPr>
        <w:t>》。</w:t>
      </w:r>
    </w:p>
    <w:p w14:paraId="26AF35C0">
      <w:pPr>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rPr>
        <w:t>预算金额与最高限价</w:t>
      </w:r>
    </w:p>
    <w:p w14:paraId="0EDF4459">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人民币</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lang w:val="en-US" w:eastAsia="zh-CN"/>
        </w:rPr>
        <w:t>含税</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lang w:val="en-US" w:eastAsia="zh-CN"/>
        </w:rPr>
        <w:t>20.96</w:t>
      </w:r>
      <w:r>
        <w:rPr>
          <w:rFonts w:hint="eastAsia" w:ascii="楷体" w:hAnsi="楷体" w:eastAsia="楷体" w:cs="楷体"/>
          <w:color w:val="auto"/>
          <w:sz w:val="26"/>
          <w:szCs w:val="26"/>
          <w:highlight w:val="none"/>
        </w:rPr>
        <w:t>万元。</w:t>
      </w:r>
    </w:p>
    <w:p w14:paraId="01223750">
      <w:pPr>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rPr>
      </w:pPr>
      <w:r>
        <w:rPr>
          <w:rFonts w:hint="eastAsia" w:ascii="楷体" w:hAnsi="楷体" w:eastAsia="楷体" w:cs="楷体"/>
          <w:b/>
          <w:bCs/>
          <w:color w:val="auto"/>
          <w:sz w:val="26"/>
          <w:szCs w:val="26"/>
          <w:highlight w:val="none"/>
          <w:lang w:val="en-US" w:eastAsia="zh-CN"/>
        </w:rPr>
        <w:t>卷烟物流配送中心易地技术改造项目背景</w:t>
      </w:r>
    </w:p>
    <w:p w14:paraId="3D2DB849">
      <w:pPr>
        <w:pStyle w:val="127"/>
        <w:pageBreakBefore w:val="0"/>
        <w:widowControl w:val="0"/>
        <w:numPr>
          <w:ilvl w:val="0"/>
          <w:numId w:val="65"/>
        </w:numPr>
        <w:kinsoku/>
        <w:wordWrap/>
        <w:overflowPunct/>
        <w:topLinePunct w:val="0"/>
        <w:autoSpaceDE/>
        <w:autoSpaceDN/>
        <w:bidi w:val="0"/>
        <w:adjustRightInd w:val="0"/>
        <w:snapToGrid w:val="0"/>
        <w:spacing w:before="0" w:after="0" w:line="360" w:lineRule="auto"/>
        <w:ind w:left="0" w:leftChars="0" w:hanging="357" w:firstLineChars="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fldChar w:fldCharType="begin"/>
      </w:r>
      <w:r>
        <w:rPr>
          <w:rFonts w:hint="eastAsia" w:ascii="楷体" w:hAnsi="楷体" w:eastAsia="楷体" w:cs="楷体"/>
          <w:color w:val="auto"/>
          <w:sz w:val="26"/>
          <w:szCs w:val="26"/>
          <w:highlight w:val="none"/>
        </w:rPr>
        <w:instrText xml:space="preserve">HYPERLINK "file:///H:\\汪嘉男\\AppData\\Roaming\\Microsoft\\Word\\l"</w:instrText>
      </w:r>
      <w:r>
        <w:rPr>
          <w:rFonts w:hint="eastAsia" w:ascii="楷体" w:hAnsi="楷体" w:eastAsia="楷体" w:cs="楷体"/>
          <w:color w:val="auto"/>
          <w:sz w:val="26"/>
          <w:szCs w:val="26"/>
          <w:highlight w:val="none"/>
        </w:rPr>
        <w:fldChar w:fldCharType="separate"/>
      </w:r>
      <w:r>
        <w:rPr>
          <w:rFonts w:hint="eastAsia" w:ascii="楷体" w:hAnsi="楷体" w:eastAsia="楷体" w:cs="楷体"/>
          <w:color w:val="auto"/>
          <w:sz w:val="26"/>
          <w:szCs w:val="26"/>
          <w:highlight w:val="none"/>
        </w:rPr>
        <w:t>项目建设地点</w:t>
      </w:r>
      <w:r>
        <w:rPr>
          <w:rFonts w:hint="eastAsia" w:ascii="楷体" w:hAnsi="楷体" w:eastAsia="楷体" w:cs="楷体"/>
          <w:color w:val="auto"/>
          <w:sz w:val="26"/>
          <w:szCs w:val="26"/>
          <w:highlight w:val="none"/>
        </w:rPr>
        <w:fldChar w:fldCharType="end"/>
      </w:r>
    </w:p>
    <w:p w14:paraId="1E039686">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项目用地位于清远市清城区民富路黄塘东村西侧，白石塘村北侧。总用地面积21503㎡（约32.25亩）。地块一侧临路，北侧为45m宽的旅游大道。用地周边有汕湛高速、环城高速以及乐广高速。</w:t>
      </w:r>
    </w:p>
    <w:p w14:paraId="0556FDB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drawing>
          <wp:inline distT="0" distB="0" distL="0" distR="0">
            <wp:extent cx="4876800" cy="3641725"/>
            <wp:effectExtent l="0" t="0" r="0" b="15875"/>
            <wp:docPr id="42" name="图片 42" descr="表面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表面图&#10;&#10;低可信度描述已自动生成"/>
                    <pic:cNvPicPr>
                      <a:picLocks noChangeAspect="1"/>
                    </pic:cNvPicPr>
                  </pic:nvPicPr>
                  <pic:blipFill>
                    <a:blip r:embed="rId17" cstate="print">
                      <a:extLst>
                        <a:ext uri="{28A0092B-C50C-407E-A947-70E740481C1C}">
                          <a14:useLocalDpi xmlns:a14="http://schemas.microsoft.com/office/drawing/2010/main" val="0"/>
                        </a:ext>
                      </a:extLst>
                    </a:blip>
                    <a:srcRect l="10599" t="8191" r="7091" b="4958"/>
                    <a:stretch>
                      <a:fillRect/>
                    </a:stretch>
                  </pic:blipFill>
                  <pic:spPr>
                    <a:xfrm>
                      <a:off x="0" y="0"/>
                      <a:ext cx="4876800" cy="3641725"/>
                    </a:xfrm>
                    <a:prstGeom prst="rect">
                      <a:avLst/>
                    </a:prstGeom>
                    <a:ln>
                      <a:noFill/>
                    </a:ln>
                  </pic:spPr>
                </pic:pic>
              </a:graphicData>
            </a:graphic>
          </wp:inline>
        </w:drawing>
      </w:r>
    </w:p>
    <w:p w14:paraId="0EB3E8A7">
      <w:pPr>
        <w:pStyle w:val="127"/>
        <w:pageBreakBefore w:val="0"/>
        <w:widowControl w:val="0"/>
        <w:numPr>
          <w:ilvl w:val="0"/>
          <w:numId w:val="65"/>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fldChar w:fldCharType="begin"/>
      </w:r>
      <w:r>
        <w:rPr>
          <w:rFonts w:hint="eastAsia" w:ascii="楷体" w:hAnsi="楷体" w:eastAsia="楷体" w:cs="楷体"/>
          <w:color w:val="auto"/>
          <w:sz w:val="26"/>
          <w:szCs w:val="26"/>
          <w:highlight w:val="none"/>
        </w:rPr>
        <w:instrText xml:space="preserve"> HYPERLINK "file:///H:\\汪嘉男\\AppData\\Roaming\\Microsoft\\Word\\l" </w:instrText>
      </w:r>
      <w:r>
        <w:rPr>
          <w:rFonts w:hint="eastAsia" w:ascii="楷体" w:hAnsi="楷体" w:eastAsia="楷体" w:cs="楷体"/>
          <w:color w:val="auto"/>
          <w:sz w:val="26"/>
          <w:szCs w:val="26"/>
          <w:highlight w:val="none"/>
        </w:rPr>
        <w:fldChar w:fldCharType="separate"/>
      </w:r>
      <w:r>
        <w:rPr>
          <w:rFonts w:hint="eastAsia" w:ascii="楷体" w:hAnsi="楷体" w:eastAsia="楷体" w:cs="楷体"/>
          <w:color w:val="auto"/>
          <w:sz w:val="26"/>
          <w:szCs w:val="26"/>
          <w:highlight w:val="none"/>
        </w:rPr>
        <w:t>项目建设内容</w:t>
      </w:r>
      <w:r>
        <w:rPr>
          <w:rFonts w:hint="eastAsia" w:ascii="楷体" w:hAnsi="楷体" w:eastAsia="楷体" w:cs="楷体"/>
          <w:color w:val="auto"/>
          <w:sz w:val="26"/>
          <w:szCs w:val="26"/>
          <w:highlight w:val="none"/>
        </w:rPr>
        <w:fldChar w:fldCharType="end"/>
      </w:r>
      <w:r>
        <w:rPr>
          <w:rFonts w:hint="eastAsia" w:ascii="楷体" w:hAnsi="楷体" w:eastAsia="楷体" w:cs="楷体"/>
          <w:color w:val="auto"/>
          <w:sz w:val="26"/>
          <w:szCs w:val="26"/>
          <w:highlight w:val="none"/>
        </w:rPr>
        <w:t>及规模</w:t>
      </w:r>
    </w:p>
    <w:p w14:paraId="428ACB28">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项目的主要建设内容如下：</w:t>
      </w:r>
    </w:p>
    <w:p w14:paraId="41647C41">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（1）项目购置建设用地32.25亩（21503㎡）。总用地面积控制上限37亩（24667㎡）。用地性质：一类物流仓储用地；建设净用地面积：21503㎡；容积率：0.8-1.5；建筑密度：30%-60%；绿化率：10%-20%；建筑限高≤24m。</w:t>
      </w:r>
    </w:p>
    <w:p w14:paraId="5C701878">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（2）新建总建筑面积17056㎡。其中，联合工房8337㎡，生产管理、市场营销及生活辅助用房3805㎡，地下车库4484㎡，值班宿舍330平方米，门卫房100㎡。</w:t>
      </w:r>
    </w:p>
    <w:p w14:paraId="0A760113">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（3）新建1条的自动化分拣线，利旧改造1条特异型烟分拣线，配置三层横梁货架仓储物流设备和备货系统。</w:t>
      </w:r>
    </w:p>
    <w:p w14:paraId="48341F64">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（4）配套建设公用工程、消防、环保、节能、劳动安全、职业卫生等设施。</w:t>
      </w:r>
    </w:p>
    <w:p w14:paraId="01150DD9">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（5）配套建设物流信息化系统。</w:t>
      </w:r>
    </w:p>
    <w:p w14:paraId="54AB1F1D">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（6）配套建设道路、广场、管线、绿化、围墙等室外工程。</w:t>
      </w:r>
    </w:p>
    <w:p w14:paraId="3A7B3328">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drawing>
          <wp:inline distT="0" distB="0" distL="114300" distR="114300">
            <wp:extent cx="4692015" cy="3795395"/>
            <wp:effectExtent l="0" t="0" r="1333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692015" cy="3795395"/>
                    </a:xfrm>
                    <a:prstGeom prst="rect">
                      <a:avLst/>
                    </a:prstGeom>
                    <a:noFill/>
                    <a:ln>
                      <a:noFill/>
                    </a:ln>
                  </pic:spPr>
                </pic:pic>
              </a:graphicData>
            </a:graphic>
          </wp:inline>
        </w:drawing>
      </w:r>
      <w:bookmarkStart w:id="308" w:name="_Toc10275"/>
      <w:bookmarkStart w:id="309" w:name="OLE_LINK23"/>
      <w:bookmarkStart w:id="310" w:name="_Toc150437651"/>
      <w:bookmarkStart w:id="311" w:name="OLE_LINK21"/>
    </w:p>
    <w:p w14:paraId="7D6ECAFC">
      <w:pPr>
        <w:pStyle w:val="128"/>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b/>
          <w:bCs/>
          <w:color w:val="auto"/>
          <w:kern w:val="2"/>
          <w:sz w:val="26"/>
          <w:szCs w:val="26"/>
          <w:highlight w:val="none"/>
          <w:lang w:val="en-US" w:eastAsia="zh-CN" w:bidi="ar-SA"/>
          <w14:ligatures w14:val="standardContextual"/>
        </w:rPr>
      </w:pPr>
      <w:r>
        <w:rPr>
          <w:rFonts w:hint="eastAsia" w:ascii="楷体" w:hAnsi="楷体" w:eastAsia="楷体" w:cs="楷体"/>
          <w:b/>
          <w:bCs/>
          <w:color w:val="auto"/>
          <w:kern w:val="2"/>
          <w:sz w:val="26"/>
          <w:szCs w:val="26"/>
          <w:highlight w:val="none"/>
          <w:lang w:val="en-US" w:eastAsia="zh-CN" w:bidi="ar-SA"/>
          <w14:ligatures w14:val="standardContextual"/>
        </w:rPr>
        <w:t>场地功能分析图</w:t>
      </w:r>
    </w:p>
    <w:bookmarkEnd w:id="308"/>
    <w:bookmarkEnd w:id="309"/>
    <w:bookmarkEnd w:id="310"/>
    <w:bookmarkEnd w:id="311"/>
    <w:p w14:paraId="36E6B6E5">
      <w:pPr>
        <w:pStyle w:val="127"/>
        <w:pageBreakBefore w:val="0"/>
        <w:widowControl w:val="0"/>
        <w:numPr>
          <w:ilvl w:val="0"/>
          <w:numId w:val="65"/>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项目建设条件</w:t>
      </w:r>
    </w:p>
    <w:p w14:paraId="1512EE47">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b/>
          <w:bCs/>
          <w:color w:val="auto"/>
          <w:kern w:val="2"/>
          <w:sz w:val="26"/>
          <w:szCs w:val="26"/>
          <w:highlight w:val="none"/>
          <w:lang w:val="en-US" w:eastAsia="zh-CN" w:bidi="ar-SA"/>
          <w14:ligatures w14:val="standardContextual"/>
        </w:rPr>
      </w:pPr>
      <w:bookmarkStart w:id="312" w:name="_Toc150437643"/>
      <w:bookmarkStart w:id="313" w:name="_Toc77769173"/>
      <w:bookmarkStart w:id="314" w:name="_Toc77769169"/>
      <w:r>
        <w:rPr>
          <w:rFonts w:hint="eastAsia" w:ascii="楷体" w:hAnsi="楷体" w:eastAsia="楷体" w:cs="楷体"/>
          <w:b/>
          <w:bCs/>
          <w:color w:val="auto"/>
          <w:kern w:val="2"/>
          <w:sz w:val="26"/>
          <w:szCs w:val="26"/>
          <w:highlight w:val="none"/>
          <w:lang w:val="en-US" w:eastAsia="zh-CN" w:bidi="ar-SA"/>
          <w14:ligatures w14:val="standardContextual"/>
        </w:rPr>
        <w:t>1.地形地貌</w:t>
      </w:r>
      <w:bookmarkEnd w:id="312"/>
    </w:p>
    <w:p w14:paraId="79A5CDF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项目用地形状相对规整，</w:t>
      </w:r>
      <w:r>
        <w:rPr>
          <w:rFonts w:hint="eastAsia" w:ascii="楷体" w:hAnsi="楷体" w:eastAsia="楷体" w:cs="楷体"/>
          <w:color w:val="auto"/>
          <w:sz w:val="26"/>
          <w:szCs w:val="26"/>
          <w:highlight w:val="none"/>
        </w:rPr>
        <w:t>东面用地有折角，其它三面比较方正，地块内部有一个鱼塘，后期将填平建设。</w:t>
      </w:r>
    </w:p>
    <w:p w14:paraId="1C1B0634">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15" w:name="_Toc150437644"/>
      <w:r>
        <w:rPr>
          <w:rFonts w:hint="eastAsia" w:ascii="楷体" w:hAnsi="楷体" w:eastAsia="楷体" w:cs="楷体"/>
          <w:b/>
          <w:bCs/>
          <w:color w:val="auto"/>
          <w:kern w:val="2"/>
          <w:sz w:val="26"/>
          <w:szCs w:val="26"/>
          <w:highlight w:val="none"/>
          <w:lang w:val="en-US" w:eastAsia="zh-CN" w:bidi="ar-SA"/>
          <w14:ligatures w14:val="standardContextual"/>
        </w:rPr>
        <w:t>2.</w:t>
      </w:r>
      <w:r>
        <w:rPr>
          <w:rFonts w:hint="eastAsia" w:ascii="楷体" w:hAnsi="楷体" w:eastAsia="楷体" w:cs="楷体"/>
          <w:color w:val="auto"/>
          <w:sz w:val="26"/>
          <w:szCs w:val="26"/>
          <w:highlight w:val="none"/>
        </w:rPr>
        <w:t>气象资料</w:t>
      </w:r>
      <w:bookmarkEnd w:id="315"/>
    </w:p>
    <w:p w14:paraId="6750775E">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清远市属亚热带季风气候。其中，北部的阳山、连州、连南、连山属中亚热带；南部的清城、清新南部地区、佛冈、英德属南亚热带。一年内夏天最长，春、秋、冬季较短，南北差异明显。年平均气温在18.9℃～22℃之间，雨水资源丰富，平均年降水量在1631.4毫米～2149.3毫米，年平均降水日（日降水量≥0.1毫米日数）为160～173天。</w:t>
      </w:r>
    </w:p>
    <w:p w14:paraId="11A16BAC">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项目用地位于清远市清城区，清远市为夏热冬暖地区，隶属于北区，北区建筑设计主要考虑夏季空调，兼顾冬季极端天气采暖。</w:t>
      </w:r>
    </w:p>
    <w:p w14:paraId="79B37F2E">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16" w:name="_Toc150437645"/>
      <w:r>
        <w:rPr>
          <w:rFonts w:hint="eastAsia" w:ascii="楷体" w:hAnsi="楷体" w:eastAsia="楷体" w:cs="楷体"/>
          <w:b/>
          <w:bCs/>
          <w:color w:val="auto"/>
          <w:kern w:val="2"/>
          <w:sz w:val="26"/>
          <w:szCs w:val="26"/>
          <w:highlight w:val="none"/>
          <w:lang w:val="en-US" w:eastAsia="zh-CN" w:bidi="ar-SA"/>
          <w14:ligatures w14:val="standardContextual"/>
        </w:rPr>
        <w:t>3.</w:t>
      </w:r>
      <w:r>
        <w:rPr>
          <w:rFonts w:hint="eastAsia" w:ascii="楷体" w:hAnsi="楷体" w:eastAsia="楷体" w:cs="楷体"/>
          <w:color w:val="auto"/>
          <w:sz w:val="26"/>
          <w:szCs w:val="26"/>
          <w:highlight w:val="none"/>
        </w:rPr>
        <w:t>水文条件</w:t>
      </w:r>
      <w:bookmarkEnd w:id="316"/>
    </w:p>
    <w:p w14:paraId="3ED850A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清远市河流众多，分属长江水系的洞庭湖区和珠江水系的桂贺江区、珠江三角洲区及北江区。其中，北江区的集雨面积最大，占全市94.7%，洞庭湖区的集雨面积最小，仅占0.5%左右，其余0.65%属珠江三角洲区，4.12%属桂贺江区。全市集雨面积100平方千米以上的河流有74条，其中集雨面积1000平方千米以上的河流有北江、连江、潖江、滨江、滃江、烟岭河、青莲水等。</w:t>
      </w:r>
    </w:p>
    <w:p w14:paraId="3B24F31E">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17" w:name="_Toc150437646"/>
      <w:r>
        <w:rPr>
          <w:rFonts w:hint="eastAsia" w:ascii="楷体" w:hAnsi="楷体" w:eastAsia="楷体" w:cs="楷体"/>
          <w:b/>
          <w:bCs/>
          <w:color w:val="auto"/>
          <w:kern w:val="2"/>
          <w:sz w:val="26"/>
          <w:szCs w:val="26"/>
          <w:highlight w:val="none"/>
          <w:lang w:val="en-US" w:eastAsia="zh-CN" w:bidi="ar-SA"/>
          <w14:ligatures w14:val="standardContextual"/>
        </w:rPr>
        <w:t>4.</w:t>
      </w:r>
      <w:r>
        <w:rPr>
          <w:rFonts w:hint="eastAsia" w:ascii="楷体" w:hAnsi="楷体" w:eastAsia="楷体" w:cs="楷体"/>
          <w:color w:val="auto"/>
          <w:sz w:val="26"/>
          <w:szCs w:val="26"/>
          <w:highlight w:val="none"/>
        </w:rPr>
        <w:t>地质概况</w:t>
      </w:r>
      <w:bookmarkEnd w:id="317"/>
    </w:p>
    <w:p w14:paraId="1A7DBB0E">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基本风压0.45 KN/m² （100年重现期）  用于网架及钢结构围护。</w:t>
      </w:r>
    </w:p>
    <w:p w14:paraId="1DAE385C">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基本风压0.35 KN/m² （50年重现期）   用于混凝土主体结构。</w:t>
      </w:r>
    </w:p>
    <w:p w14:paraId="562C9D6E">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18" w:name="_Toc150437647"/>
      <w:r>
        <w:rPr>
          <w:rFonts w:hint="eastAsia" w:ascii="楷体" w:hAnsi="楷体" w:eastAsia="楷体" w:cs="楷体"/>
          <w:b/>
          <w:bCs/>
          <w:color w:val="auto"/>
          <w:kern w:val="2"/>
          <w:sz w:val="26"/>
          <w:szCs w:val="26"/>
          <w:highlight w:val="none"/>
          <w:lang w:val="en-US" w:eastAsia="zh-CN" w:bidi="ar-SA"/>
          <w14:ligatures w14:val="standardContextual"/>
        </w:rPr>
        <w:t>5.</w:t>
      </w:r>
      <w:r>
        <w:rPr>
          <w:rFonts w:hint="eastAsia" w:ascii="楷体" w:hAnsi="楷体" w:eastAsia="楷体" w:cs="楷体"/>
          <w:color w:val="auto"/>
          <w:sz w:val="26"/>
          <w:szCs w:val="26"/>
          <w:highlight w:val="none"/>
        </w:rPr>
        <w:t>抗震设防</w:t>
      </w:r>
      <w:bookmarkEnd w:id="318"/>
    </w:p>
    <w:p w14:paraId="28803FC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工程建筑结构安全等级为二级，设计使用年限为50年，地基基础设计等级为乙级。</w:t>
      </w:r>
      <w:r>
        <w:rPr>
          <w:rFonts w:hint="eastAsia" w:ascii="楷体" w:hAnsi="楷体" w:eastAsia="楷体" w:cs="楷体"/>
          <w:color w:val="auto"/>
          <w:sz w:val="26"/>
          <w:szCs w:val="26"/>
          <w:highlight w:val="none"/>
        </w:rPr>
        <w:t>建筑抗震设防烈度为6度，基本地震加速度值为0.05g，</w:t>
      </w:r>
      <w:r>
        <w:rPr>
          <w:rFonts w:hint="eastAsia" w:ascii="楷体" w:hAnsi="楷体" w:eastAsia="楷体" w:cs="楷体"/>
          <w:color w:val="auto"/>
          <w:sz w:val="26"/>
          <w:szCs w:val="26"/>
          <w:highlight w:val="none"/>
        </w:rPr>
        <w:t>设计地震分组第一组，</w:t>
      </w:r>
      <w:r>
        <w:rPr>
          <w:rFonts w:hint="eastAsia" w:ascii="楷体" w:hAnsi="楷体" w:eastAsia="楷体" w:cs="楷体"/>
          <w:color w:val="auto"/>
          <w:sz w:val="26"/>
          <w:szCs w:val="26"/>
          <w:highlight w:val="none"/>
        </w:rPr>
        <w:t>抗震设防类别为丙类，</w:t>
      </w:r>
      <w:r>
        <w:rPr>
          <w:rFonts w:hint="eastAsia" w:ascii="楷体" w:hAnsi="楷体" w:eastAsia="楷体" w:cs="楷体"/>
          <w:color w:val="auto"/>
          <w:sz w:val="26"/>
          <w:szCs w:val="26"/>
          <w:highlight w:val="none"/>
        </w:rPr>
        <w:t>地震动反应谱特性周期为0.35s。</w:t>
      </w:r>
    </w:p>
    <w:p w14:paraId="4332CB17">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19" w:name="_Toc150437648"/>
      <w:r>
        <w:rPr>
          <w:rFonts w:hint="eastAsia" w:ascii="楷体" w:hAnsi="楷体" w:eastAsia="楷体" w:cs="楷体"/>
          <w:b/>
          <w:bCs/>
          <w:color w:val="auto"/>
          <w:kern w:val="2"/>
          <w:sz w:val="26"/>
          <w:szCs w:val="26"/>
          <w:highlight w:val="none"/>
          <w:lang w:val="en-US" w:eastAsia="zh-CN" w:bidi="ar-SA"/>
          <w14:ligatures w14:val="standardContextual"/>
        </w:rPr>
        <w:t>6.</w:t>
      </w:r>
      <w:r>
        <w:rPr>
          <w:rFonts w:hint="eastAsia" w:ascii="楷体" w:hAnsi="楷体" w:eastAsia="楷体" w:cs="楷体"/>
          <w:color w:val="auto"/>
          <w:sz w:val="26"/>
          <w:szCs w:val="26"/>
          <w:highlight w:val="none"/>
        </w:rPr>
        <w:t>场地现状竖向条件</w:t>
      </w:r>
      <w:bookmarkEnd w:id="319"/>
    </w:p>
    <w:p w14:paraId="01A62B11">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地块内现有一个鱼塘，四周高中间低，场地现状需回填土方，需要进行移除后再回填土，回填土顺应周边地形，进行设计。</w:t>
      </w:r>
    </w:p>
    <w:bookmarkEnd w:id="313"/>
    <w:bookmarkEnd w:id="314"/>
    <w:p w14:paraId="0A36C90F">
      <w:pPr>
        <w:pStyle w:val="127"/>
        <w:pageBreakBefore w:val="0"/>
        <w:widowControl w:val="0"/>
        <w:numPr>
          <w:ilvl w:val="2"/>
          <w:numId w:val="0"/>
        </w:numPr>
        <w:kinsoku/>
        <w:wordWrap/>
        <w:overflowPunct/>
        <w:topLinePunct w:val="0"/>
        <w:autoSpaceDE/>
        <w:autoSpaceDN/>
        <w:bidi w:val="0"/>
        <w:adjustRightInd w:val="0"/>
        <w:snapToGrid w:val="0"/>
        <w:spacing w:before="0" w:after="0" w:line="360" w:lineRule="auto"/>
        <w:ind w:left="357" w:leftChars="0" w:hanging="357" w:firstLineChars="0"/>
        <w:textAlignment w:val="auto"/>
        <w:rPr>
          <w:rFonts w:hint="eastAsia" w:ascii="楷体" w:hAnsi="楷体" w:eastAsia="楷体" w:cs="楷体"/>
          <w:color w:val="auto"/>
          <w:sz w:val="26"/>
          <w:szCs w:val="26"/>
          <w:highlight w:val="none"/>
        </w:rPr>
      </w:pPr>
      <w:bookmarkStart w:id="320" w:name="OLE_LINK22"/>
      <w:r>
        <w:rPr>
          <w:rFonts w:hint="eastAsia" w:ascii="楷体" w:hAnsi="楷体" w:eastAsia="楷体" w:cs="楷体"/>
          <w:b/>
          <w:bCs/>
          <w:color w:val="auto"/>
          <w:kern w:val="2"/>
          <w:sz w:val="26"/>
          <w:szCs w:val="26"/>
          <w:highlight w:val="none"/>
          <w:lang w:val="en-US" w:eastAsia="zh-CN" w:bidi="ar-SA"/>
          <w14:ligatures w14:val="standardContextual"/>
        </w:rPr>
        <w:t>7.</w:t>
      </w:r>
      <w:r>
        <w:rPr>
          <w:rFonts w:hint="eastAsia" w:ascii="楷体" w:hAnsi="楷体" w:eastAsia="楷体" w:cs="楷体"/>
          <w:color w:val="auto"/>
          <w:sz w:val="26"/>
          <w:szCs w:val="26"/>
          <w:highlight w:val="none"/>
        </w:rPr>
        <w:t>公用设施情况</w:t>
      </w:r>
    </w:p>
    <w:p w14:paraId="62B9AB15">
      <w:pPr>
        <w:pStyle w:val="129"/>
        <w:pageBreakBefore w:val="0"/>
        <w:widowControl w:val="0"/>
        <w:numPr>
          <w:ilvl w:val="3"/>
          <w:numId w:val="0"/>
        </w:numPr>
        <w:kinsoku/>
        <w:wordWrap/>
        <w:overflowPunct/>
        <w:topLinePunct w:val="0"/>
        <w:autoSpaceDE/>
        <w:autoSpaceDN/>
        <w:bidi w:val="0"/>
        <w:adjustRightInd w:val="0"/>
        <w:snapToGrid w:val="0"/>
        <w:spacing w:line="360" w:lineRule="auto"/>
        <w:ind w:left="440" w:leftChars="0" w:hanging="440" w:firstLineChars="0"/>
        <w:textAlignment w:val="auto"/>
        <w:rPr>
          <w:rFonts w:hint="eastAsia" w:ascii="楷体" w:hAnsi="楷体" w:eastAsia="楷体" w:cs="楷体"/>
          <w:color w:val="auto"/>
          <w:sz w:val="26"/>
          <w:szCs w:val="26"/>
          <w:highlight w:val="none"/>
        </w:rPr>
      </w:pPr>
      <w:r>
        <w:rPr>
          <w:rFonts w:hint="eastAsia" w:ascii="楷体" w:hAnsi="楷体" w:eastAsia="楷体" w:cs="楷体"/>
          <w:b/>
          <w:bCs/>
          <w:color w:val="auto"/>
          <w:kern w:val="2"/>
          <w:sz w:val="26"/>
          <w:szCs w:val="26"/>
          <w:highlight w:val="none"/>
          <w:lang w:val="en-US" w:eastAsia="zh-CN" w:bidi="ar-SA"/>
          <w14:ligatures w14:val="standardContextual"/>
        </w:rPr>
        <w:t>（1）</w:t>
      </w:r>
      <w:r>
        <w:rPr>
          <w:rFonts w:hint="eastAsia" w:ascii="楷体" w:hAnsi="楷体" w:eastAsia="楷体" w:cs="楷体"/>
          <w:color w:val="auto"/>
          <w:sz w:val="26"/>
          <w:szCs w:val="26"/>
          <w:highlight w:val="none"/>
        </w:rPr>
        <w:t>电力供应</w:t>
      </w:r>
    </w:p>
    <w:p w14:paraId="0F604F2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项目电力接入点</w:t>
      </w:r>
      <w:r>
        <w:rPr>
          <w:rFonts w:hint="eastAsia" w:ascii="楷体" w:hAnsi="楷体" w:eastAsia="楷体" w:cs="楷体"/>
          <w:color w:val="auto"/>
          <w:sz w:val="26"/>
          <w:szCs w:val="26"/>
          <w:highlight w:val="none"/>
          <w:lang w:val="en-US" w:eastAsia="zh-CN"/>
        </w:rPr>
        <w:t>计划</w:t>
      </w:r>
      <w:r>
        <w:rPr>
          <w:rFonts w:hint="eastAsia" w:ascii="楷体" w:hAnsi="楷体" w:eastAsia="楷体" w:cs="楷体"/>
          <w:color w:val="auto"/>
          <w:sz w:val="26"/>
          <w:szCs w:val="26"/>
          <w:highlight w:val="none"/>
        </w:rPr>
        <w:t>由地块北侧与旅游大道相连的范围均可引入单路10千伏电源进行供电，接入变配电室内两台800kVA干式变压器；另设一台600kW柴油发电机作为园区二级负荷的备用电源，当市政电源断电时，由柴油发电机承担园区二级负荷供电。</w:t>
      </w:r>
    </w:p>
    <w:p w14:paraId="5793D356">
      <w:pPr>
        <w:pStyle w:val="129"/>
        <w:pageBreakBefore w:val="0"/>
        <w:widowControl w:val="0"/>
        <w:numPr>
          <w:ilvl w:val="3"/>
          <w:numId w:val="0"/>
        </w:numPr>
        <w:kinsoku/>
        <w:wordWrap/>
        <w:overflowPunct/>
        <w:topLinePunct w:val="0"/>
        <w:autoSpaceDE/>
        <w:autoSpaceDN/>
        <w:bidi w:val="0"/>
        <w:adjustRightInd w:val="0"/>
        <w:snapToGrid w:val="0"/>
        <w:spacing w:line="360" w:lineRule="auto"/>
        <w:ind w:left="440" w:leftChars="0" w:hanging="440" w:firstLineChars="0"/>
        <w:textAlignment w:val="auto"/>
        <w:rPr>
          <w:rFonts w:hint="eastAsia" w:ascii="楷体" w:hAnsi="楷体" w:eastAsia="楷体" w:cs="楷体"/>
          <w:color w:val="auto"/>
          <w:sz w:val="26"/>
          <w:szCs w:val="26"/>
          <w:highlight w:val="none"/>
        </w:rPr>
      </w:pPr>
      <w:r>
        <w:rPr>
          <w:rFonts w:hint="eastAsia" w:ascii="楷体" w:hAnsi="楷体" w:eastAsia="楷体" w:cs="楷体"/>
          <w:b/>
          <w:bCs/>
          <w:color w:val="auto"/>
          <w:kern w:val="2"/>
          <w:sz w:val="26"/>
          <w:szCs w:val="26"/>
          <w:highlight w:val="none"/>
          <w:lang w:val="en-US" w:eastAsia="zh-CN" w:bidi="ar-SA"/>
          <w14:ligatures w14:val="standardContextual"/>
        </w:rPr>
        <w:t>（2）</w:t>
      </w:r>
      <w:r>
        <w:rPr>
          <w:rFonts w:hint="eastAsia" w:ascii="楷体" w:hAnsi="楷体" w:eastAsia="楷体" w:cs="楷体"/>
          <w:color w:val="auto"/>
          <w:sz w:val="26"/>
          <w:szCs w:val="26"/>
          <w:highlight w:val="none"/>
        </w:rPr>
        <w:t>给水供应</w:t>
      </w:r>
    </w:p>
    <w:p w14:paraId="6A27EDC7">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项目建设地块ST01-0325给水接入点</w:t>
      </w:r>
      <w:r>
        <w:rPr>
          <w:rFonts w:hint="eastAsia" w:ascii="楷体" w:hAnsi="楷体" w:eastAsia="楷体" w:cs="楷体"/>
          <w:color w:val="auto"/>
          <w:sz w:val="26"/>
          <w:szCs w:val="26"/>
          <w:highlight w:val="none"/>
          <w:lang w:val="en-US" w:eastAsia="zh-CN"/>
        </w:rPr>
        <w:t>计划</w:t>
      </w:r>
      <w:r>
        <w:rPr>
          <w:rFonts w:hint="eastAsia" w:ascii="楷体" w:hAnsi="楷体" w:eastAsia="楷体" w:cs="楷体"/>
          <w:color w:val="auto"/>
          <w:sz w:val="26"/>
          <w:szCs w:val="26"/>
          <w:highlight w:val="none"/>
        </w:rPr>
        <w:t>从该地块所在的北侧旅游大道（市政给水管道DN300）市政自来水进行接入，供水压力为0.20MPa。</w:t>
      </w:r>
    </w:p>
    <w:p w14:paraId="0B5ED190">
      <w:pPr>
        <w:pStyle w:val="129"/>
        <w:pageBreakBefore w:val="0"/>
        <w:widowControl w:val="0"/>
        <w:numPr>
          <w:ilvl w:val="3"/>
          <w:numId w:val="0"/>
        </w:numPr>
        <w:kinsoku/>
        <w:wordWrap/>
        <w:overflowPunct/>
        <w:topLinePunct w:val="0"/>
        <w:autoSpaceDE/>
        <w:autoSpaceDN/>
        <w:bidi w:val="0"/>
        <w:adjustRightInd w:val="0"/>
        <w:snapToGrid w:val="0"/>
        <w:spacing w:line="360" w:lineRule="auto"/>
        <w:ind w:left="440" w:leftChars="0" w:hanging="440" w:firstLineChars="0"/>
        <w:textAlignment w:val="auto"/>
        <w:rPr>
          <w:rFonts w:hint="eastAsia" w:ascii="楷体" w:hAnsi="楷体" w:eastAsia="楷体" w:cs="楷体"/>
          <w:color w:val="auto"/>
          <w:sz w:val="26"/>
          <w:szCs w:val="26"/>
          <w:highlight w:val="none"/>
        </w:rPr>
      </w:pPr>
      <w:r>
        <w:rPr>
          <w:rFonts w:hint="eastAsia" w:ascii="楷体" w:hAnsi="楷体" w:eastAsia="楷体" w:cs="楷体"/>
          <w:b/>
          <w:bCs/>
          <w:color w:val="auto"/>
          <w:kern w:val="2"/>
          <w:sz w:val="26"/>
          <w:szCs w:val="26"/>
          <w:highlight w:val="none"/>
          <w:lang w:val="en-US" w:eastAsia="zh-CN" w:bidi="ar-SA"/>
          <w14:ligatures w14:val="standardContextual"/>
        </w:rPr>
        <w:t>（3）</w:t>
      </w:r>
      <w:r>
        <w:rPr>
          <w:rFonts w:hint="eastAsia" w:ascii="楷体" w:hAnsi="楷体" w:eastAsia="楷体" w:cs="楷体"/>
          <w:color w:val="auto"/>
          <w:sz w:val="26"/>
          <w:szCs w:val="26"/>
          <w:highlight w:val="none"/>
        </w:rPr>
        <w:t>排水设施</w:t>
      </w:r>
    </w:p>
    <w:p w14:paraId="0D81665D">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项目建设地块ST01-0325排污</w:t>
      </w:r>
      <w:r>
        <w:rPr>
          <w:rFonts w:hint="eastAsia" w:ascii="楷体" w:hAnsi="楷体" w:eastAsia="楷体" w:cs="楷体"/>
          <w:color w:val="auto"/>
          <w:sz w:val="26"/>
          <w:szCs w:val="26"/>
          <w:highlight w:val="none"/>
          <w:lang w:val="en-US" w:eastAsia="zh-CN"/>
        </w:rPr>
        <w:t>计划</w:t>
      </w:r>
      <w:r>
        <w:rPr>
          <w:rFonts w:hint="eastAsia" w:ascii="楷体" w:hAnsi="楷体" w:eastAsia="楷体" w:cs="楷体"/>
          <w:color w:val="auto"/>
          <w:sz w:val="26"/>
          <w:szCs w:val="26"/>
          <w:highlight w:val="none"/>
        </w:rPr>
        <w:t>接入附近居民排污管对污水进行排放。</w:t>
      </w:r>
    </w:p>
    <w:p w14:paraId="37A7EDB0">
      <w:pPr>
        <w:pStyle w:val="129"/>
        <w:pageBreakBefore w:val="0"/>
        <w:widowControl w:val="0"/>
        <w:numPr>
          <w:ilvl w:val="3"/>
          <w:numId w:val="0"/>
        </w:numPr>
        <w:kinsoku/>
        <w:wordWrap/>
        <w:overflowPunct/>
        <w:topLinePunct w:val="0"/>
        <w:autoSpaceDE/>
        <w:autoSpaceDN/>
        <w:bidi w:val="0"/>
        <w:adjustRightInd w:val="0"/>
        <w:snapToGrid w:val="0"/>
        <w:spacing w:line="360" w:lineRule="auto"/>
        <w:ind w:left="440" w:leftChars="0" w:hanging="440" w:firstLineChars="0"/>
        <w:textAlignment w:val="auto"/>
        <w:rPr>
          <w:rFonts w:hint="eastAsia" w:ascii="楷体" w:hAnsi="楷体" w:eastAsia="楷体" w:cs="楷体"/>
          <w:color w:val="auto"/>
          <w:sz w:val="26"/>
          <w:szCs w:val="26"/>
          <w:highlight w:val="none"/>
        </w:rPr>
      </w:pPr>
      <w:r>
        <w:rPr>
          <w:rFonts w:hint="eastAsia" w:ascii="楷体" w:hAnsi="楷体" w:eastAsia="楷体" w:cs="楷体"/>
          <w:b/>
          <w:bCs/>
          <w:color w:val="auto"/>
          <w:kern w:val="2"/>
          <w:sz w:val="26"/>
          <w:szCs w:val="26"/>
          <w:highlight w:val="none"/>
          <w:lang w:val="en-US" w:eastAsia="zh-CN" w:bidi="ar-SA"/>
          <w14:ligatures w14:val="standardContextual"/>
        </w:rPr>
        <w:t>（4）</w:t>
      </w:r>
      <w:r>
        <w:rPr>
          <w:rFonts w:hint="eastAsia" w:ascii="楷体" w:hAnsi="楷体" w:eastAsia="楷体" w:cs="楷体"/>
          <w:color w:val="auto"/>
          <w:sz w:val="26"/>
          <w:szCs w:val="26"/>
          <w:highlight w:val="none"/>
        </w:rPr>
        <w:t>天然气</w:t>
      </w:r>
    </w:p>
    <w:p w14:paraId="2E5D6B65">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计划</w:t>
      </w:r>
      <w:r>
        <w:rPr>
          <w:rFonts w:hint="eastAsia" w:ascii="楷体" w:hAnsi="楷体" w:eastAsia="楷体" w:cs="楷体"/>
          <w:color w:val="auto"/>
          <w:sz w:val="26"/>
          <w:szCs w:val="26"/>
          <w:highlight w:val="none"/>
        </w:rPr>
        <w:t>对周边市政条件予以完善，达到燃气畅通。</w:t>
      </w:r>
    </w:p>
    <w:p w14:paraId="19B22704">
      <w:pPr>
        <w:pStyle w:val="129"/>
        <w:pageBreakBefore w:val="0"/>
        <w:widowControl w:val="0"/>
        <w:numPr>
          <w:ilvl w:val="3"/>
          <w:numId w:val="0"/>
        </w:numPr>
        <w:kinsoku/>
        <w:wordWrap/>
        <w:overflowPunct/>
        <w:topLinePunct w:val="0"/>
        <w:autoSpaceDE/>
        <w:autoSpaceDN/>
        <w:bidi w:val="0"/>
        <w:adjustRightInd w:val="0"/>
        <w:snapToGrid w:val="0"/>
        <w:spacing w:line="360" w:lineRule="auto"/>
        <w:ind w:left="440" w:leftChars="0" w:hanging="440" w:firstLineChars="0"/>
        <w:textAlignment w:val="auto"/>
        <w:rPr>
          <w:rFonts w:hint="eastAsia" w:ascii="楷体" w:hAnsi="楷体" w:eastAsia="楷体" w:cs="楷体"/>
          <w:color w:val="auto"/>
          <w:sz w:val="26"/>
          <w:szCs w:val="26"/>
          <w:highlight w:val="none"/>
        </w:rPr>
      </w:pPr>
      <w:r>
        <w:rPr>
          <w:rFonts w:hint="eastAsia" w:ascii="楷体" w:hAnsi="楷体" w:eastAsia="楷体" w:cs="楷体"/>
          <w:b/>
          <w:bCs/>
          <w:color w:val="auto"/>
          <w:kern w:val="2"/>
          <w:sz w:val="26"/>
          <w:szCs w:val="26"/>
          <w:highlight w:val="none"/>
          <w:lang w:val="en-US" w:eastAsia="zh-CN" w:bidi="ar-SA"/>
          <w14:ligatures w14:val="standardContextual"/>
        </w:rPr>
        <w:t>（5）</w:t>
      </w:r>
      <w:r>
        <w:rPr>
          <w:rFonts w:hint="eastAsia" w:ascii="楷体" w:hAnsi="楷体" w:eastAsia="楷体" w:cs="楷体"/>
          <w:color w:val="auto"/>
          <w:sz w:val="26"/>
          <w:szCs w:val="26"/>
          <w:highlight w:val="none"/>
        </w:rPr>
        <w:t>通信网络</w:t>
      </w:r>
    </w:p>
    <w:p w14:paraId="4AAB4D72">
      <w:pPr>
        <w:pageBreakBefore w:val="0"/>
        <w:widowControl w:val="0"/>
        <w:kinsoku/>
        <w:wordWrap/>
        <w:overflowPunct/>
        <w:topLinePunct w:val="0"/>
        <w:autoSpaceDE/>
        <w:autoSpaceDN/>
        <w:bidi w:val="0"/>
        <w:adjustRightInd w:val="0"/>
        <w:snapToGrid w:val="0"/>
        <w:spacing w:line="360" w:lineRule="auto"/>
        <w:ind w:left="0" w:firstLine="480"/>
        <w:textAlignment w:val="auto"/>
        <w:rPr>
          <w:rFonts w:hint="eastAsia" w:ascii="楷体" w:hAnsi="楷体" w:eastAsia="楷体" w:cs="楷体"/>
          <w:b/>
          <w:bCs/>
          <w:color w:val="auto"/>
          <w:sz w:val="26"/>
          <w:szCs w:val="26"/>
          <w:highlight w:val="none"/>
        </w:rPr>
      </w:pPr>
      <w:r>
        <w:rPr>
          <w:rFonts w:hint="eastAsia" w:ascii="楷体" w:hAnsi="楷体" w:eastAsia="楷体" w:cs="楷体"/>
          <w:color w:val="auto"/>
          <w:sz w:val="26"/>
          <w:szCs w:val="26"/>
          <w:highlight w:val="none"/>
        </w:rPr>
        <w:t>项目建设完善的通讯设施，实现数据化、智能化、宽带化、综合化通讯。</w:t>
      </w:r>
      <w:bookmarkEnd w:id="320"/>
    </w:p>
    <w:p w14:paraId="6C9E23B1">
      <w:pPr>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项目相关规范规程和标准</w:t>
      </w:r>
    </w:p>
    <w:p w14:paraId="2BBC052D">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1、《QX/T 85-2018 雷电灾害风险评估技术规范》</w:t>
      </w:r>
    </w:p>
    <w:p w14:paraId="178A9719">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2、《GB/T 21714.2-2015 雷电防护 第2部分：风险管理》</w:t>
      </w:r>
    </w:p>
    <w:p w14:paraId="2A15C439">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3、《GB 50057-2010 建筑物防雷设计规范》</w:t>
      </w:r>
    </w:p>
    <w:p w14:paraId="4C0322E2">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4、《防雷减灾管理办法(中国气象局第24号令)》</w:t>
      </w:r>
    </w:p>
    <w:p w14:paraId="32A3664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5、《防雷装置设计审核和竣工验收规定(中国气象局21号令)》</w:t>
      </w:r>
    </w:p>
    <w:p w14:paraId="200DF24B">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6、《气象灾害防御条例》（国务院令第 570 号）</w:t>
      </w:r>
    </w:p>
    <w:p w14:paraId="4E2C7FA7">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7、《广东省气象灾害防御条例》</w:t>
      </w:r>
    </w:p>
    <w:p w14:paraId="6967E10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8、《关于印发&lt;广东省工程建设项目区域评估操作规程&gt;的函》（粤自然资函〔2019〕2284号）</w:t>
      </w:r>
    </w:p>
    <w:p w14:paraId="457663B8">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9、其他相关规范、规程和标准</w:t>
      </w:r>
    </w:p>
    <w:p w14:paraId="1AED5DF8">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55" w:firstLineChars="175"/>
        <w:textAlignment w:val="auto"/>
        <w:rPr>
          <w:rFonts w:hint="eastAsia" w:ascii="楷体" w:hAnsi="楷体" w:eastAsia="楷体" w:cs="楷体"/>
          <w:b w:val="0"/>
          <w:bCs w:val="0"/>
          <w:color w:val="auto"/>
          <w:sz w:val="26"/>
          <w:szCs w:val="26"/>
          <w:highlight w:val="none"/>
          <w:lang w:val="en-US" w:eastAsia="zh-CN"/>
        </w:rPr>
      </w:pPr>
      <w:r>
        <w:rPr>
          <w:rFonts w:hint="eastAsia" w:ascii="楷体" w:hAnsi="楷体" w:eastAsia="楷体" w:cs="楷体"/>
          <w:b w:val="0"/>
          <w:bCs w:val="0"/>
          <w:color w:val="auto"/>
          <w:sz w:val="26"/>
          <w:szCs w:val="26"/>
          <w:highlight w:val="none"/>
          <w:lang w:val="en-US" w:eastAsia="zh-CN"/>
        </w:rPr>
        <w:t>当不同的标准之间要求有差异时，采用就高不就低的原则处理；当国家规定、地方或行业标准有新的版本替代时，按更新后的最新版本标准要求处理。</w:t>
      </w:r>
    </w:p>
    <w:p w14:paraId="18E0C029">
      <w:pPr>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成果形式</w:t>
      </w:r>
    </w:p>
    <w:p w14:paraId="09C12874">
      <w:pPr>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楷体" w:hAnsi="楷体" w:eastAsia="楷体" w:cs="楷体"/>
          <w:color w:val="auto"/>
          <w:sz w:val="26"/>
          <w:szCs w:val="26"/>
          <w:highlight w:val="none"/>
        </w:rPr>
      </w:pPr>
      <w:r>
        <w:rPr>
          <w:rFonts w:hint="eastAsia" w:ascii="楷体" w:hAnsi="楷体" w:eastAsia="楷体" w:cs="楷体"/>
          <w:color w:val="auto"/>
          <w:spacing w:val="-4"/>
          <w:sz w:val="26"/>
          <w:szCs w:val="26"/>
          <w:highlight w:val="none"/>
        </w:rPr>
        <w:t>（一）提交成果报告</w:t>
      </w:r>
    </w:p>
    <w:p w14:paraId="7B29B420">
      <w:pPr>
        <w:keepNext w:val="0"/>
        <w:keepLines w:val="0"/>
        <w:pageBreakBefore w:val="0"/>
        <w:widowControl w:val="0"/>
        <w:kinsoku/>
        <w:wordWrap/>
        <w:overflowPunct/>
        <w:topLinePunct w:val="0"/>
        <w:autoSpaceDE/>
        <w:autoSpaceDN/>
        <w:bidi w:val="0"/>
        <w:adjustRightInd w:val="0"/>
        <w:snapToGrid w:val="0"/>
        <w:spacing w:line="360" w:lineRule="auto"/>
        <w:ind w:left="0" w:right="0" w:firstLine="520" w:firstLineChars="200"/>
        <w:textAlignment w:val="auto"/>
        <w:rPr>
          <w:rFonts w:hint="default"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rPr>
        <w:t>《雷电灾害风险评估报告</w:t>
      </w:r>
      <w:r>
        <w:rPr>
          <w:rFonts w:hint="eastAsia" w:ascii="楷体" w:hAnsi="楷体" w:eastAsia="楷体" w:cs="楷体"/>
          <w:color w:val="auto"/>
          <w:sz w:val="26"/>
          <w:szCs w:val="26"/>
          <w:highlight w:val="none"/>
        </w:rPr>
        <w:t>》</w:t>
      </w:r>
      <w:r>
        <w:rPr>
          <w:rFonts w:hint="eastAsia" w:ascii="楷体" w:hAnsi="楷体" w:eastAsia="楷体" w:cs="楷体"/>
          <w:color w:val="auto"/>
          <w:sz w:val="26"/>
          <w:szCs w:val="26"/>
          <w:highlight w:val="none"/>
          <w:lang w:val="en-US" w:eastAsia="zh-CN"/>
        </w:rPr>
        <w:t>及气象主管部门的复函文件</w:t>
      </w:r>
    </w:p>
    <w:p w14:paraId="4E1B2825">
      <w:pPr>
        <w:keepNext w:val="0"/>
        <w:keepLines w:val="0"/>
        <w:pageBreakBefore w:val="0"/>
        <w:widowControl w:val="0"/>
        <w:numPr>
          <w:ilvl w:val="0"/>
          <w:numId w:val="66"/>
        </w:numPr>
        <w:kinsoku/>
        <w:wordWrap/>
        <w:overflowPunct/>
        <w:topLinePunct w:val="0"/>
        <w:autoSpaceDE/>
        <w:autoSpaceDN/>
        <w:bidi w:val="0"/>
        <w:adjustRightInd w:val="0"/>
        <w:snapToGrid w:val="0"/>
        <w:spacing w:line="360" w:lineRule="auto"/>
        <w:ind w:left="0" w:right="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报告的主要内容</w:t>
      </w:r>
    </w:p>
    <w:p w14:paraId="0ECD45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lang w:val="en-US" w:eastAsia="zh-CN"/>
        </w:rPr>
        <w:t>1、</w:t>
      </w:r>
      <w:r>
        <w:rPr>
          <w:rFonts w:hint="eastAsia" w:ascii="楷体" w:hAnsi="楷体" w:eastAsia="楷体" w:cs="楷体"/>
          <w:color w:val="auto"/>
          <w:spacing w:val="-3"/>
          <w:sz w:val="26"/>
          <w:szCs w:val="26"/>
          <w:highlight w:val="none"/>
        </w:rPr>
        <w:t>现场勘测</w:t>
      </w:r>
      <w:r>
        <w:rPr>
          <w:rFonts w:hint="eastAsia" w:ascii="楷体" w:hAnsi="楷体" w:eastAsia="楷体" w:cs="楷体"/>
          <w:color w:val="auto"/>
          <w:spacing w:val="-3"/>
          <w:sz w:val="26"/>
          <w:szCs w:val="26"/>
          <w:highlight w:val="none"/>
          <w:lang w:val="en-US" w:eastAsia="zh-CN"/>
        </w:rPr>
        <w:t>和</w:t>
      </w:r>
      <w:r>
        <w:rPr>
          <w:rFonts w:hint="eastAsia" w:ascii="楷体" w:hAnsi="楷体" w:eastAsia="楷体" w:cs="楷体"/>
          <w:color w:val="auto"/>
          <w:spacing w:val="-3"/>
          <w:sz w:val="26"/>
          <w:szCs w:val="26"/>
          <w:highlight w:val="none"/>
        </w:rPr>
        <w:t>土壤结构分析：</w:t>
      </w:r>
    </w:p>
    <w:p w14:paraId="11068B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lang w:eastAsia="zh-CN"/>
        </w:rPr>
      </w:pPr>
      <w:r>
        <w:rPr>
          <w:rFonts w:hint="eastAsia" w:ascii="楷体" w:hAnsi="楷体" w:eastAsia="楷体" w:cs="楷体"/>
          <w:color w:val="auto"/>
          <w:spacing w:val="-3"/>
          <w:sz w:val="26"/>
          <w:szCs w:val="26"/>
          <w:highlight w:val="none"/>
        </w:rPr>
        <w:t>（1）勘测项目周围地理位置，环境特征，所在区域气候背景、地貌、地质等</w:t>
      </w:r>
      <w:r>
        <w:rPr>
          <w:rFonts w:hint="eastAsia" w:ascii="楷体" w:hAnsi="楷体" w:eastAsia="楷体" w:cs="楷体"/>
          <w:color w:val="auto"/>
          <w:spacing w:val="-3"/>
          <w:sz w:val="26"/>
          <w:szCs w:val="26"/>
          <w:highlight w:val="none"/>
          <w:lang w:eastAsia="zh-CN"/>
        </w:rPr>
        <w:t>。</w:t>
      </w:r>
    </w:p>
    <w:p w14:paraId="4E881E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lang w:eastAsia="zh-CN"/>
        </w:rPr>
      </w:pPr>
      <w:r>
        <w:rPr>
          <w:rFonts w:hint="eastAsia" w:ascii="楷体" w:hAnsi="楷体" w:eastAsia="楷体" w:cs="楷体"/>
          <w:color w:val="auto"/>
          <w:spacing w:val="-3"/>
          <w:sz w:val="26"/>
          <w:szCs w:val="26"/>
          <w:highlight w:val="none"/>
        </w:rPr>
        <w:t>（</w:t>
      </w:r>
      <w:r>
        <w:rPr>
          <w:rFonts w:hint="eastAsia" w:ascii="楷体" w:hAnsi="楷体" w:eastAsia="楷体" w:cs="楷体"/>
          <w:color w:val="auto"/>
          <w:spacing w:val="-3"/>
          <w:sz w:val="26"/>
          <w:szCs w:val="26"/>
          <w:highlight w:val="none"/>
          <w:lang w:val="en-US" w:eastAsia="zh-CN"/>
        </w:rPr>
        <w:t>2</w:t>
      </w:r>
      <w:r>
        <w:rPr>
          <w:rFonts w:hint="eastAsia" w:ascii="楷体" w:hAnsi="楷体" w:eastAsia="楷体" w:cs="楷体"/>
          <w:color w:val="auto"/>
          <w:spacing w:val="-3"/>
          <w:sz w:val="26"/>
          <w:szCs w:val="26"/>
          <w:highlight w:val="none"/>
        </w:rPr>
        <w:t>）测量项目主要建构筑物和设施的经纬度位置信息，项目场地边界点的经纬度位置信息</w:t>
      </w:r>
      <w:r>
        <w:rPr>
          <w:rFonts w:hint="eastAsia" w:ascii="楷体" w:hAnsi="楷体" w:eastAsia="楷体" w:cs="楷体"/>
          <w:color w:val="auto"/>
          <w:spacing w:val="-3"/>
          <w:sz w:val="26"/>
          <w:szCs w:val="26"/>
          <w:highlight w:val="none"/>
          <w:lang w:eastAsia="zh-CN"/>
        </w:rPr>
        <w:t>。</w:t>
      </w:r>
    </w:p>
    <w:p w14:paraId="0CD47D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lang w:eastAsia="zh-CN"/>
        </w:rPr>
      </w:pPr>
      <w:r>
        <w:rPr>
          <w:rFonts w:hint="eastAsia" w:ascii="楷体" w:hAnsi="楷体" w:eastAsia="楷体" w:cs="楷体"/>
          <w:color w:val="auto"/>
          <w:spacing w:val="-3"/>
          <w:sz w:val="26"/>
          <w:szCs w:val="26"/>
          <w:highlight w:val="none"/>
        </w:rPr>
        <w:t>（</w:t>
      </w:r>
      <w:r>
        <w:rPr>
          <w:rFonts w:hint="eastAsia" w:ascii="楷体" w:hAnsi="楷体" w:eastAsia="楷体" w:cs="楷体"/>
          <w:color w:val="auto"/>
          <w:spacing w:val="-3"/>
          <w:sz w:val="26"/>
          <w:szCs w:val="26"/>
          <w:highlight w:val="none"/>
          <w:lang w:val="en-US" w:eastAsia="zh-CN"/>
        </w:rPr>
        <w:t>3</w:t>
      </w:r>
      <w:r>
        <w:rPr>
          <w:rFonts w:hint="eastAsia" w:ascii="楷体" w:hAnsi="楷体" w:eastAsia="楷体" w:cs="楷体"/>
          <w:color w:val="auto"/>
          <w:spacing w:val="-3"/>
          <w:sz w:val="26"/>
          <w:szCs w:val="26"/>
          <w:highlight w:val="none"/>
        </w:rPr>
        <w:t>）测量项目主要设施处的土壤电阻率，并结合项目岩土工程勘察报告，对实测数据进行处理分析</w:t>
      </w:r>
      <w:r>
        <w:rPr>
          <w:rFonts w:hint="eastAsia" w:ascii="楷体" w:hAnsi="楷体" w:eastAsia="楷体" w:cs="楷体"/>
          <w:color w:val="auto"/>
          <w:spacing w:val="-3"/>
          <w:sz w:val="26"/>
          <w:szCs w:val="26"/>
          <w:highlight w:val="none"/>
          <w:lang w:eastAsia="zh-CN"/>
        </w:rPr>
        <w:t>。</w:t>
      </w:r>
    </w:p>
    <w:p w14:paraId="6F984C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w:t>
      </w:r>
      <w:r>
        <w:rPr>
          <w:rFonts w:hint="eastAsia" w:ascii="楷体" w:hAnsi="楷体" w:eastAsia="楷体" w:cs="楷体"/>
          <w:color w:val="auto"/>
          <w:spacing w:val="-3"/>
          <w:sz w:val="26"/>
          <w:szCs w:val="26"/>
          <w:highlight w:val="none"/>
          <w:lang w:val="en-US" w:eastAsia="zh-CN"/>
        </w:rPr>
        <w:t>4</w:t>
      </w:r>
      <w:r>
        <w:rPr>
          <w:rFonts w:hint="eastAsia" w:ascii="楷体" w:hAnsi="楷体" w:eastAsia="楷体" w:cs="楷体"/>
          <w:color w:val="auto"/>
          <w:spacing w:val="-3"/>
          <w:sz w:val="26"/>
          <w:szCs w:val="26"/>
          <w:highlight w:val="none"/>
        </w:rPr>
        <w:t>）根据实测的土壤电阻率值，建立土壤水平分层结构模型，反演并分析项目所在区域土壤结构。</w:t>
      </w:r>
    </w:p>
    <w:p w14:paraId="48327A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lang w:val="en-US" w:eastAsia="zh-CN"/>
        </w:rPr>
        <w:t>2、</w:t>
      </w:r>
      <w:r>
        <w:rPr>
          <w:rFonts w:hint="eastAsia" w:ascii="楷体" w:hAnsi="楷体" w:eastAsia="楷体" w:cs="楷体"/>
          <w:color w:val="auto"/>
          <w:spacing w:val="-3"/>
          <w:sz w:val="26"/>
          <w:szCs w:val="26"/>
          <w:highlight w:val="none"/>
        </w:rPr>
        <w:t>大气雷电环境分析</w:t>
      </w:r>
    </w:p>
    <w:p w14:paraId="761592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（1）收集项目最近气象观测站至少30年的雷暴日数据，分析项目所在地区雷暴日年际变化规律和月变化规律，分析平均值、最高年份和最低年份，雷电高发期等。</w:t>
      </w:r>
    </w:p>
    <w:p w14:paraId="1AC5DD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（2）收集项目所在区域至少20年的闪电定位系统数据，最新数据应在近5年内；分析项目地理位置中心点或项目边界外扩5km范围内的闪电定位系统资料，给出项目所在区域地闪时空变化特征及相关参数。</w:t>
      </w:r>
    </w:p>
    <w:p w14:paraId="1EF549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（3）分析项目地理位置中心点或项目边界外扩5km范围内的闪电定位系统资料，给出电流强度值（多年平均值、正极性雷电流平均值、负极性雷电流平均值）</w:t>
      </w:r>
      <w:r>
        <w:rPr>
          <w:rFonts w:hint="eastAsia" w:ascii="楷体" w:hAnsi="楷体" w:eastAsia="楷体" w:cs="楷体"/>
          <w:color w:val="auto"/>
          <w:spacing w:val="-3"/>
          <w:sz w:val="26"/>
          <w:szCs w:val="26"/>
          <w:highlight w:val="none"/>
          <w:lang w:eastAsia="zh-CN"/>
        </w:rPr>
        <w:t>；</w:t>
      </w:r>
      <w:r>
        <w:rPr>
          <w:rFonts w:hint="eastAsia" w:ascii="楷体" w:hAnsi="楷体" w:eastAsia="楷体" w:cs="楷体"/>
          <w:color w:val="auto"/>
          <w:spacing w:val="-3"/>
          <w:sz w:val="26"/>
          <w:szCs w:val="26"/>
          <w:highlight w:val="none"/>
        </w:rPr>
        <w:t>1%、2%、5%、10%、50%累积概率对应的雷电流幅值；2.91kA、5.43kA、10.14kA、15.79kA对应的雷电流累积概率；雷电流累积概率分布曲线图；多年平均雷电流强度空间分布图；雷电流强度空间分布距平图；雷电流强度多年变化趋势图。</w:t>
      </w:r>
    </w:p>
    <w:p w14:paraId="0DC51D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（4）采用机器学习算法，对项目所在区域历史闪电定位系统数据进行数据训练、数据分析，识别雷暴运动轨迹，给出项目所在区域雷暴移动路径主导方向和雷暴路径玫瑰图。</w:t>
      </w:r>
    </w:p>
    <w:p w14:paraId="64CDF1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19" w:firstLineChars="165"/>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（5）收集项目所在区域至少5年的卫星闪电成像仪LMI数据，给出项目所在区域多年平均卫星闪电次数及卫星闪电空间分布图。</w:t>
      </w:r>
    </w:p>
    <w:p w14:paraId="3FAE84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5</w:t>
      </w:r>
      <w:r>
        <w:rPr>
          <w:rFonts w:hint="eastAsia" w:ascii="楷体" w:hAnsi="楷体" w:eastAsia="楷体" w:cs="楷体"/>
          <w:color w:val="auto"/>
          <w:spacing w:val="-3"/>
          <w:sz w:val="26"/>
          <w:szCs w:val="26"/>
          <w:highlight w:val="none"/>
          <w:lang w:eastAsia="zh-CN"/>
        </w:rPr>
        <w:t>.</w:t>
      </w:r>
      <w:r>
        <w:rPr>
          <w:rFonts w:hint="eastAsia" w:ascii="楷体" w:hAnsi="楷体" w:eastAsia="楷体" w:cs="楷体"/>
          <w:color w:val="auto"/>
          <w:spacing w:val="-3"/>
          <w:sz w:val="26"/>
          <w:szCs w:val="26"/>
          <w:highlight w:val="none"/>
        </w:rPr>
        <w:t>雷电灾害分析</w:t>
      </w:r>
    </w:p>
    <w:p w14:paraId="34CE6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08" w:firstLineChars="20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根据项目性质特点和历史雷电灾害资料，分析项目所在地区雷电灾害特征和同类型行业历史雷电灾害特征。</w:t>
      </w:r>
    </w:p>
    <w:p w14:paraId="0827AF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6</w:t>
      </w:r>
      <w:r>
        <w:rPr>
          <w:rFonts w:hint="eastAsia" w:ascii="楷体" w:hAnsi="楷体" w:eastAsia="楷体" w:cs="楷体"/>
          <w:color w:val="auto"/>
          <w:spacing w:val="-3"/>
          <w:sz w:val="26"/>
          <w:szCs w:val="26"/>
          <w:highlight w:val="none"/>
          <w:lang w:eastAsia="zh-CN"/>
        </w:rPr>
        <w:t>.</w:t>
      </w:r>
      <w:r>
        <w:rPr>
          <w:rFonts w:hint="eastAsia" w:ascii="楷体" w:hAnsi="楷体" w:eastAsia="楷体" w:cs="楷体"/>
          <w:color w:val="auto"/>
          <w:spacing w:val="-3"/>
          <w:sz w:val="26"/>
          <w:szCs w:val="26"/>
          <w:highlight w:val="none"/>
        </w:rPr>
        <w:t>项目风险估算</w:t>
      </w:r>
    </w:p>
    <w:p w14:paraId="37F0DD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08" w:firstLineChars="20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①风险辨识：依据项目规划建设方案和雷电活动的特征，对项目中的主要建构筑物、电气系统、弱电系统等进行系统性的雷电风险识别（包括损害源、各类装置和设备的敏感性以及雷电可能造成的损失后果分析）。②风险估算：根据风险识别结论，对建构筑物、电气系统、弱电系统等进行直接雷击影响区域和间接雷击影响区域的量化计算；以项目所在地区多年地闪监测资料分析结果为依据，结合项目所在地的土壤电阻率、地理位置、物理尺寸、人员活动情况、管道及线缆的布设情况、设备冲击耐压水平等内容对各种类型的雷电损害风险后果分别进行量化计算。③防雷设计参数分析：包括接地网参数、低压系统雷电过电流幅值、电子信息系统雷电防护等级等。④数值仿真：利用数值仿真方法，建立雷击损害仿真模型，设置合适的参数模拟各种雷击情况，分析雷击对评估对象造成的影响。</w:t>
      </w:r>
    </w:p>
    <w:p w14:paraId="53AF7C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7</w:t>
      </w:r>
      <w:r>
        <w:rPr>
          <w:rFonts w:hint="eastAsia" w:ascii="楷体" w:hAnsi="楷体" w:eastAsia="楷体" w:cs="楷体"/>
          <w:color w:val="auto"/>
          <w:spacing w:val="-3"/>
          <w:sz w:val="26"/>
          <w:szCs w:val="26"/>
          <w:highlight w:val="none"/>
          <w:lang w:eastAsia="zh-CN"/>
        </w:rPr>
        <w:t>.</w:t>
      </w:r>
      <w:r>
        <w:rPr>
          <w:rFonts w:hint="eastAsia" w:ascii="楷体" w:hAnsi="楷体" w:eastAsia="楷体" w:cs="楷体"/>
          <w:color w:val="auto"/>
          <w:spacing w:val="-3"/>
          <w:sz w:val="26"/>
          <w:szCs w:val="26"/>
          <w:highlight w:val="none"/>
        </w:rPr>
        <w:t>防御和减轻雷电灾害的建议、对策和措施</w:t>
      </w:r>
    </w:p>
    <w:p w14:paraId="67DC02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08" w:firstLineChars="20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根据项目特点，在计算分析和总结的基础上，说明评估结论的适用性，并提出项目不同阶段（规划、设计、施工、运营）应侧重关注的雷电特征、高风险区块等，并提出雷电灾害的防御措施与建议。</w:t>
      </w:r>
    </w:p>
    <w:p w14:paraId="2BD86B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楷体" w:hAnsi="楷体" w:eastAsia="楷体" w:cs="楷体"/>
          <w:color w:val="auto"/>
          <w:spacing w:val="-3"/>
          <w:sz w:val="26"/>
          <w:szCs w:val="26"/>
          <w:highlight w:val="none"/>
        </w:rPr>
      </w:pPr>
      <w:r>
        <w:rPr>
          <w:rFonts w:hint="eastAsia" w:ascii="楷体" w:hAnsi="楷体" w:eastAsia="楷体" w:cs="楷体"/>
          <w:color w:val="auto"/>
          <w:spacing w:val="-3"/>
          <w:sz w:val="26"/>
          <w:szCs w:val="26"/>
          <w:highlight w:val="none"/>
        </w:rPr>
        <w:t>8</w:t>
      </w:r>
      <w:r>
        <w:rPr>
          <w:rFonts w:hint="eastAsia" w:ascii="楷体" w:hAnsi="楷体" w:eastAsia="楷体" w:cs="楷体"/>
          <w:color w:val="auto"/>
          <w:spacing w:val="-3"/>
          <w:sz w:val="26"/>
          <w:szCs w:val="26"/>
          <w:highlight w:val="none"/>
          <w:lang w:eastAsia="zh-CN"/>
        </w:rPr>
        <w:t>.</w:t>
      </w:r>
      <w:r>
        <w:rPr>
          <w:rFonts w:hint="eastAsia" w:ascii="楷体" w:hAnsi="楷体" w:eastAsia="楷体" w:cs="楷体"/>
          <w:color w:val="auto"/>
          <w:spacing w:val="-3"/>
          <w:sz w:val="26"/>
          <w:szCs w:val="26"/>
          <w:highlight w:val="none"/>
        </w:rPr>
        <w:t>结论</w:t>
      </w:r>
    </w:p>
    <w:p w14:paraId="7A165877">
      <w:pPr>
        <w:keepNext w:val="0"/>
        <w:keepLines w:val="0"/>
        <w:pageBreakBefore w:val="0"/>
        <w:widowControl w:val="0"/>
        <w:kinsoku/>
        <w:wordWrap/>
        <w:overflowPunct/>
        <w:topLinePunct w:val="0"/>
        <w:autoSpaceDE/>
        <w:autoSpaceDN/>
        <w:bidi w:val="0"/>
        <w:adjustRightInd w:val="0"/>
        <w:snapToGrid w:val="0"/>
        <w:spacing w:line="360" w:lineRule="auto"/>
        <w:ind w:left="0" w:right="0" w:firstLine="424"/>
        <w:textAlignment w:val="auto"/>
        <w:rPr>
          <w:rFonts w:hint="eastAsia" w:ascii="楷体" w:hAnsi="楷体" w:eastAsia="楷体" w:cs="楷体"/>
          <w:color w:val="auto"/>
          <w:spacing w:val="-4"/>
          <w:sz w:val="26"/>
          <w:szCs w:val="26"/>
          <w:highlight w:val="none"/>
          <w:lang w:eastAsia="zh-CN"/>
        </w:rPr>
      </w:pPr>
      <w:r>
        <w:rPr>
          <w:rFonts w:hint="eastAsia" w:ascii="楷体" w:hAnsi="楷体" w:eastAsia="楷体" w:cs="楷体"/>
          <w:color w:val="auto"/>
          <w:spacing w:val="-3"/>
          <w:sz w:val="26"/>
          <w:szCs w:val="26"/>
          <w:highlight w:val="none"/>
        </w:rPr>
        <w:t>在概括和总结全部评估工作的基础上，客观地总结项目所在区域雷电环境背景、雷电灾害情况、关键雷电参数统计分析、雷电风险评估结果，并指出评估结果的适用范围及其不确定性，给出综合雷电防护策略。</w:t>
      </w:r>
    </w:p>
    <w:p w14:paraId="0B87B5EA">
      <w:pPr>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服务期限</w:t>
      </w:r>
    </w:p>
    <w:p w14:paraId="690BB952">
      <w:pPr>
        <w:keepNext w:val="0"/>
        <w:keepLines w:val="0"/>
        <w:pageBreakBefore w:val="0"/>
        <w:widowControl w:val="0"/>
        <w:kinsoku/>
        <w:wordWrap/>
        <w:overflowPunct/>
        <w:topLinePunct w:val="0"/>
        <w:autoSpaceDE/>
        <w:autoSpaceDN/>
        <w:bidi w:val="0"/>
        <w:adjustRightInd w:val="0"/>
        <w:snapToGrid w:val="0"/>
        <w:spacing w:line="360" w:lineRule="auto"/>
        <w:ind w:left="0" w:right="0" w:firstLine="424"/>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color w:val="auto"/>
          <w:sz w:val="26"/>
          <w:szCs w:val="26"/>
          <w:highlight w:val="none"/>
          <w:lang w:eastAsia="zh-CN"/>
        </w:rPr>
        <w:t>合同</w:t>
      </w:r>
      <w:r>
        <w:rPr>
          <w:rFonts w:hint="eastAsia" w:ascii="楷体" w:hAnsi="楷体" w:eastAsia="楷体" w:cs="楷体"/>
          <w:color w:val="auto"/>
          <w:sz w:val="26"/>
          <w:szCs w:val="26"/>
          <w:highlight w:val="none"/>
          <w:lang w:val="en-US" w:eastAsia="zh-CN"/>
        </w:rPr>
        <w:t>生效</w:t>
      </w:r>
      <w:r>
        <w:rPr>
          <w:rFonts w:hint="eastAsia" w:ascii="楷体" w:hAnsi="楷体" w:eastAsia="楷体" w:cs="楷体"/>
          <w:color w:val="auto"/>
          <w:sz w:val="26"/>
          <w:szCs w:val="26"/>
          <w:highlight w:val="none"/>
          <w:lang w:eastAsia="zh-CN"/>
        </w:rPr>
        <w:t>之日起</w:t>
      </w:r>
      <w:r>
        <w:rPr>
          <w:rFonts w:hint="eastAsia" w:ascii="楷体" w:hAnsi="楷体" w:eastAsia="楷体" w:cs="楷体"/>
          <w:color w:val="auto"/>
          <w:sz w:val="26"/>
          <w:szCs w:val="26"/>
          <w:highlight w:val="none"/>
          <w:lang w:val="en-US" w:eastAsia="zh-CN"/>
        </w:rPr>
        <w:t>20</w:t>
      </w:r>
      <w:r>
        <w:rPr>
          <w:rFonts w:hint="eastAsia" w:ascii="楷体" w:hAnsi="楷体" w:eastAsia="楷体" w:cs="楷体"/>
          <w:color w:val="auto"/>
          <w:sz w:val="26"/>
          <w:szCs w:val="26"/>
          <w:highlight w:val="none"/>
          <w:lang w:eastAsia="zh-CN"/>
        </w:rPr>
        <w:t>个工作日内完成本项目所有内容，并通过招标人验收。</w:t>
      </w:r>
    </w:p>
    <w:p w14:paraId="7ECF8267">
      <w:pPr>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付款方式</w:t>
      </w:r>
    </w:p>
    <w:p w14:paraId="197FEBBA">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b w:val="0"/>
          <w:bCs/>
          <w:color w:val="auto"/>
          <w:sz w:val="26"/>
          <w:szCs w:val="26"/>
          <w:highlight w:val="none"/>
        </w:rPr>
      </w:pPr>
      <w:r>
        <w:rPr>
          <w:rFonts w:hint="eastAsia" w:ascii="楷体" w:hAnsi="楷体" w:eastAsia="楷体" w:cs="楷体"/>
          <w:b w:val="0"/>
          <w:bCs/>
          <w:color w:val="auto"/>
          <w:sz w:val="26"/>
          <w:szCs w:val="26"/>
          <w:highlight w:val="none"/>
        </w:rPr>
        <w:t>1、合同生效后，招标人收到中标人提供的请款函与合法有效增值税专用发票后</w:t>
      </w:r>
      <w:r>
        <w:rPr>
          <w:rFonts w:hint="eastAsia" w:ascii="楷体" w:hAnsi="楷体" w:eastAsia="楷体" w:cs="楷体"/>
          <w:b w:val="0"/>
          <w:bCs/>
          <w:color w:val="auto"/>
          <w:sz w:val="26"/>
          <w:szCs w:val="26"/>
          <w:highlight w:val="none"/>
          <w:lang w:val="en-US" w:eastAsia="zh-CN"/>
        </w:rPr>
        <w:t>15</w:t>
      </w:r>
      <w:r>
        <w:rPr>
          <w:rFonts w:hint="eastAsia" w:ascii="楷体" w:hAnsi="楷体" w:eastAsia="楷体" w:cs="楷体"/>
          <w:b w:val="0"/>
          <w:bCs/>
          <w:color w:val="auto"/>
          <w:sz w:val="26"/>
          <w:szCs w:val="26"/>
          <w:highlight w:val="none"/>
        </w:rPr>
        <w:t>个工作日内支付合同价款的</w:t>
      </w:r>
      <w:r>
        <w:rPr>
          <w:rFonts w:hint="eastAsia" w:ascii="楷体" w:hAnsi="楷体" w:eastAsia="楷体" w:cs="楷体"/>
          <w:b w:val="0"/>
          <w:bCs/>
          <w:color w:val="auto"/>
          <w:sz w:val="26"/>
          <w:szCs w:val="26"/>
          <w:highlight w:val="none"/>
          <w:lang w:val="en-US" w:eastAsia="zh-CN"/>
        </w:rPr>
        <w:t>30</w:t>
      </w:r>
      <w:r>
        <w:rPr>
          <w:rFonts w:hint="eastAsia" w:ascii="楷体" w:hAnsi="楷体" w:eastAsia="楷体" w:cs="楷体"/>
          <w:b w:val="0"/>
          <w:bCs/>
          <w:color w:val="auto"/>
          <w:sz w:val="26"/>
          <w:szCs w:val="26"/>
          <w:highlight w:val="none"/>
        </w:rPr>
        <w:t>%。</w:t>
      </w:r>
    </w:p>
    <w:p w14:paraId="1095B16E">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b w:val="0"/>
          <w:bCs/>
          <w:color w:val="auto"/>
          <w:sz w:val="26"/>
          <w:szCs w:val="26"/>
          <w:highlight w:val="none"/>
        </w:rPr>
        <w:t>2、中标人出具的《雷电灾害风险评估报告》通过审查，招标人收到中标人提供的请款函与合法有效增值税专用发票后</w:t>
      </w:r>
      <w:r>
        <w:rPr>
          <w:rFonts w:hint="eastAsia" w:ascii="楷体" w:hAnsi="楷体" w:eastAsia="楷体" w:cs="楷体"/>
          <w:b w:val="0"/>
          <w:bCs/>
          <w:color w:val="auto"/>
          <w:sz w:val="26"/>
          <w:szCs w:val="26"/>
          <w:highlight w:val="none"/>
          <w:lang w:val="en-US" w:eastAsia="zh-CN"/>
        </w:rPr>
        <w:t>15</w:t>
      </w:r>
      <w:r>
        <w:rPr>
          <w:rFonts w:hint="eastAsia" w:ascii="楷体" w:hAnsi="楷体" w:eastAsia="楷体" w:cs="楷体"/>
          <w:b w:val="0"/>
          <w:bCs/>
          <w:color w:val="auto"/>
          <w:sz w:val="26"/>
          <w:szCs w:val="26"/>
          <w:highlight w:val="none"/>
        </w:rPr>
        <w:t>个工作日内支付合同价款的</w:t>
      </w:r>
      <w:r>
        <w:rPr>
          <w:rFonts w:hint="eastAsia" w:ascii="楷体" w:hAnsi="楷体" w:eastAsia="楷体" w:cs="楷体"/>
          <w:b w:val="0"/>
          <w:bCs/>
          <w:color w:val="auto"/>
          <w:sz w:val="26"/>
          <w:szCs w:val="26"/>
          <w:highlight w:val="none"/>
          <w:lang w:val="en-US" w:eastAsia="zh-CN"/>
        </w:rPr>
        <w:t>70</w:t>
      </w:r>
      <w:r>
        <w:rPr>
          <w:rFonts w:hint="eastAsia" w:ascii="楷体" w:hAnsi="楷体" w:eastAsia="楷体" w:cs="楷体"/>
          <w:b w:val="0"/>
          <w:bCs/>
          <w:color w:val="auto"/>
          <w:sz w:val="26"/>
          <w:szCs w:val="26"/>
          <w:highlight w:val="none"/>
        </w:rPr>
        <w:t>%。</w:t>
      </w:r>
    </w:p>
    <w:p w14:paraId="0F9ACC3A">
      <w:pPr>
        <w:keepNext w:val="0"/>
        <w:keepLines w:val="0"/>
        <w:pageBreakBefore w:val="0"/>
        <w:widowControl w:val="0"/>
        <w:numPr>
          <w:ilvl w:val="0"/>
          <w:numId w:val="64"/>
        </w:numPr>
        <w:kinsoku/>
        <w:wordWrap/>
        <w:overflowPunct/>
        <w:topLinePunct w:val="0"/>
        <w:autoSpaceDE/>
        <w:autoSpaceDN/>
        <w:bidi w:val="0"/>
        <w:adjustRightInd w:val="0"/>
        <w:snapToGrid w:val="0"/>
        <w:spacing w:line="360" w:lineRule="auto"/>
        <w:ind w:left="0"/>
        <w:textAlignment w:val="auto"/>
        <w:rPr>
          <w:rFonts w:hint="eastAsia" w:ascii="楷体" w:hAnsi="楷体" w:eastAsia="楷体" w:cs="楷体"/>
          <w:b/>
          <w:bCs/>
          <w:color w:val="auto"/>
          <w:sz w:val="26"/>
          <w:szCs w:val="26"/>
          <w:highlight w:val="none"/>
          <w:lang w:val="en-US" w:eastAsia="zh-CN"/>
        </w:rPr>
      </w:pPr>
      <w:r>
        <w:rPr>
          <w:rFonts w:hint="eastAsia" w:ascii="楷体" w:hAnsi="楷体" w:eastAsia="楷体" w:cs="楷体"/>
          <w:b/>
          <w:bCs/>
          <w:color w:val="auto"/>
          <w:sz w:val="26"/>
          <w:szCs w:val="26"/>
          <w:highlight w:val="none"/>
          <w:lang w:val="en-US" w:eastAsia="zh-CN"/>
        </w:rPr>
        <w:t>履约验收方案</w:t>
      </w:r>
    </w:p>
    <w:p w14:paraId="15871B93">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b w:val="0"/>
          <w:bCs/>
          <w:color w:val="auto"/>
          <w:sz w:val="26"/>
          <w:szCs w:val="26"/>
          <w:highlight w:val="none"/>
        </w:rPr>
      </w:pPr>
      <w:r>
        <w:rPr>
          <w:rFonts w:hint="eastAsia" w:ascii="楷体" w:hAnsi="楷体" w:eastAsia="楷体" w:cs="楷体"/>
          <w:b w:val="0"/>
          <w:bCs/>
          <w:color w:val="auto"/>
          <w:sz w:val="26"/>
          <w:szCs w:val="26"/>
          <w:highlight w:val="none"/>
        </w:rPr>
        <w:t>1.</w:t>
      </w:r>
      <w:r>
        <w:rPr>
          <w:rFonts w:hint="eastAsia" w:ascii="楷体" w:hAnsi="楷体" w:eastAsia="楷体" w:cs="楷体"/>
          <w:b w:val="0"/>
          <w:bCs/>
          <w:color w:val="auto"/>
          <w:sz w:val="26"/>
          <w:szCs w:val="26"/>
          <w:highlight w:val="none"/>
          <w:lang w:val="en-US" w:eastAsia="zh-CN"/>
        </w:rPr>
        <w:t>中标人</w:t>
      </w:r>
      <w:r>
        <w:rPr>
          <w:rFonts w:hint="eastAsia" w:ascii="楷体" w:hAnsi="楷体" w:eastAsia="楷体" w:cs="楷体"/>
          <w:b w:val="0"/>
          <w:bCs/>
          <w:color w:val="auto"/>
          <w:sz w:val="26"/>
          <w:szCs w:val="26"/>
          <w:highlight w:val="none"/>
        </w:rPr>
        <w:t>提交完成的《广东烟草清远市有限公司卷烟物流配送中心易地技术改造项目雷电灾害风险评估报告（送审稿）》由清远市气象主管机构组织评审，专家依据国家和行业有关规范、规程和标准进行逐项确认，专家对《广东烟草清远市有限公司卷烟物流配送中心易地技术改造项目雷电灾害风险评估报告（送审稿）》进行综合评审，分别形成《专家评审意见》。</w:t>
      </w:r>
    </w:p>
    <w:p w14:paraId="4B56E687">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b w:val="0"/>
          <w:bCs/>
          <w:color w:val="auto"/>
          <w:sz w:val="26"/>
          <w:szCs w:val="26"/>
          <w:highlight w:val="none"/>
        </w:rPr>
      </w:pPr>
      <w:r>
        <w:rPr>
          <w:rFonts w:hint="eastAsia" w:ascii="楷体" w:hAnsi="楷体" w:eastAsia="楷体" w:cs="楷体"/>
          <w:b w:val="0"/>
          <w:bCs/>
          <w:color w:val="auto"/>
          <w:sz w:val="26"/>
          <w:szCs w:val="26"/>
          <w:highlight w:val="none"/>
        </w:rPr>
        <w:t>2.专家评审通过后，</w:t>
      </w:r>
      <w:r>
        <w:rPr>
          <w:rFonts w:hint="eastAsia" w:ascii="楷体" w:hAnsi="楷体" w:eastAsia="楷体" w:cs="楷体"/>
          <w:b w:val="0"/>
          <w:bCs/>
          <w:color w:val="auto"/>
          <w:sz w:val="26"/>
          <w:szCs w:val="26"/>
          <w:highlight w:val="none"/>
          <w:lang w:val="en-US" w:eastAsia="zh-CN"/>
        </w:rPr>
        <w:t>中标人</w:t>
      </w:r>
      <w:r>
        <w:rPr>
          <w:rFonts w:hint="eastAsia" w:ascii="楷体" w:hAnsi="楷体" w:eastAsia="楷体" w:cs="楷体"/>
          <w:b w:val="0"/>
          <w:bCs/>
          <w:color w:val="auto"/>
          <w:sz w:val="26"/>
          <w:szCs w:val="26"/>
          <w:highlight w:val="none"/>
        </w:rPr>
        <w:t>提交《广东烟草清远市有限公司卷烟物流配送中心易地技术改造项目雷电灾害风险评估报告》、清远市气象主管机构的复函以及《专家评审意见》至</w:t>
      </w:r>
      <w:r>
        <w:rPr>
          <w:rFonts w:hint="eastAsia" w:ascii="楷体" w:hAnsi="楷体" w:eastAsia="楷体" w:cs="楷体"/>
          <w:b w:val="0"/>
          <w:bCs/>
          <w:color w:val="auto"/>
          <w:sz w:val="26"/>
          <w:szCs w:val="26"/>
          <w:highlight w:val="none"/>
          <w:lang w:val="en-US" w:eastAsia="zh-CN"/>
        </w:rPr>
        <w:t>招标人</w:t>
      </w:r>
      <w:r>
        <w:rPr>
          <w:rFonts w:hint="eastAsia" w:ascii="楷体" w:hAnsi="楷体" w:eastAsia="楷体" w:cs="楷体"/>
          <w:b w:val="0"/>
          <w:bCs/>
          <w:color w:val="auto"/>
          <w:sz w:val="26"/>
          <w:szCs w:val="26"/>
          <w:highlight w:val="none"/>
        </w:rPr>
        <w:t>即完成本项目验收。</w:t>
      </w:r>
    </w:p>
    <w:p w14:paraId="11FD30DC">
      <w:pPr>
        <w:keepNext w:val="0"/>
        <w:keepLines w:val="0"/>
        <w:pageBreakBefore w:val="0"/>
        <w:widowControl w:val="0"/>
        <w:kinsoku/>
        <w:wordWrap/>
        <w:overflowPunct/>
        <w:topLinePunct w:val="0"/>
        <w:autoSpaceDE/>
        <w:autoSpaceDN/>
        <w:bidi w:val="0"/>
        <w:adjustRightInd w:val="0"/>
        <w:snapToGrid w:val="0"/>
        <w:spacing w:line="360" w:lineRule="auto"/>
        <w:ind w:left="0" w:firstLine="520" w:firstLineChars="200"/>
        <w:textAlignment w:val="auto"/>
        <w:rPr>
          <w:rFonts w:hint="eastAsia" w:ascii="楷体" w:hAnsi="楷体" w:eastAsia="楷体" w:cs="楷体"/>
          <w:b w:val="0"/>
          <w:bCs/>
          <w:color w:val="auto"/>
          <w:sz w:val="26"/>
          <w:szCs w:val="26"/>
          <w:highlight w:val="none"/>
        </w:rPr>
      </w:pPr>
      <w:r>
        <w:rPr>
          <w:rFonts w:hint="eastAsia" w:ascii="楷体" w:hAnsi="楷体" w:eastAsia="楷体" w:cs="楷体"/>
          <w:b w:val="0"/>
          <w:bCs/>
          <w:color w:val="auto"/>
          <w:sz w:val="26"/>
          <w:szCs w:val="26"/>
          <w:highlight w:val="none"/>
        </w:rPr>
        <w:t>3.验收方式：</w:t>
      </w:r>
      <w:r>
        <w:rPr>
          <w:rFonts w:hint="eastAsia" w:ascii="楷体" w:hAnsi="楷体" w:eastAsia="楷体" w:cs="楷体"/>
          <w:b w:val="0"/>
          <w:bCs/>
          <w:color w:val="auto"/>
          <w:sz w:val="26"/>
          <w:szCs w:val="26"/>
          <w:highlight w:val="none"/>
          <w:lang w:val="en-US" w:eastAsia="zh-CN"/>
        </w:rPr>
        <w:t>中标人</w:t>
      </w:r>
      <w:r>
        <w:rPr>
          <w:rFonts w:hint="eastAsia" w:ascii="楷体" w:hAnsi="楷体" w:eastAsia="楷体" w:cs="楷体"/>
          <w:b w:val="0"/>
          <w:bCs/>
          <w:color w:val="auto"/>
          <w:sz w:val="26"/>
          <w:szCs w:val="26"/>
          <w:highlight w:val="none"/>
        </w:rPr>
        <w:t>提交《广东烟草清远市有限公司卷烟物流配送中心易地技术改造项目雷电灾害风险评估报告》通过专家评审及气象主管机构的复函文件。</w:t>
      </w:r>
    </w:p>
    <w:p w14:paraId="66D4ED55">
      <w:pPr>
        <w:widowControl w:val="0"/>
        <w:adjustRightInd w:val="0"/>
        <w:snapToGrid w:val="0"/>
        <w:spacing w:beforeLines="-2147483648" w:afterLines="-2147483648" w:line="360" w:lineRule="auto"/>
        <w:ind w:firstLine="520" w:firstLineChars="200"/>
        <w:jc w:val="left"/>
        <w:rPr>
          <w:rFonts w:hint="eastAsia" w:ascii="楷体" w:hAnsi="楷体" w:eastAsia="楷体" w:cs="楷体"/>
          <w:b/>
          <w:bCs/>
          <w:color w:val="auto"/>
          <w:sz w:val="32"/>
          <w:szCs w:val="32"/>
          <w:highlight w:val="none"/>
        </w:rPr>
      </w:pPr>
      <w:r>
        <w:rPr>
          <w:rFonts w:hint="eastAsia" w:ascii="楷体" w:hAnsi="楷体" w:eastAsia="楷体" w:cs="楷体"/>
          <w:b w:val="0"/>
          <w:bCs/>
          <w:color w:val="auto"/>
          <w:sz w:val="26"/>
          <w:szCs w:val="26"/>
          <w:highlight w:val="none"/>
        </w:rPr>
        <w:t>4.验收依据为国家和行业有关规范、规程和标准。</w:t>
      </w:r>
    </w:p>
    <w:p w14:paraId="21F19CF4">
      <w:pPr>
        <w:pStyle w:val="3"/>
        <w:spacing w:beforeLines="2200" w:afterLines="2200"/>
        <w:jc w:val="center"/>
        <w:rPr>
          <w:rFonts w:ascii="楷体" w:hAnsi="楷体" w:eastAsia="楷体" w:cs="楷体"/>
          <w:color w:val="auto"/>
          <w:highlight w:val="none"/>
        </w:rPr>
      </w:pPr>
      <w:bookmarkStart w:id="321" w:name="_Toc50736470"/>
      <w:bookmarkStart w:id="322" w:name="_Toc50737290"/>
      <w:bookmarkStart w:id="323" w:name="_Toc50691023"/>
      <w:bookmarkStart w:id="324" w:name="_Toc50737322"/>
      <w:bookmarkStart w:id="325" w:name="_Toc168288368"/>
      <w:bookmarkStart w:id="326" w:name="_Toc32670"/>
      <w:bookmarkStart w:id="327" w:name="_Toc25940"/>
      <w:bookmarkStart w:id="328" w:name="_Toc423021952"/>
      <w:bookmarkStart w:id="329" w:name="_Toc464"/>
      <w:bookmarkStart w:id="330" w:name="_Toc16117"/>
      <w:bookmarkStart w:id="331" w:name="_Toc372468320"/>
      <w:bookmarkStart w:id="332" w:name="_Toc183316721"/>
      <w:bookmarkStart w:id="333" w:name="_Toc29518"/>
      <w:bookmarkStart w:id="334" w:name="_Toc182886660"/>
    </w:p>
    <w:p w14:paraId="5468EA70">
      <w:pPr>
        <w:pStyle w:val="3"/>
        <w:spacing w:beforeLines="2200" w:afterLines="2200"/>
        <w:jc w:val="center"/>
        <w:rPr>
          <w:rFonts w:ascii="楷体" w:hAnsi="楷体" w:eastAsia="楷体" w:cs="楷体"/>
          <w:color w:val="auto"/>
          <w:highlight w:val="none"/>
        </w:rPr>
      </w:pPr>
      <w:r>
        <w:rPr>
          <w:rFonts w:hint="eastAsia" w:ascii="楷体" w:hAnsi="楷体" w:eastAsia="楷体" w:cs="楷体"/>
          <w:color w:val="auto"/>
          <w:highlight w:val="none"/>
        </w:rPr>
        <w:t>第五章</w:t>
      </w:r>
      <w:bookmarkEnd w:id="321"/>
      <w:bookmarkEnd w:id="322"/>
      <w:bookmarkEnd w:id="323"/>
      <w:bookmarkEnd w:id="324"/>
      <w:bookmarkEnd w:id="325"/>
      <w:r>
        <w:rPr>
          <w:rFonts w:hint="eastAsia" w:ascii="楷体" w:hAnsi="楷体" w:eastAsia="楷体" w:cs="楷体"/>
          <w:color w:val="auto"/>
          <w:highlight w:val="none"/>
        </w:rPr>
        <w:t>合同格式</w:t>
      </w:r>
      <w:bookmarkEnd w:id="326"/>
      <w:bookmarkEnd w:id="327"/>
      <w:bookmarkEnd w:id="328"/>
      <w:bookmarkEnd w:id="329"/>
      <w:bookmarkEnd w:id="330"/>
      <w:bookmarkEnd w:id="331"/>
      <w:bookmarkEnd w:id="332"/>
      <w:bookmarkEnd w:id="333"/>
      <w:bookmarkEnd w:id="334"/>
    </w:p>
    <w:p w14:paraId="5A5DBCEF">
      <w:pPr>
        <w:adjustRightInd w:val="0"/>
        <w:snapToGrid w:val="0"/>
        <w:spacing w:line="360" w:lineRule="auto"/>
        <w:jc w:val="left"/>
        <w:rPr>
          <w:rFonts w:ascii="楷体" w:hAnsi="楷体" w:eastAsia="楷体" w:cs="楷体"/>
          <w:b/>
          <w:color w:val="auto"/>
          <w:sz w:val="48"/>
          <w:szCs w:val="48"/>
          <w:highlight w:val="none"/>
        </w:rPr>
      </w:pPr>
      <w:r>
        <w:rPr>
          <w:rFonts w:hint="eastAsia" w:ascii="楷体" w:hAnsi="楷体" w:eastAsia="楷体" w:cs="楷体"/>
          <w:b/>
          <w:color w:val="auto"/>
          <w:sz w:val="52"/>
          <w:szCs w:val="52"/>
          <w:highlight w:val="none"/>
        </w:rPr>
        <w:br w:type="page"/>
      </w:r>
      <w:bookmarkStart w:id="335" w:name="_Toc502738619"/>
      <w:bookmarkEnd w:id="335"/>
      <w:bookmarkStart w:id="336" w:name="_Toc42272395"/>
      <w:bookmarkEnd w:id="336"/>
      <w:bookmarkStart w:id="337" w:name="_Toc510095285"/>
      <w:bookmarkEnd w:id="337"/>
      <w:bookmarkStart w:id="338" w:name="_Toc322033402"/>
      <w:bookmarkStart w:id="339" w:name="_Toc13659"/>
      <w:bookmarkStart w:id="340" w:name="_Toc263336367"/>
      <w:bookmarkStart w:id="341" w:name="_Toc263670121"/>
      <w:bookmarkStart w:id="342" w:name="_Toc263437593"/>
    </w:p>
    <w:p w14:paraId="4AC35A49">
      <w:pPr>
        <w:rPr>
          <w:rFonts w:ascii="宋体"/>
          <w:color w:val="auto"/>
          <w:szCs w:val="28"/>
          <w:highlight w:val="none"/>
        </w:rPr>
      </w:pPr>
    </w:p>
    <w:p w14:paraId="33CA53CE">
      <w:pPr>
        <w:rPr>
          <w:rFonts w:ascii="宋体"/>
          <w:color w:val="auto"/>
          <w:szCs w:val="28"/>
          <w:highlight w:val="none"/>
        </w:rPr>
      </w:pPr>
    </w:p>
    <w:p w14:paraId="24F52DAF">
      <w:pPr>
        <w:pStyle w:val="42"/>
        <w:rPr>
          <w:rFonts w:ascii="宋体"/>
          <w:color w:val="auto"/>
          <w:szCs w:val="28"/>
          <w:highlight w:val="none"/>
        </w:rPr>
      </w:pPr>
    </w:p>
    <w:p w14:paraId="1059CB40">
      <w:pPr>
        <w:pStyle w:val="39"/>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kern w:val="0"/>
          <w:sz w:val="48"/>
          <w:szCs w:val="48"/>
          <w:highlight w:val="none"/>
          <w:lang w:val="en-US" w:eastAsia="zh-CN" w:bidi="ar-SA"/>
        </w:rPr>
        <w:t>广东烟草清远市有限公司卷烟物流配送中心易地技术改造项目雷击风险评估项目</w:t>
      </w:r>
      <w:r>
        <w:rPr>
          <w:rFonts w:hint="eastAsia" w:ascii="楷体" w:hAnsi="楷体" w:eastAsia="楷体" w:cs="楷体"/>
          <w:b/>
          <w:bCs/>
          <w:color w:val="auto"/>
          <w:sz w:val="48"/>
          <w:szCs w:val="48"/>
          <w:highlight w:val="none"/>
        </w:rPr>
        <w:t>合同</w:t>
      </w:r>
    </w:p>
    <w:p w14:paraId="7B85A469">
      <w:pPr>
        <w:jc w:val="center"/>
        <w:rPr>
          <w:rFonts w:hint="eastAsia" w:ascii="楷体" w:hAnsi="楷体" w:eastAsia="楷体" w:cs="楷体"/>
          <w:color w:val="auto"/>
          <w:szCs w:val="28"/>
          <w:highlight w:val="none"/>
        </w:rPr>
      </w:pPr>
    </w:p>
    <w:p w14:paraId="288775EC">
      <w:pPr>
        <w:jc w:val="center"/>
        <w:rPr>
          <w:rFonts w:hint="eastAsia" w:ascii="楷体" w:hAnsi="楷体" w:eastAsia="楷体" w:cs="楷体"/>
          <w:color w:val="auto"/>
          <w:szCs w:val="28"/>
          <w:highlight w:val="none"/>
        </w:rPr>
      </w:pPr>
    </w:p>
    <w:p w14:paraId="069029AB">
      <w:pPr>
        <w:jc w:val="center"/>
        <w:rPr>
          <w:rFonts w:hint="eastAsia" w:ascii="楷体" w:hAnsi="楷体" w:eastAsia="楷体" w:cs="楷体"/>
          <w:color w:val="auto"/>
          <w:szCs w:val="28"/>
          <w:highlight w:val="none"/>
        </w:rPr>
      </w:pPr>
    </w:p>
    <w:p w14:paraId="2CCB5310">
      <w:pPr>
        <w:jc w:val="center"/>
        <w:rPr>
          <w:rFonts w:hint="eastAsia" w:ascii="楷体" w:hAnsi="楷体" w:eastAsia="楷体" w:cs="楷体"/>
          <w:color w:val="auto"/>
          <w:szCs w:val="28"/>
          <w:highlight w:val="none"/>
        </w:rPr>
      </w:pPr>
    </w:p>
    <w:p w14:paraId="78A6B0FC">
      <w:pPr>
        <w:jc w:val="center"/>
        <w:rPr>
          <w:rFonts w:hint="eastAsia" w:ascii="楷体" w:hAnsi="楷体" w:eastAsia="楷体" w:cs="楷体"/>
          <w:color w:val="auto"/>
          <w:szCs w:val="28"/>
          <w:highlight w:val="none"/>
        </w:rPr>
      </w:pPr>
    </w:p>
    <w:p w14:paraId="26EEE67C">
      <w:pPr>
        <w:jc w:val="center"/>
        <w:rPr>
          <w:rFonts w:hint="eastAsia" w:ascii="楷体" w:hAnsi="楷体" w:eastAsia="楷体" w:cs="楷体"/>
          <w:color w:val="auto"/>
          <w:szCs w:val="28"/>
          <w:highlight w:val="none"/>
        </w:rPr>
      </w:pPr>
    </w:p>
    <w:p w14:paraId="6271BBB0">
      <w:pPr>
        <w:jc w:val="center"/>
        <w:rPr>
          <w:rFonts w:hint="eastAsia" w:ascii="楷体" w:hAnsi="楷体" w:eastAsia="楷体" w:cs="楷体"/>
          <w:color w:val="auto"/>
          <w:szCs w:val="28"/>
          <w:highlight w:val="none"/>
        </w:rPr>
      </w:pPr>
    </w:p>
    <w:p w14:paraId="4864FB50">
      <w:pPr>
        <w:jc w:val="center"/>
        <w:rPr>
          <w:rFonts w:hint="eastAsia" w:ascii="楷体" w:hAnsi="楷体" w:eastAsia="楷体" w:cs="楷体"/>
          <w:color w:val="auto"/>
          <w:szCs w:val="28"/>
          <w:highlight w:val="none"/>
        </w:rPr>
      </w:pPr>
    </w:p>
    <w:p w14:paraId="413634CC">
      <w:pPr>
        <w:pStyle w:val="42"/>
        <w:rPr>
          <w:rFonts w:hint="eastAsia" w:ascii="楷体" w:hAnsi="楷体" w:eastAsia="楷体" w:cs="楷体"/>
          <w:color w:val="auto"/>
          <w:szCs w:val="28"/>
          <w:highlight w:val="none"/>
        </w:rPr>
      </w:pPr>
    </w:p>
    <w:p w14:paraId="1EEB4D9B">
      <w:pPr>
        <w:pStyle w:val="42"/>
        <w:rPr>
          <w:rFonts w:hint="eastAsia" w:ascii="楷体" w:hAnsi="楷体" w:eastAsia="楷体" w:cs="楷体"/>
          <w:color w:val="auto"/>
          <w:szCs w:val="28"/>
          <w:highlight w:val="none"/>
        </w:rPr>
      </w:pPr>
    </w:p>
    <w:p w14:paraId="3387EAEA">
      <w:pPr>
        <w:pStyle w:val="42"/>
        <w:rPr>
          <w:rFonts w:hint="eastAsia" w:ascii="楷体" w:hAnsi="楷体" w:eastAsia="楷体" w:cs="楷体"/>
          <w:color w:val="auto"/>
          <w:szCs w:val="28"/>
          <w:highlight w:val="none"/>
        </w:rPr>
      </w:pPr>
    </w:p>
    <w:p w14:paraId="245BE72F">
      <w:pPr>
        <w:jc w:val="center"/>
        <w:rPr>
          <w:rFonts w:hint="eastAsia" w:ascii="楷体" w:hAnsi="楷体" w:eastAsia="楷体" w:cs="楷体"/>
          <w:color w:val="auto"/>
          <w:szCs w:val="28"/>
          <w:highlight w:val="none"/>
        </w:rPr>
      </w:pPr>
    </w:p>
    <w:p w14:paraId="235EC5D5">
      <w:pPr>
        <w:jc w:val="center"/>
        <w:rPr>
          <w:rFonts w:hint="eastAsia" w:ascii="楷体" w:hAnsi="楷体" w:eastAsia="楷体" w:cs="楷体"/>
          <w:color w:val="auto"/>
          <w:szCs w:val="28"/>
          <w:highlight w:val="none"/>
        </w:rPr>
      </w:pPr>
    </w:p>
    <w:p w14:paraId="0B03572F">
      <w:pPr>
        <w:jc w:val="center"/>
        <w:rPr>
          <w:rFonts w:hint="eastAsia" w:ascii="楷体" w:hAnsi="楷体" w:eastAsia="楷体" w:cs="楷体"/>
          <w:color w:val="auto"/>
          <w:szCs w:val="28"/>
          <w:highlight w:val="none"/>
        </w:rPr>
      </w:pPr>
    </w:p>
    <w:p w14:paraId="774E9A6B">
      <w:pPr>
        <w:jc w:val="center"/>
        <w:rPr>
          <w:rFonts w:hint="eastAsia" w:ascii="楷体" w:hAnsi="楷体" w:eastAsia="楷体" w:cs="楷体"/>
          <w:color w:val="auto"/>
          <w:szCs w:val="28"/>
          <w:highlight w:val="none"/>
        </w:rPr>
      </w:pPr>
    </w:p>
    <w:p w14:paraId="04ED39A3">
      <w:pPr>
        <w:jc w:val="center"/>
        <w:rPr>
          <w:rFonts w:hint="eastAsia" w:ascii="楷体" w:hAnsi="楷体" w:eastAsia="楷体" w:cs="楷体"/>
          <w:color w:val="auto"/>
          <w:szCs w:val="28"/>
          <w:highlight w:val="none"/>
        </w:rPr>
      </w:pPr>
    </w:p>
    <w:p w14:paraId="20EC34A1">
      <w:pPr>
        <w:jc w:val="center"/>
        <w:rPr>
          <w:rFonts w:hint="eastAsia" w:ascii="楷体" w:hAnsi="楷体" w:eastAsia="楷体" w:cs="楷体"/>
          <w:color w:val="auto"/>
          <w:szCs w:val="28"/>
          <w:highlight w:val="none"/>
        </w:rPr>
      </w:pPr>
    </w:p>
    <w:p w14:paraId="1617F368">
      <w:pPr>
        <w:pStyle w:val="2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楷体" w:hAnsi="楷体" w:eastAsia="楷体" w:cs="楷体"/>
          <w:color w:val="auto"/>
          <w:sz w:val="30"/>
          <w:szCs w:val="30"/>
          <w:highlight w:val="none"/>
          <w:u w:val="single"/>
          <w:lang w:val="en-US" w:eastAsia="zh-CN"/>
        </w:rPr>
      </w:pPr>
      <w:r>
        <w:rPr>
          <w:rFonts w:hint="eastAsia" w:ascii="楷体" w:hAnsi="楷体" w:eastAsia="楷体" w:cs="楷体"/>
          <w:b/>
          <w:color w:val="auto"/>
          <w:sz w:val="30"/>
          <w:szCs w:val="30"/>
          <w:highlight w:val="none"/>
        </w:rPr>
        <w:t>项目名称：</w:t>
      </w:r>
      <w:r>
        <w:rPr>
          <w:rFonts w:hint="eastAsia" w:ascii="楷体" w:hAnsi="楷体" w:eastAsia="楷体" w:cs="楷体"/>
          <w:color w:val="auto"/>
          <w:kern w:val="2"/>
          <w:sz w:val="30"/>
          <w:szCs w:val="30"/>
          <w:highlight w:val="none"/>
          <w:u w:val="single"/>
          <w:lang w:val="en-US" w:eastAsia="zh-CN" w:bidi="ar-SA"/>
        </w:rPr>
        <w:t>广东烟草清远市有限公司卷烟物流配送中心易地技术改造项目雷击风险评估项目</w:t>
      </w:r>
      <w:r>
        <w:rPr>
          <w:rFonts w:hint="eastAsia" w:ascii="楷体" w:hAnsi="楷体" w:eastAsia="楷体" w:cs="楷体"/>
          <w:color w:val="auto"/>
          <w:sz w:val="30"/>
          <w:szCs w:val="30"/>
          <w:highlight w:val="none"/>
          <w:u w:val="single"/>
          <w:lang w:val="en-US" w:eastAsia="zh-CN"/>
        </w:rPr>
        <w:t xml:space="preserve">               </w:t>
      </w:r>
    </w:p>
    <w:p w14:paraId="2A6CBB73">
      <w:pPr>
        <w:spacing w:line="360" w:lineRule="auto"/>
        <w:ind w:left="1506" w:hanging="1506" w:hangingChars="500"/>
        <w:rPr>
          <w:rFonts w:hint="eastAsia" w:ascii="楷体" w:hAnsi="楷体" w:eastAsia="楷体" w:cs="楷体"/>
          <w:color w:val="auto"/>
          <w:sz w:val="30"/>
          <w:szCs w:val="30"/>
          <w:highlight w:val="none"/>
          <w:u w:val="single"/>
        </w:rPr>
      </w:pPr>
      <w:r>
        <w:rPr>
          <w:rFonts w:hint="eastAsia" w:ascii="楷体" w:hAnsi="楷体" w:eastAsia="楷体" w:cs="楷体"/>
          <w:b/>
          <w:color w:val="auto"/>
          <w:sz w:val="30"/>
          <w:szCs w:val="30"/>
          <w:highlight w:val="none"/>
        </w:rPr>
        <w:t>项目地址：</w:t>
      </w:r>
      <w:r>
        <w:rPr>
          <w:rFonts w:hint="eastAsia" w:ascii="楷体" w:hAnsi="楷体" w:eastAsia="楷体" w:cs="楷体"/>
          <w:color w:val="auto"/>
          <w:kern w:val="2"/>
          <w:sz w:val="30"/>
          <w:szCs w:val="30"/>
          <w:highlight w:val="none"/>
          <w:u w:val="single"/>
          <w:lang w:val="en-US" w:eastAsia="zh-CN" w:bidi="ar-SA"/>
        </w:rPr>
        <w:t xml:space="preserve">清远市清城区民富路黄塘东村西侧，白石塘村北侧 </w:t>
      </w:r>
      <w:r>
        <w:rPr>
          <w:rFonts w:hint="eastAsia" w:ascii="楷体" w:hAnsi="楷体" w:eastAsia="楷体" w:cs="楷体"/>
          <w:color w:val="auto"/>
          <w:sz w:val="30"/>
          <w:szCs w:val="30"/>
          <w:highlight w:val="none"/>
          <w:u w:val="single"/>
        </w:rPr>
        <w:t xml:space="preserve">                        </w:t>
      </w:r>
    </w:p>
    <w:p w14:paraId="7F9A0FDD">
      <w:pPr>
        <w:spacing w:line="360" w:lineRule="auto"/>
        <w:rPr>
          <w:rFonts w:hint="eastAsia" w:ascii="楷体" w:hAnsi="楷体" w:eastAsia="楷体" w:cs="楷体"/>
          <w:color w:val="auto"/>
          <w:sz w:val="30"/>
          <w:szCs w:val="30"/>
          <w:highlight w:val="none"/>
          <w:u w:val="single"/>
        </w:rPr>
      </w:pPr>
      <w:r>
        <w:rPr>
          <w:rFonts w:hint="eastAsia" w:ascii="楷体" w:hAnsi="楷体" w:eastAsia="楷体" w:cs="楷体"/>
          <w:b/>
          <w:color w:val="auto"/>
          <w:sz w:val="30"/>
          <w:szCs w:val="30"/>
          <w:highlight w:val="none"/>
        </w:rPr>
        <w:t>合同编号：</w:t>
      </w:r>
      <w:r>
        <w:rPr>
          <w:rFonts w:hint="eastAsia" w:ascii="楷体" w:hAnsi="楷体" w:eastAsia="楷体" w:cs="楷体"/>
          <w:color w:val="auto"/>
          <w:sz w:val="30"/>
          <w:szCs w:val="30"/>
          <w:highlight w:val="none"/>
          <w:u w:val="single"/>
          <w:lang w:val="en-US" w:eastAsia="zh-CN"/>
        </w:rPr>
        <w:t xml:space="preserve">                                         </w:t>
      </w:r>
      <w:r>
        <w:rPr>
          <w:rFonts w:hint="eastAsia" w:ascii="楷体" w:hAnsi="楷体" w:eastAsia="楷体" w:cs="楷体"/>
          <w:color w:val="auto"/>
          <w:sz w:val="30"/>
          <w:szCs w:val="30"/>
          <w:highlight w:val="none"/>
          <w:u w:val="single"/>
        </w:rPr>
        <w:t xml:space="preserve"> </w:t>
      </w:r>
    </w:p>
    <w:p w14:paraId="7CA8579E">
      <w:pPr>
        <w:pStyle w:val="2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楷体" w:hAnsi="楷体" w:eastAsia="楷体" w:cs="楷体"/>
          <w:color w:val="auto"/>
          <w:sz w:val="30"/>
          <w:szCs w:val="30"/>
          <w:highlight w:val="none"/>
          <w:u w:val="single"/>
          <w:lang w:val="en-US"/>
        </w:rPr>
      </w:pPr>
      <w:r>
        <w:rPr>
          <w:rFonts w:hint="eastAsia" w:ascii="楷体" w:hAnsi="楷体" w:eastAsia="楷体" w:cs="楷体"/>
          <w:b/>
          <w:color w:val="auto"/>
          <w:sz w:val="30"/>
          <w:szCs w:val="30"/>
          <w:highlight w:val="none"/>
        </w:rPr>
        <w:t>委托方（甲方）：</w:t>
      </w:r>
      <w:r>
        <w:rPr>
          <w:rFonts w:hint="eastAsia" w:ascii="楷体" w:hAnsi="楷体" w:eastAsia="楷体" w:cs="楷体"/>
          <w:color w:val="auto"/>
          <w:kern w:val="2"/>
          <w:sz w:val="30"/>
          <w:szCs w:val="30"/>
          <w:highlight w:val="none"/>
          <w:u w:val="single"/>
          <w:lang w:val="en-US" w:eastAsia="zh-CN" w:bidi="ar-SA"/>
        </w:rPr>
        <w:t xml:space="preserve">广东烟草清远市有限公司                   </w:t>
      </w:r>
    </w:p>
    <w:p w14:paraId="02086C90">
      <w:pPr>
        <w:spacing w:line="360" w:lineRule="auto"/>
        <w:rPr>
          <w:rFonts w:hint="eastAsia" w:ascii="楷体" w:hAnsi="楷体" w:eastAsia="楷体" w:cs="楷体"/>
          <w:color w:val="auto"/>
          <w:sz w:val="30"/>
          <w:szCs w:val="30"/>
          <w:highlight w:val="none"/>
          <w:u w:val="single"/>
        </w:rPr>
      </w:pPr>
      <w:r>
        <w:rPr>
          <w:rFonts w:hint="eastAsia" w:ascii="楷体" w:hAnsi="楷体" w:eastAsia="楷体" w:cs="楷体"/>
          <w:b/>
          <w:color w:val="auto"/>
          <w:sz w:val="30"/>
          <w:szCs w:val="30"/>
          <w:highlight w:val="none"/>
        </w:rPr>
        <w:t>受托方（乙方）：</w:t>
      </w:r>
      <w:r>
        <w:rPr>
          <w:rFonts w:hint="eastAsia" w:ascii="楷体" w:hAnsi="楷体" w:eastAsia="楷体" w:cs="楷体"/>
          <w:color w:val="auto"/>
          <w:sz w:val="30"/>
          <w:szCs w:val="30"/>
          <w:highlight w:val="none"/>
          <w:u w:val="single"/>
        </w:rPr>
        <w:t xml:space="preserve">         </w:t>
      </w:r>
      <w:r>
        <w:rPr>
          <w:rFonts w:hint="eastAsia" w:ascii="楷体" w:hAnsi="楷体" w:eastAsia="楷体" w:cs="楷体"/>
          <w:color w:val="auto"/>
          <w:sz w:val="30"/>
          <w:szCs w:val="30"/>
          <w:highlight w:val="none"/>
          <w:u w:val="single"/>
          <w:lang w:val="en-US" w:eastAsia="zh-CN"/>
        </w:rPr>
        <w:t xml:space="preserve">             </w:t>
      </w:r>
      <w:r>
        <w:rPr>
          <w:rFonts w:hint="eastAsia" w:ascii="楷体" w:hAnsi="楷体" w:eastAsia="楷体" w:cs="楷体"/>
          <w:color w:val="auto"/>
          <w:sz w:val="30"/>
          <w:szCs w:val="30"/>
          <w:highlight w:val="none"/>
          <w:u w:val="single"/>
        </w:rPr>
        <w:t xml:space="preserve">     </w:t>
      </w:r>
    </w:p>
    <w:p w14:paraId="24B6044C">
      <w:pPr>
        <w:spacing w:line="360" w:lineRule="auto"/>
        <w:rPr>
          <w:rFonts w:hint="eastAsia" w:ascii="楷体" w:hAnsi="楷体" w:eastAsia="楷体" w:cs="楷体"/>
          <w:color w:val="auto"/>
          <w:sz w:val="30"/>
          <w:szCs w:val="30"/>
          <w:highlight w:val="none"/>
        </w:rPr>
      </w:pPr>
      <w:r>
        <w:rPr>
          <w:rFonts w:hint="eastAsia" w:ascii="楷体" w:hAnsi="楷体" w:eastAsia="楷体" w:cs="楷体"/>
          <w:b/>
          <w:color w:val="auto"/>
          <w:sz w:val="30"/>
          <w:szCs w:val="30"/>
          <w:highlight w:val="none"/>
        </w:rPr>
        <w:t>签订地点：</w:t>
      </w:r>
      <w:r>
        <w:rPr>
          <w:rFonts w:hint="eastAsia" w:ascii="楷体" w:hAnsi="楷体" w:eastAsia="楷体" w:cs="楷体"/>
          <w:color w:val="auto"/>
          <w:sz w:val="30"/>
          <w:szCs w:val="30"/>
          <w:highlight w:val="none"/>
          <w:u w:val="single"/>
          <w:lang w:val="en-US" w:eastAsia="zh-CN"/>
        </w:rPr>
        <w:t xml:space="preserve">    </w:t>
      </w:r>
      <w:r>
        <w:rPr>
          <w:rFonts w:hint="eastAsia" w:ascii="楷体" w:hAnsi="楷体" w:eastAsia="楷体" w:cs="楷体"/>
          <w:color w:val="auto"/>
          <w:sz w:val="30"/>
          <w:szCs w:val="30"/>
          <w:highlight w:val="none"/>
          <w:u w:val="single"/>
        </w:rPr>
        <w:t xml:space="preserve">   </w:t>
      </w:r>
      <w:r>
        <w:rPr>
          <w:rFonts w:hint="eastAsia" w:ascii="楷体" w:hAnsi="楷体" w:eastAsia="楷体" w:cs="楷体"/>
          <w:color w:val="auto"/>
          <w:sz w:val="30"/>
          <w:szCs w:val="30"/>
          <w:highlight w:val="none"/>
          <w:u w:val="single"/>
          <w:lang w:val="en-US" w:eastAsia="zh-CN"/>
        </w:rPr>
        <w:t xml:space="preserve">                                  </w:t>
      </w:r>
      <w:r>
        <w:rPr>
          <w:rFonts w:hint="eastAsia" w:ascii="楷体" w:hAnsi="楷体" w:eastAsia="楷体" w:cs="楷体"/>
          <w:color w:val="auto"/>
          <w:sz w:val="30"/>
          <w:szCs w:val="30"/>
          <w:highlight w:val="none"/>
          <w:u w:val="single"/>
        </w:rPr>
        <w:t xml:space="preserve">    </w:t>
      </w:r>
    </w:p>
    <w:p w14:paraId="50194449">
      <w:pPr>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br w:type="page"/>
      </w:r>
    </w:p>
    <w:p w14:paraId="29637221">
      <w:pPr>
        <w:keepNext w:val="0"/>
        <w:keepLines w:val="0"/>
        <w:pageBreakBefore w:val="0"/>
        <w:kinsoku/>
        <w:wordWrap/>
        <w:overflowPunct/>
        <w:topLinePunct w:val="0"/>
        <w:bidi w:val="0"/>
        <w:adjustRightInd w:val="0"/>
        <w:snapToGrid w:val="0"/>
        <w:spacing w:line="360" w:lineRule="auto"/>
        <w:jc w:val="center"/>
        <w:rPr>
          <w:rFonts w:hint="eastAsia" w:ascii="楷体" w:hAnsi="楷体" w:eastAsia="楷体" w:cs="楷体"/>
          <w:b/>
          <w:bCs/>
          <w:color w:val="auto"/>
          <w:kern w:val="0"/>
          <w:sz w:val="44"/>
          <w:szCs w:val="44"/>
          <w:highlight w:val="none"/>
          <w:lang w:val="en-US" w:eastAsia="zh-CN" w:bidi="ar-SA"/>
        </w:rPr>
      </w:pPr>
      <w:r>
        <w:rPr>
          <w:rFonts w:hint="eastAsia" w:ascii="楷体" w:hAnsi="楷体" w:eastAsia="楷体" w:cs="楷体"/>
          <w:b/>
          <w:bCs/>
          <w:color w:val="auto"/>
          <w:kern w:val="0"/>
          <w:sz w:val="44"/>
          <w:szCs w:val="44"/>
          <w:highlight w:val="none"/>
          <w:lang w:val="en-US" w:eastAsia="zh-CN" w:bidi="ar-SA"/>
        </w:rPr>
        <w:t>广东烟草清远市有限公司卷烟物流配送中心易地技术改造项目雷击风险评估项目合同</w:t>
      </w:r>
    </w:p>
    <w:p w14:paraId="506106CE">
      <w:pPr>
        <w:pStyle w:val="2"/>
        <w:keepNext w:val="0"/>
        <w:keepLines w:val="0"/>
        <w:pageBreakBefore w:val="0"/>
        <w:widowControl w:val="0"/>
        <w:kinsoku/>
        <w:wordWrap/>
        <w:overflowPunct/>
        <w:topLinePunct w:val="0"/>
        <w:autoSpaceDE/>
        <w:autoSpaceDN/>
        <w:bidi w:val="0"/>
        <w:snapToGrid w:val="0"/>
        <w:ind w:firstLine="883" w:firstLineChars="200"/>
        <w:textAlignment w:val="auto"/>
        <w:rPr>
          <w:rFonts w:hint="eastAsia" w:ascii="楷体" w:hAnsi="楷体" w:eastAsia="楷体" w:cs="楷体"/>
          <w:b/>
          <w:bCs/>
          <w:color w:val="auto"/>
          <w:kern w:val="0"/>
          <w:sz w:val="44"/>
          <w:szCs w:val="44"/>
          <w:highlight w:val="none"/>
          <w:lang w:val="en-US" w:eastAsia="zh-CN" w:bidi="ar-SA"/>
        </w:rPr>
      </w:pPr>
    </w:p>
    <w:p w14:paraId="5F9D69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 xml:space="preserve">                                           </w:t>
      </w:r>
      <w:r>
        <w:rPr>
          <w:rFonts w:hint="eastAsia" w:ascii="楷体" w:hAnsi="楷体" w:eastAsia="楷体" w:cs="楷体"/>
          <w:color w:val="auto"/>
          <w:sz w:val="26"/>
          <w:szCs w:val="26"/>
          <w:highlight w:val="none"/>
        </w:rPr>
        <w:t xml:space="preserve">合同编号：           </w:t>
      </w:r>
    </w:p>
    <w:p w14:paraId="540158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甲方：广东烟草清远市有限公司</w:t>
      </w:r>
    </w:p>
    <w:p w14:paraId="3DE91F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地址：</w:t>
      </w:r>
    </w:p>
    <w:p w14:paraId="46F9F7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 xml:space="preserve">法定代表人： </w:t>
      </w:r>
    </w:p>
    <w:p w14:paraId="182F81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联系人：</w:t>
      </w:r>
    </w:p>
    <w:p w14:paraId="69479B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电话：</w:t>
      </w:r>
    </w:p>
    <w:p w14:paraId="0F12178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p>
    <w:p w14:paraId="1FF77B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 xml:space="preserve">乙方： </w:t>
      </w:r>
    </w:p>
    <w:p w14:paraId="11DA962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地址：</w:t>
      </w:r>
    </w:p>
    <w:p w14:paraId="44BD66D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法定代表人：</w:t>
      </w:r>
    </w:p>
    <w:p w14:paraId="1CB600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联系人：</w:t>
      </w:r>
    </w:p>
    <w:p w14:paraId="79856D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电话：</w:t>
      </w:r>
    </w:p>
    <w:p w14:paraId="2DB53AE1">
      <w:pPr>
        <w:pStyle w:val="2"/>
        <w:rPr>
          <w:rFonts w:hint="eastAsia"/>
          <w:color w:val="auto"/>
          <w:highlight w:val="none"/>
        </w:rPr>
      </w:pPr>
    </w:p>
    <w:p w14:paraId="0BAA8EEA">
      <w:pPr>
        <w:keepNext w:val="0"/>
        <w:keepLines w:val="0"/>
        <w:pageBreakBefore w:val="0"/>
        <w:kinsoku/>
        <w:wordWrap/>
        <w:overflowPunct/>
        <w:topLinePunct w:val="0"/>
        <w:bidi w:val="0"/>
        <w:adjustRightInd w:val="0"/>
        <w:snapToGrid w:val="0"/>
        <w:spacing w:line="360" w:lineRule="auto"/>
        <w:ind w:left="0" w:leftChars="0" w:firstLine="650" w:firstLineChars="250"/>
        <w:rPr>
          <w:rFonts w:hint="eastAsia" w:ascii="楷体" w:hAnsi="楷体" w:eastAsia="楷体" w:cs="楷体"/>
          <w:color w:val="auto"/>
          <w:sz w:val="26"/>
          <w:szCs w:val="26"/>
          <w:highlight w:val="none"/>
        </w:rPr>
      </w:pPr>
    </w:p>
    <w:p w14:paraId="067F04AE">
      <w:pPr>
        <w:keepNext w:val="0"/>
        <w:keepLines w:val="0"/>
        <w:pageBreakBefore w:val="0"/>
        <w:kinsoku/>
        <w:wordWrap/>
        <w:overflowPunct/>
        <w:topLinePunct w:val="0"/>
        <w:bidi w:val="0"/>
        <w:adjustRightInd w:val="0"/>
        <w:snapToGrid w:val="0"/>
        <w:spacing w:line="360" w:lineRule="auto"/>
        <w:ind w:left="0" w:leftChars="0" w:firstLine="650" w:firstLineChars="25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根据《中华人民共和国民法典》等法律法规的规</w:t>
      </w:r>
      <w:r>
        <w:rPr>
          <w:rFonts w:hint="eastAsia" w:ascii="楷体" w:hAnsi="楷体" w:eastAsia="楷体" w:cs="楷体"/>
          <w:color w:val="auto"/>
          <w:sz w:val="26"/>
          <w:szCs w:val="26"/>
          <w:highlight w:val="none"/>
        </w:rPr>
        <w:t>定，经甲方和乙方协商，就甲方委托乙方承担</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广东烟草清远市有限公司卷烟物流配送中心易地技术改造项目雷击风险评估</w:t>
      </w:r>
      <w:r>
        <w:rPr>
          <w:rFonts w:hint="eastAsia" w:ascii="楷体" w:hAnsi="楷体" w:eastAsia="楷体" w:cs="楷体"/>
          <w:color w:val="auto"/>
          <w:sz w:val="26"/>
          <w:szCs w:val="26"/>
          <w:highlight w:val="none"/>
        </w:rPr>
        <w:t>工作，达成以下合同条款：</w:t>
      </w:r>
    </w:p>
    <w:p w14:paraId="7A8EE533">
      <w:pPr>
        <w:pStyle w:val="42"/>
        <w:keepNext w:val="0"/>
        <w:keepLines w:val="0"/>
        <w:pageBreakBefore w:val="0"/>
        <w:kinsoku/>
        <w:wordWrap/>
        <w:overflowPunct/>
        <w:topLinePunct w:val="0"/>
        <w:bidi w:val="0"/>
        <w:adjustRightInd w:val="0"/>
        <w:snapToGrid w:val="0"/>
        <w:spacing w:after="0" w:line="360" w:lineRule="auto"/>
        <w:ind w:left="0" w:leftChars="0" w:firstLine="522" w:firstLineChars="200"/>
        <w:rPr>
          <w:rFonts w:hint="eastAsia" w:ascii="楷体" w:hAnsi="楷体" w:eastAsia="楷体" w:cs="楷体"/>
          <w:bCs/>
          <w:color w:val="auto"/>
          <w:sz w:val="26"/>
          <w:szCs w:val="26"/>
          <w:highlight w:val="none"/>
        </w:rPr>
      </w:pPr>
      <w:r>
        <w:rPr>
          <w:rFonts w:hint="eastAsia" w:ascii="楷体" w:hAnsi="楷体" w:eastAsia="楷体" w:cs="楷体"/>
          <w:b/>
          <w:color w:val="auto"/>
          <w:sz w:val="26"/>
          <w:szCs w:val="26"/>
          <w:highlight w:val="none"/>
        </w:rPr>
        <w:t>第一条</w:t>
      </w:r>
      <w:r>
        <w:rPr>
          <w:rFonts w:hint="eastAsia" w:ascii="楷体" w:hAnsi="楷体" w:eastAsia="楷体" w:cs="楷体"/>
          <w:bCs/>
          <w:color w:val="auto"/>
          <w:sz w:val="26"/>
          <w:szCs w:val="26"/>
          <w:highlight w:val="none"/>
        </w:rPr>
        <w:t>本技术服务项目的要求如下：</w:t>
      </w:r>
    </w:p>
    <w:p w14:paraId="20956791">
      <w:pPr>
        <w:pStyle w:val="42"/>
        <w:keepNext w:val="0"/>
        <w:keepLines w:val="0"/>
        <w:pageBreakBefore w:val="0"/>
        <w:kinsoku/>
        <w:wordWrap/>
        <w:overflowPunct/>
        <w:topLinePunct w:val="0"/>
        <w:bidi w:val="0"/>
        <w:adjustRightInd w:val="0"/>
        <w:snapToGrid w:val="0"/>
        <w:spacing w:after="0"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1.技术服务的目标</w:t>
      </w:r>
      <w:r>
        <w:rPr>
          <w:rFonts w:hint="eastAsia" w:ascii="楷体" w:hAnsi="楷体" w:eastAsia="楷体" w:cs="楷体"/>
          <w:color w:val="auto"/>
          <w:sz w:val="26"/>
          <w:szCs w:val="26"/>
          <w:highlight w:val="none"/>
          <w:lang w:val="en-US" w:eastAsia="zh-CN"/>
        </w:rPr>
        <w:t>和内容</w:t>
      </w:r>
      <w:r>
        <w:rPr>
          <w:rFonts w:hint="eastAsia" w:ascii="楷体" w:hAnsi="楷体" w:eastAsia="楷体" w:cs="楷体"/>
          <w:color w:val="auto"/>
          <w:sz w:val="26"/>
          <w:szCs w:val="26"/>
          <w:highlight w:val="none"/>
        </w:rPr>
        <w:t>：</w:t>
      </w:r>
    </w:p>
    <w:p w14:paraId="7A05B933">
      <w:pPr>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lang w:eastAsia="zh-CN"/>
        </w:rPr>
      </w:pP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lang w:val="en-US" w:eastAsia="zh-CN"/>
        </w:rPr>
        <w:t>1</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rPr>
        <w:t>针对评估项目，依据雷电发生频率、强度、时空分布特征以及国家有关法律、法规、标准，运用定量和定性的方法，对评估项目可能造成的生产和生活致灾影响做出评估。采集项目所在区域气象雷电数据，进行大气雷电环境分析、雷电灾害分析、建设项目所在地土壤电阻率情况、风险识别和风险评价，提出防御和减轻雷电灾害的对策、措施和意见；指导项目防雷设计、项目防雷装置施工并对项目施工过程出具防雷安全指导意见；建设项目安全运营防雷指导意见。编制《广东烟草清远市有限公司卷烟物流配送中心易地技术改造项目雷电灾害风险评估报告》</w:t>
      </w:r>
      <w:r>
        <w:rPr>
          <w:rFonts w:hint="eastAsia" w:ascii="楷体" w:hAnsi="楷体" w:eastAsia="楷体" w:cs="楷体"/>
          <w:color w:val="auto"/>
          <w:sz w:val="26"/>
          <w:szCs w:val="26"/>
          <w:highlight w:val="none"/>
          <w:lang w:eastAsia="zh-CN"/>
        </w:rPr>
        <w:t>。</w:t>
      </w:r>
    </w:p>
    <w:p w14:paraId="1C1086BF">
      <w:pPr>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2</w:t>
      </w:r>
      <w:r>
        <w:rPr>
          <w:rFonts w:hint="eastAsia" w:ascii="楷体" w:hAnsi="楷体" w:eastAsia="楷体" w:cs="楷体"/>
          <w:color w:val="auto"/>
          <w:sz w:val="26"/>
          <w:szCs w:val="26"/>
          <w:highlight w:val="none"/>
        </w:rPr>
        <w:t xml:space="preserve">.开发实施和技术服务地点：项目工程所在地。           </w:t>
      </w:r>
    </w:p>
    <w:p w14:paraId="46340C5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val="en-US" w:eastAsia="zh-CN"/>
        </w:rPr>
        <w:t>3</w:t>
      </w:r>
      <w:r>
        <w:rPr>
          <w:rFonts w:hint="eastAsia" w:ascii="楷体" w:hAnsi="楷体" w:eastAsia="楷体" w:cs="楷体"/>
          <w:color w:val="auto"/>
          <w:sz w:val="26"/>
          <w:szCs w:val="26"/>
          <w:highlight w:val="none"/>
        </w:rPr>
        <w:t>.技术服务期限：</w:t>
      </w:r>
      <w:r>
        <w:rPr>
          <w:rFonts w:hint="eastAsia" w:ascii="楷体" w:hAnsi="楷体" w:eastAsia="楷体" w:cs="楷体"/>
          <w:color w:val="auto"/>
          <w:sz w:val="26"/>
          <w:szCs w:val="26"/>
          <w:highlight w:val="none"/>
          <w:lang w:eastAsia="zh-CN"/>
        </w:rPr>
        <w:t>合同</w:t>
      </w:r>
      <w:r>
        <w:rPr>
          <w:rFonts w:hint="eastAsia" w:ascii="楷体" w:hAnsi="楷体" w:eastAsia="楷体" w:cs="楷体"/>
          <w:color w:val="auto"/>
          <w:sz w:val="26"/>
          <w:szCs w:val="26"/>
          <w:highlight w:val="none"/>
          <w:lang w:val="en-US" w:eastAsia="zh-CN"/>
        </w:rPr>
        <w:t>生效</w:t>
      </w:r>
      <w:r>
        <w:rPr>
          <w:rFonts w:hint="eastAsia" w:ascii="楷体" w:hAnsi="楷体" w:eastAsia="楷体" w:cs="楷体"/>
          <w:color w:val="auto"/>
          <w:sz w:val="26"/>
          <w:szCs w:val="26"/>
          <w:highlight w:val="none"/>
          <w:lang w:eastAsia="zh-CN"/>
        </w:rPr>
        <w:t>之日起</w:t>
      </w:r>
      <w:r>
        <w:rPr>
          <w:rFonts w:hint="eastAsia" w:ascii="楷体" w:hAnsi="楷体" w:eastAsia="楷体" w:cs="楷体"/>
          <w:color w:val="auto"/>
          <w:sz w:val="26"/>
          <w:szCs w:val="26"/>
          <w:highlight w:val="none"/>
          <w:lang w:val="en-US" w:eastAsia="zh-CN"/>
        </w:rPr>
        <w:t>20</w:t>
      </w:r>
      <w:r>
        <w:rPr>
          <w:rFonts w:hint="eastAsia" w:ascii="楷体" w:hAnsi="楷体" w:eastAsia="楷体" w:cs="楷体"/>
          <w:color w:val="auto"/>
          <w:sz w:val="26"/>
          <w:szCs w:val="26"/>
          <w:highlight w:val="none"/>
          <w:lang w:eastAsia="zh-CN"/>
        </w:rPr>
        <w:t>个工作日内完成本项目所有内容，并通过</w:t>
      </w:r>
      <w:r>
        <w:rPr>
          <w:rFonts w:hint="eastAsia" w:ascii="楷体" w:hAnsi="楷体" w:eastAsia="楷体" w:cs="楷体"/>
          <w:color w:val="auto"/>
          <w:sz w:val="26"/>
          <w:szCs w:val="26"/>
          <w:highlight w:val="none"/>
          <w:lang w:val="en-US" w:eastAsia="zh-CN"/>
        </w:rPr>
        <w:t>甲方</w:t>
      </w:r>
      <w:r>
        <w:rPr>
          <w:rFonts w:hint="eastAsia" w:ascii="楷体" w:hAnsi="楷体" w:eastAsia="楷体" w:cs="楷体"/>
          <w:color w:val="auto"/>
          <w:sz w:val="26"/>
          <w:szCs w:val="26"/>
          <w:highlight w:val="none"/>
          <w:lang w:eastAsia="zh-CN"/>
        </w:rPr>
        <w:t>验收</w:t>
      </w:r>
      <w:r>
        <w:rPr>
          <w:rFonts w:hint="eastAsia" w:ascii="楷体" w:hAnsi="楷体" w:eastAsia="楷体" w:cs="楷体"/>
          <w:color w:val="auto"/>
          <w:sz w:val="26"/>
          <w:szCs w:val="26"/>
          <w:highlight w:val="none"/>
        </w:rPr>
        <w:t>。</w:t>
      </w:r>
    </w:p>
    <w:p w14:paraId="30302B2A">
      <w:pPr>
        <w:pStyle w:val="4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161"/>
        <w:textAlignment w:val="auto"/>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第二条</w:t>
      </w:r>
      <w:r>
        <w:rPr>
          <w:rFonts w:hint="eastAsia" w:ascii="楷体" w:hAnsi="楷体" w:eastAsia="楷体" w:cs="楷体"/>
          <w:color w:val="auto"/>
          <w:sz w:val="26"/>
          <w:szCs w:val="26"/>
          <w:highlight w:val="none"/>
        </w:rPr>
        <w:t>甲方应向乙方提供的技术资料及协作事项如下：</w:t>
      </w:r>
    </w:p>
    <w:p w14:paraId="73E446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1.技术资料清单：与本合同技术服务有关的相关资料和文件等。</w:t>
      </w:r>
    </w:p>
    <w:p w14:paraId="5A602E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2.提供时间和方式：合同生效后10个工作日内，以书面方式提交给乙方。本合同履行完毕后，上述技术资料交还甲方。</w:t>
      </w:r>
    </w:p>
    <w:p w14:paraId="308ECD3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61"/>
        <w:textAlignment w:val="auto"/>
        <w:rPr>
          <w:rFonts w:hint="eastAsia" w:ascii="楷体" w:hAnsi="楷体" w:eastAsia="楷体" w:cs="楷体"/>
          <w:bCs/>
          <w:color w:val="auto"/>
          <w:sz w:val="26"/>
          <w:szCs w:val="26"/>
          <w:highlight w:val="none"/>
        </w:rPr>
      </w:pPr>
      <w:r>
        <w:rPr>
          <w:rFonts w:hint="eastAsia" w:ascii="楷体" w:hAnsi="楷体" w:eastAsia="楷体" w:cs="楷体"/>
          <w:b/>
          <w:color w:val="auto"/>
          <w:sz w:val="26"/>
          <w:szCs w:val="26"/>
          <w:highlight w:val="none"/>
        </w:rPr>
        <w:t>第三条</w:t>
      </w:r>
      <w:r>
        <w:rPr>
          <w:rFonts w:hint="eastAsia" w:ascii="楷体" w:hAnsi="楷体" w:eastAsia="楷体" w:cs="楷体"/>
          <w:bCs/>
          <w:color w:val="auto"/>
          <w:sz w:val="26"/>
          <w:szCs w:val="26"/>
          <w:highlight w:val="none"/>
        </w:rPr>
        <w:t>甲方应按以下方式支付技术服务的经费和报酬：</w:t>
      </w:r>
    </w:p>
    <w:p w14:paraId="3B6FEFE5">
      <w:pPr>
        <w:keepNext w:val="0"/>
        <w:keepLines w:val="0"/>
        <w:pageBreakBefore w:val="0"/>
        <w:numPr>
          <w:ilvl w:val="0"/>
          <w:numId w:val="67"/>
        </w:numPr>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lang w:val="en-US" w:eastAsia="zh-CN"/>
        </w:rPr>
      </w:pPr>
      <w:r>
        <w:rPr>
          <w:rFonts w:hint="eastAsia" w:ascii="楷体" w:hAnsi="楷体" w:eastAsia="楷体" w:cs="楷体"/>
          <w:color w:val="auto"/>
          <w:sz w:val="26"/>
          <w:szCs w:val="26"/>
          <w:highlight w:val="none"/>
          <w:lang w:val="en-US" w:eastAsia="zh-CN"/>
        </w:rPr>
        <w:t>雷电灾害风险评估技术服务费用为</w:t>
      </w:r>
      <w:r>
        <w:rPr>
          <w:rFonts w:hint="eastAsia" w:ascii="楷体" w:hAnsi="楷体" w:eastAsia="楷体" w:cs="楷体"/>
          <w:b w:val="0"/>
          <w:bCs w:val="0"/>
          <w:color w:val="auto"/>
          <w:sz w:val="26"/>
          <w:szCs w:val="26"/>
          <w:highlight w:val="none"/>
          <w:u w:val="none"/>
          <w:lang w:val="en-US" w:eastAsia="zh-CN"/>
        </w:rPr>
        <w:t>人民币（含税）</w:t>
      </w:r>
      <w:r>
        <w:rPr>
          <w:rFonts w:hint="eastAsia" w:ascii="楷体" w:hAnsi="楷体" w:eastAsia="楷体" w:cs="楷体"/>
          <w:b w:val="0"/>
          <w:bCs w:val="0"/>
          <w:color w:val="auto"/>
          <w:sz w:val="26"/>
          <w:szCs w:val="26"/>
          <w:highlight w:val="none"/>
          <w:u w:val="single"/>
          <w:lang w:val="en-US" w:eastAsia="zh-CN"/>
        </w:rPr>
        <w:t xml:space="preserve">    </w:t>
      </w:r>
      <w:r>
        <w:rPr>
          <w:rFonts w:hint="eastAsia" w:ascii="楷体" w:hAnsi="楷体" w:eastAsia="楷体" w:cs="楷体"/>
          <w:b/>
          <w:bCs/>
          <w:color w:val="auto"/>
          <w:sz w:val="26"/>
          <w:szCs w:val="26"/>
          <w:highlight w:val="none"/>
          <w:u w:val="single"/>
          <w:lang w:val="en-US" w:eastAsia="zh-CN"/>
        </w:rPr>
        <w:t>整（¥       元）</w:t>
      </w:r>
      <w:r>
        <w:rPr>
          <w:rFonts w:hint="eastAsia" w:ascii="楷体" w:hAnsi="楷体" w:eastAsia="楷体" w:cs="楷体"/>
          <w:b w:val="0"/>
          <w:bCs w:val="0"/>
          <w:color w:val="auto"/>
          <w:sz w:val="26"/>
          <w:szCs w:val="26"/>
          <w:highlight w:val="none"/>
          <w:u w:val="none"/>
          <w:lang w:val="en-US" w:eastAsia="zh-CN"/>
        </w:rPr>
        <w:t>。</w:t>
      </w:r>
      <w:r>
        <w:rPr>
          <w:rFonts w:hint="eastAsia" w:ascii="楷体" w:hAnsi="楷体" w:eastAsia="楷体" w:cs="楷体"/>
          <w:color w:val="auto"/>
          <w:sz w:val="26"/>
          <w:szCs w:val="26"/>
          <w:highlight w:val="none"/>
          <w:lang w:val="en-US" w:eastAsia="zh-CN"/>
        </w:rPr>
        <w:t>本合同总金额包括所有所需缴付（纳）的国家及地方一切税项，乙方履行本合同义务所发生的一切费用和支出，包括专家评审会的评审费、报告的打印装订费以各种方式寄送技术资料到甲方办公室所发生的费用。</w:t>
      </w:r>
    </w:p>
    <w:p w14:paraId="6DA5206F">
      <w:pPr>
        <w:keepNext w:val="0"/>
        <w:keepLines w:val="0"/>
        <w:pageBreakBefore w:val="0"/>
        <w:numPr>
          <w:ilvl w:val="0"/>
          <w:numId w:val="67"/>
        </w:numPr>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支付条件和方式：</w:t>
      </w:r>
    </w:p>
    <w:p w14:paraId="4663C263">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1</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rPr>
        <w:t>合同生效后，</w:t>
      </w:r>
      <w:r>
        <w:rPr>
          <w:rFonts w:hint="eastAsia" w:ascii="楷体" w:hAnsi="楷体" w:eastAsia="楷体" w:cs="楷体"/>
          <w:bCs/>
          <w:color w:val="auto"/>
          <w:sz w:val="26"/>
          <w:szCs w:val="26"/>
          <w:highlight w:val="none"/>
          <w:lang w:val="en-US" w:eastAsia="zh-CN"/>
        </w:rPr>
        <w:t>甲方</w:t>
      </w:r>
      <w:r>
        <w:rPr>
          <w:rFonts w:hint="eastAsia" w:ascii="楷体" w:hAnsi="楷体" w:eastAsia="楷体" w:cs="楷体"/>
          <w:bCs/>
          <w:color w:val="auto"/>
          <w:sz w:val="26"/>
          <w:szCs w:val="26"/>
          <w:highlight w:val="none"/>
        </w:rPr>
        <w:t>收到</w:t>
      </w:r>
      <w:r>
        <w:rPr>
          <w:rFonts w:hint="eastAsia" w:ascii="楷体" w:hAnsi="楷体" w:eastAsia="楷体" w:cs="楷体"/>
          <w:bCs/>
          <w:color w:val="auto"/>
          <w:sz w:val="26"/>
          <w:szCs w:val="26"/>
          <w:highlight w:val="none"/>
          <w:lang w:val="en-US" w:eastAsia="zh-CN"/>
        </w:rPr>
        <w:t>乙方</w:t>
      </w:r>
      <w:r>
        <w:rPr>
          <w:rFonts w:hint="eastAsia" w:ascii="楷体" w:hAnsi="楷体" w:eastAsia="楷体" w:cs="楷体"/>
          <w:bCs/>
          <w:color w:val="auto"/>
          <w:sz w:val="26"/>
          <w:szCs w:val="26"/>
          <w:highlight w:val="none"/>
        </w:rPr>
        <w:t>提供的请款函与合法有效增值税专用发票后</w:t>
      </w:r>
      <w:r>
        <w:rPr>
          <w:rFonts w:hint="eastAsia" w:ascii="楷体" w:hAnsi="楷体" w:eastAsia="楷体" w:cs="楷体"/>
          <w:bCs/>
          <w:color w:val="auto"/>
          <w:sz w:val="26"/>
          <w:szCs w:val="26"/>
          <w:highlight w:val="none"/>
          <w:lang w:val="en-US" w:eastAsia="zh-CN"/>
        </w:rPr>
        <w:t>15</w:t>
      </w:r>
      <w:r>
        <w:rPr>
          <w:rFonts w:hint="eastAsia" w:ascii="楷体" w:hAnsi="楷体" w:eastAsia="楷体" w:cs="楷体"/>
          <w:bCs/>
          <w:color w:val="auto"/>
          <w:sz w:val="26"/>
          <w:szCs w:val="26"/>
          <w:highlight w:val="none"/>
        </w:rPr>
        <w:t>个工作日内支付合同价款的</w:t>
      </w:r>
      <w:r>
        <w:rPr>
          <w:rFonts w:hint="eastAsia" w:ascii="楷体" w:hAnsi="楷体" w:eastAsia="楷体" w:cs="楷体"/>
          <w:bCs/>
          <w:color w:val="auto"/>
          <w:sz w:val="26"/>
          <w:szCs w:val="26"/>
          <w:highlight w:val="none"/>
          <w:lang w:val="en-US" w:eastAsia="zh-CN"/>
        </w:rPr>
        <w:t>30</w:t>
      </w:r>
      <w:r>
        <w:rPr>
          <w:rFonts w:hint="eastAsia" w:ascii="楷体" w:hAnsi="楷体" w:eastAsia="楷体" w:cs="楷体"/>
          <w:bCs/>
          <w:color w:val="auto"/>
          <w:sz w:val="26"/>
          <w:szCs w:val="26"/>
          <w:highlight w:val="none"/>
        </w:rPr>
        <w:t>%</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lang w:val="en-US" w:eastAsia="zh-CN"/>
        </w:rPr>
        <w:t>人民币</w:t>
      </w:r>
      <w:r>
        <w:rPr>
          <w:rFonts w:hint="eastAsia" w:ascii="楷体" w:hAnsi="楷体" w:eastAsia="楷体" w:cs="楷体"/>
          <w:bCs/>
          <w:color w:val="auto"/>
          <w:sz w:val="26"/>
          <w:szCs w:val="26"/>
          <w:highlight w:val="none"/>
          <w:u w:val="single"/>
          <w:lang w:val="en-US" w:eastAsia="zh-CN"/>
        </w:rPr>
        <w:t xml:space="preserve">   </w:t>
      </w:r>
      <w:r>
        <w:rPr>
          <w:rFonts w:hint="eastAsia" w:ascii="楷体" w:hAnsi="楷体" w:eastAsia="楷体" w:cs="楷体"/>
          <w:bCs/>
          <w:color w:val="auto"/>
          <w:sz w:val="26"/>
          <w:szCs w:val="26"/>
          <w:highlight w:val="none"/>
          <w:lang w:val="en-US" w:eastAsia="zh-CN"/>
        </w:rPr>
        <w:t>元</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rPr>
        <w:t>。</w:t>
      </w:r>
    </w:p>
    <w:p w14:paraId="6B7F7B4D">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rPr>
      </w:pPr>
      <w:r>
        <w:rPr>
          <w:rFonts w:hint="eastAsia" w:ascii="楷体" w:hAnsi="楷体" w:eastAsia="楷体" w:cs="楷体"/>
          <w:bCs/>
          <w:color w:val="auto"/>
          <w:sz w:val="26"/>
          <w:szCs w:val="26"/>
          <w:highlight w:val="none"/>
        </w:rPr>
        <w:t>2</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lang w:val="en-US" w:eastAsia="zh-CN"/>
        </w:rPr>
        <w:t>乙方</w:t>
      </w:r>
      <w:r>
        <w:rPr>
          <w:rFonts w:hint="eastAsia" w:ascii="楷体" w:hAnsi="楷体" w:eastAsia="楷体" w:cs="楷体"/>
          <w:bCs/>
          <w:color w:val="auto"/>
          <w:sz w:val="26"/>
          <w:szCs w:val="26"/>
          <w:highlight w:val="none"/>
        </w:rPr>
        <w:t>出具的《雷电灾害风险评估报告》通过审查，</w:t>
      </w:r>
      <w:r>
        <w:rPr>
          <w:rFonts w:hint="eastAsia" w:ascii="楷体" w:hAnsi="楷体" w:eastAsia="楷体" w:cs="楷体"/>
          <w:bCs/>
          <w:color w:val="auto"/>
          <w:sz w:val="26"/>
          <w:szCs w:val="26"/>
          <w:highlight w:val="none"/>
          <w:lang w:val="en-US" w:eastAsia="zh-CN"/>
        </w:rPr>
        <w:t>甲方</w:t>
      </w:r>
      <w:r>
        <w:rPr>
          <w:rFonts w:hint="eastAsia" w:ascii="楷体" w:hAnsi="楷体" w:eastAsia="楷体" w:cs="楷体"/>
          <w:bCs/>
          <w:color w:val="auto"/>
          <w:sz w:val="26"/>
          <w:szCs w:val="26"/>
          <w:highlight w:val="none"/>
        </w:rPr>
        <w:t>收到</w:t>
      </w:r>
      <w:r>
        <w:rPr>
          <w:rFonts w:hint="eastAsia" w:ascii="楷体" w:hAnsi="楷体" w:eastAsia="楷体" w:cs="楷体"/>
          <w:bCs/>
          <w:color w:val="auto"/>
          <w:sz w:val="26"/>
          <w:szCs w:val="26"/>
          <w:highlight w:val="none"/>
          <w:lang w:val="en-US" w:eastAsia="zh-CN"/>
        </w:rPr>
        <w:t>乙方</w:t>
      </w:r>
      <w:r>
        <w:rPr>
          <w:rFonts w:hint="eastAsia" w:ascii="楷体" w:hAnsi="楷体" w:eastAsia="楷体" w:cs="楷体"/>
          <w:bCs/>
          <w:color w:val="auto"/>
          <w:sz w:val="26"/>
          <w:szCs w:val="26"/>
          <w:highlight w:val="none"/>
        </w:rPr>
        <w:t>提供的请款函与合法有效增值税专用发票后</w:t>
      </w:r>
      <w:r>
        <w:rPr>
          <w:rFonts w:hint="eastAsia" w:ascii="楷体" w:hAnsi="楷体" w:eastAsia="楷体" w:cs="楷体"/>
          <w:bCs/>
          <w:color w:val="auto"/>
          <w:sz w:val="26"/>
          <w:szCs w:val="26"/>
          <w:highlight w:val="none"/>
          <w:lang w:val="en-US" w:eastAsia="zh-CN"/>
        </w:rPr>
        <w:t>15</w:t>
      </w:r>
      <w:r>
        <w:rPr>
          <w:rFonts w:hint="eastAsia" w:ascii="楷体" w:hAnsi="楷体" w:eastAsia="楷体" w:cs="楷体"/>
          <w:bCs/>
          <w:color w:val="auto"/>
          <w:sz w:val="26"/>
          <w:szCs w:val="26"/>
          <w:highlight w:val="none"/>
        </w:rPr>
        <w:t>个工作日内支付合同价款的</w:t>
      </w:r>
      <w:r>
        <w:rPr>
          <w:rFonts w:hint="eastAsia" w:ascii="楷体" w:hAnsi="楷体" w:eastAsia="楷体" w:cs="楷体"/>
          <w:bCs/>
          <w:color w:val="auto"/>
          <w:sz w:val="26"/>
          <w:szCs w:val="26"/>
          <w:highlight w:val="none"/>
          <w:lang w:val="en-US" w:eastAsia="zh-CN"/>
        </w:rPr>
        <w:t>70</w:t>
      </w:r>
      <w:r>
        <w:rPr>
          <w:rFonts w:hint="eastAsia" w:ascii="楷体" w:hAnsi="楷体" w:eastAsia="楷体" w:cs="楷体"/>
          <w:bCs/>
          <w:color w:val="auto"/>
          <w:sz w:val="26"/>
          <w:szCs w:val="26"/>
          <w:highlight w:val="none"/>
        </w:rPr>
        <w:t>%</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lang w:val="en-US" w:eastAsia="zh-CN"/>
        </w:rPr>
        <w:t>人民币</w:t>
      </w:r>
      <w:r>
        <w:rPr>
          <w:rFonts w:hint="eastAsia" w:ascii="楷体" w:hAnsi="楷体" w:eastAsia="楷体" w:cs="楷体"/>
          <w:bCs/>
          <w:color w:val="auto"/>
          <w:sz w:val="26"/>
          <w:szCs w:val="26"/>
          <w:highlight w:val="none"/>
          <w:u w:val="single"/>
          <w:lang w:val="en-US" w:eastAsia="zh-CN"/>
        </w:rPr>
        <w:t xml:space="preserve">   </w:t>
      </w:r>
      <w:r>
        <w:rPr>
          <w:rFonts w:hint="eastAsia" w:ascii="楷体" w:hAnsi="楷体" w:eastAsia="楷体" w:cs="楷体"/>
          <w:bCs/>
          <w:color w:val="auto"/>
          <w:sz w:val="26"/>
          <w:szCs w:val="26"/>
          <w:highlight w:val="none"/>
          <w:lang w:val="en-US" w:eastAsia="zh-CN"/>
        </w:rPr>
        <w:t>元</w:t>
      </w:r>
      <w:r>
        <w:rPr>
          <w:rFonts w:hint="eastAsia" w:ascii="楷体" w:hAnsi="楷体" w:eastAsia="楷体" w:cs="楷体"/>
          <w:bCs/>
          <w:color w:val="auto"/>
          <w:sz w:val="26"/>
          <w:szCs w:val="26"/>
          <w:highlight w:val="none"/>
          <w:lang w:eastAsia="zh-CN"/>
        </w:rPr>
        <w:t>）</w:t>
      </w:r>
      <w:r>
        <w:rPr>
          <w:rFonts w:hint="eastAsia" w:ascii="楷体" w:hAnsi="楷体" w:eastAsia="楷体" w:cs="楷体"/>
          <w:bCs/>
          <w:color w:val="auto"/>
          <w:sz w:val="26"/>
          <w:szCs w:val="26"/>
          <w:highlight w:val="none"/>
        </w:rPr>
        <w:t>。</w:t>
      </w:r>
    </w:p>
    <w:p w14:paraId="7AB47658">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lang w:val="en-US" w:eastAsia="zh-CN"/>
        </w:rPr>
        <w:t>3</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rPr>
        <w:t>乙方开户银行名称和</w:t>
      </w:r>
      <w:r>
        <w:rPr>
          <w:rFonts w:hint="eastAsia" w:ascii="楷体" w:hAnsi="楷体" w:eastAsia="楷体" w:cs="楷体"/>
          <w:color w:val="auto"/>
          <w:sz w:val="26"/>
          <w:szCs w:val="26"/>
          <w:highlight w:val="none"/>
          <w:lang w:eastAsia="zh-CN"/>
        </w:rPr>
        <w:t>账</w:t>
      </w:r>
      <w:r>
        <w:rPr>
          <w:rFonts w:hint="eastAsia" w:ascii="楷体" w:hAnsi="楷体" w:eastAsia="楷体" w:cs="楷体"/>
          <w:color w:val="auto"/>
          <w:sz w:val="26"/>
          <w:szCs w:val="26"/>
          <w:highlight w:val="none"/>
        </w:rPr>
        <w:t>号</w:t>
      </w:r>
    </w:p>
    <w:p w14:paraId="281669F1">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u w:val="single"/>
        </w:rPr>
      </w:pPr>
      <w:r>
        <w:rPr>
          <w:rFonts w:hint="eastAsia" w:ascii="楷体" w:hAnsi="楷体" w:eastAsia="楷体" w:cs="楷体"/>
          <w:color w:val="auto"/>
          <w:sz w:val="26"/>
          <w:szCs w:val="26"/>
          <w:highlight w:val="none"/>
        </w:rPr>
        <w:t>收款单位：</w:t>
      </w:r>
      <w:r>
        <w:rPr>
          <w:rFonts w:hint="eastAsia" w:ascii="楷体" w:hAnsi="楷体" w:eastAsia="楷体" w:cs="楷体"/>
          <w:color w:val="auto"/>
          <w:sz w:val="26"/>
          <w:szCs w:val="26"/>
          <w:highlight w:val="none"/>
          <w:u w:val="single"/>
        </w:rPr>
        <w:t xml:space="preserve">  </w:t>
      </w:r>
      <w:r>
        <w:rPr>
          <w:rFonts w:hint="eastAsia" w:ascii="楷体" w:hAnsi="楷体" w:eastAsia="楷体" w:cs="楷体"/>
          <w:color w:val="auto"/>
          <w:sz w:val="26"/>
          <w:szCs w:val="26"/>
          <w:highlight w:val="none"/>
          <w:u w:val="single"/>
          <w:lang w:val="en-US" w:eastAsia="zh-CN"/>
        </w:rPr>
        <w:t xml:space="preserve">          </w:t>
      </w:r>
      <w:r>
        <w:rPr>
          <w:rFonts w:hint="eastAsia" w:ascii="楷体" w:hAnsi="楷体" w:eastAsia="楷体" w:cs="楷体"/>
          <w:color w:val="auto"/>
          <w:sz w:val="26"/>
          <w:szCs w:val="26"/>
          <w:highlight w:val="none"/>
          <w:u w:val="single"/>
        </w:rPr>
        <w:t xml:space="preserve">    </w:t>
      </w:r>
    </w:p>
    <w:p w14:paraId="43459412">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开户银行：</w:t>
      </w:r>
      <w:r>
        <w:rPr>
          <w:rFonts w:hint="eastAsia" w:ascii="楷体" w:hAnsi="楷体" w:eastAsia="楷体" w:cs="楷体"/>
          <w:color w:val="auto"/>
          <w:sz w:val="26"/>
          <w:szCs w:val="26"/>
          <w:highlight w:val="none"/>
          <w:u w:val="single"/>
          <w:lang w:val="en-US" w:eastAsia="zh-CN"/>
        </w:rPr>
        <w:t xml:space="preserve">               </w:t>
      </w:r>
      <w:r>
        <w:rPr>
          <w:rFonts w:hint="eastAsia" w:ascii="楷体" w:hAnsi="楷体" w:eastAsia="楷体" w:cs="楷体"/>
          <w:color w:val="auto"/>
          <w:sz w:val="26"/>
          <w:szCs w:val="26"/>
          <w:highlight w:val="none"/>
          <w:u w:val="single"/>
        </w:rPr>
        <w:t xml:space="preserve"> </w:t>
      </w:r>
    </w:p>
    <w:p w14:paraId="28C1B1C2">
      <w:pPr>
        <w:keepNext w:val="0"/>
        <w:keepLines w:val="0"/>
        <w:pageBreakBefore w:val="0"/>
        <w:kinsoku/>
        <w:wordWrap/>
        <w:overflowPunct/>
        <w:topLinePunct w:val="0"/>
        <w:bidi w:val="0"/>
        <w:adjustRightInd w:val="0"/>
        <w:snapToGrid w:val="0"/>
        <w:spacing w:line="360" w:lineRule="auto"/>
        <w:ind w:left="0" w:leftChars="0" w:firstLine="418" w:firstLineChars="161"/>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lang w:eastAsia="zh-CN"/>
        </w:rPr>
        <w:t>账</w:t>
      </w:r>
      <w:r>
        <w:rPr>
          <w:rFonts w:hint="eastAsia" w:ascii="楷体" w:hAnsi="楷体" w:eastAsia="楷体" w:cs="楷体"/>
          <w:color w:val="auto"/>
          <w:sz w:val="26"/>
          <w:szCs w:val="26"/>
          <w:highlight w:val="none"/>
        </w:rPr>
        <w:t>　　号：</w:t>
      </w:r>
      <w:r>
        <w:rPr>
          <w:rFonts w:hint="eastAsia" w:ascii="楷体" w:hAnsi="楷体" w:eastAsia="楷体" w:cs="楷体"/>
          <w:color w:val="auto"/>
          <w:sz w:val="26"/>
          <w:szCs w:val="26"/>
          <w:highlight w:val="none"/>
          <w:u w:val="single"/>
        </w:rPr>
        <w:t xml:space="preserve">  </w:t>
      </w:r>
      <w:r>
        <w:rPr>
          <w:rFonts w:hint="eastAsia" w:ascii="楷体" w:hAnsi="楷体" w:eastAsia="楷体" w:cs="楷体"/>
          <w:color w:val="auto"/>
          <w:sz w:val="26"/>
          <w:szCs w:val="26"/>
          <w:highlight w:val="none"/>
          <w:u w:val="single"/>
          <w:lang w:val="en-US" w:eastAsia="zh-CN"/>
        </w:rPr>
        <w:t xml:space="preserve">          </w:t>
      </w:r>
      <w:r>
        <w:rPr>
          <w:rFonts w:hint="eastAsia" w:ascii="楷体" w:hAnsi="楷体" w:eastAsia="楷体" w:cs="楷体"/>
          <w:color w:val="auto"/>
          <w:sz w:val="26"/>
          <w:szCs w:val="26"/>
          <w:highlight w:val="none"/>
          <w:u w:val="single"/>
        </w:rPr>
        <w:t xml:space="preserve">    </w:t>
      </w:r>
    </w:p>
    <w:p w14:paraId="0469ADA7">
      <w:pPr>
        <w:pStyle w:val="4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241"/>
        <w:textAlignment w:val="auto"/>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第四条</w:t>
      </w:r>
      <w:r>
        <w:rPr>
          <w:rFonts w:hint="eastAsia" w:ascii="楷体" w:hAnsi="楷体" w:eastAsia="楷体" w:cs="楷体"/>
          <w:color w:val="auto"/>
          <w:sz w:val="26"/>
          <w:szCs w:val="26"/>
          <w:highlight w:val="none"/>
        </w:rPr>
        <w:t>本合同的变更必须由双方协商一致，并以书面形式确定。但有下列情形之一的，一方可以向另一方提出变更合同权利与义务的请求，另一方应当在</w:t>
      </w:r>
      <w:r>
        <w:rPr>
          <w:rFonts w:hint="eastAsia" w:ascii="楷体" w:hAnsi="楷体" w:eastAsia="楷体" w:cs="楷体"/>
          <w:b/>
          <w:color w:val="auto"/>
          <w:sz w:val="26"/>
          <w:szCs w:val="26"/>
          <w:highlight w:val="none"/>
          <w:u w:val="single"/>
        </w:rPr>
        <w:t>5</w:t>
      </w:r>
      <w:r>
        <w:rPr>
          <w:rFonts w:hint="eastAsia" w:ascii="楷体" w:hAnsi="楷体" w:eastAsia="楷体" w:cs="楷体"/>
          <w:color w:val="auto"/>
          <w:sz w:val="26"/>
          <w:szCs w:val="26"/>
          <w:highlight w:val="none"/>
        </w:rPr>
        <w:t>个工作日内予以答复；逾期未予答复的，视为同意。</w:t>
      </w:r>
    </w:p>
    <w:p w14:paraId="5F5EBCBB">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w:t>
      </w:r>
      <w:r>
        <w:rPr>
          <w:rFonts w:hint="eastAsia" w:ascii="楷体" w:hAnsi="楷体" w:eastAsia="楷体" w:cs="楷体"/>
          <w:color w:val="auto"/>
          <w:sz w:val="26"/>
          <w:szCs w:val="26"/>
          <w:highlight w:val="none"/>
          <w:u w:val="single"/>
        </w:rPr>
        <w:t>甲方对报告编制的更改</w:t>
      </w:r>
      <w:r>
        <w:rPr>
          <w:rFonts w:hint="eastAsia" w:ascii="楷体" w:hAnsi="楷体" w:eastAsia="楷体" w:cs="楷体"/>
          <w:color w:val="auto"/>
          <w:sz w:val="26"/>
          <w:szCs w:val="26"/>
          <w:highlight w:val="none"/>
        </w:rPr>
        <w:t>；</w:t>
      </w:r>
    </w:p>
    <w:p w14:paraId="1C0D21D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2.</w:t>
      </w:r>
      <w:r>
        <w:rPr>
          <w:rFonts w:hint="eastAsia" w:ascii="楷体" w:hAnsi="楷体" w:eastAsia="楷体" w:cs="楷体"/>
          <w:color w:val="auto"/>
          <w:sz w:val="26"/>
          <w:szCs w:val="26"/>
          <w:highlight w:val="none"/>
          <w:u w:val="single"/>
        </w:rPr>
        <w:t>各种不可抗拒的外界因素（如自然灾害）</w:t>
      </w:r>
      <w:r>
        <w:rPr>
          <w:rFonts w:hint="eastAsia" w:ascii="楷体" w:hAnsi="楷体" w:eastAsia="楷体" w:cs="楷体"/>
          <w:color w:val="auto"/>
          <w:sz w:val="26"/>
          <w:szCs w:val="26"/>
          <w:highlight w:val="none"/>
        </w:rPr>
        <w:t>；</w:t>
      </w:r>
    </w:p>
    <w:p w14:paraId="16200C2E">
      <w:pPr>
        <w:pStyle w:val="4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241"/>
        <w:textAlignment w:val="auto"/>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第五条</w:t>
      </w:r>
      <w:r>
        <w:rPr>
          <w:rFonts w:hint="eastAsia" w:ascii="楷体" w:hAnsi="楷体" w:eastAsia="楷体" w:cs="楷体"/>
          <w:color w:val="auto"/>
          <w:sz w:val="26"/>
          <w:szCs w:val="26"/>
          <w:highlight w:val="none"/>
        </w:rPr>
        <w:t>双方确定因履行本合同应遵守的保密义务如下：</w:t>
      </w:r>
    </w:p>
    <w:p w14:paraId="1D712B36">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1.保密内容（包括技术信息和经营信息）；</w:t>
      </w:r>
    </w:p>
    <w:p w14:paraId="0F33A31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2.涉密人员范围：</w:t>
      </w:r>
      <w:r>
        <w:rPr>
          <w:rFonts w:hint="eastAsia" w:ascii="楷体" w:hAnsi="楷体" w:eastAsia="楷体" w:cs="楷体"/>
          <w:color w:val="auto"/>
          <w:sz w:val="26"/>
          <w:szCs w:val="26"/>
          <w:highlight w:val="none"/>
          <w:u w:val="single"/>
        </w:rPr>
        <w:t>乙方所有参与本项目的人员，包括但不限于相关管理、开发、设计人员等</w:t>
      </w:r>
      <w:r>
        <w:rPr>
          <w:rFonts w:hint="eastAsia" w:ascii="楷体" w:hAnsi="楷体" w:eastAsia="楷体" w:cs="楷体"/>
          <w:color w:val="auto"/>
          <w:sz w:val="26"/>
          <w:szCs w:val="26"/>
          <w:highlight w:val="none"/>
        </w:rPr>
        <w:t>；</w:t>
      </w:r>
    </w:p>
    <w:p w14:paraId="06247EF4">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3.保密期限：</w:t>
      </w:r>
      <w:r>
        <w:rPr>
          <w:rFonts w:hint="eastAsia" w:ascii="楷体" w:hAnsi="楷体" w:eastAsia="楷体" w:cs="楷体"/>
          <w:color w:val="auto"/>
          <w:sz w:val="26"/>
          <w:szCs w:val="26"/>
          <w:highlight w:val="none"/>
          <w:u w:val="single"/>
        </w:rPr>
        <w:t>到各项秘密被其合法拥有者公开时为止，其中国家秘密的保密期限由国家有关部门确定，工作秘密的保密期限由甲方确定</w:t>
      </w:r>
      <w:r>
        <w:rPr>
          <w:rFonts w:hint="eastAsia" w:ascii="楷体" w:hAnsi="楷体" w:eastAsia="楷体" w:cs="楷体"/>
          <w:color w:val="auto"/>
          <w:sz w:val="26"/>
          <w:szCs w:val="26"/>
          <w:highlight w:val="none"/>
        </w:rPr>
        <w:t>；</w:t>
      </w:r>
    </w:p>
    <w:p w14:paraId="76108504">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520" w:firstLineChars="20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4.泄密责任：</w:t>
      </w:r>
      <w:r>
        <w:rPr>
          <w:rFonts w:hint="eastAsia" w:ascii="楷体" w:hAnsi="楷体" w:eastAsia="楷体" w:cs="楷体"/>
          <w:color w:val="auto"/>
          <w:sz w:val="26"/>
          <w:szCs w:val="26"/>
          <w:highlight w:val="none"/>
          <w:u w:val="single"/>
        </w:rPr>
        <w:t>甲方有权要求乙方对因乙方泄密而导致的一切损失作出赔偿</w:t>
      </w:r>
      <w:r>
        <w:rPr>
          <w:rFonts w:hint="eastAsia" w:ascii="楷体" w:hAnsi="楷体" w:eastAsia="楷体" w:cs="楷体"/>
          <w:color w:val="auto"/>
          <w:sz w:val="26"/>
          <w:szCs w:val="26"/>
          <w:highlight w:val="none"/>
        </w:rPr>
        <w:t>；</w:t>
      </w:r>
    </w:p>
    <w:p w14:paraId="0F73CC65">
      <w:pPr>
        <w:pStyle w:val="4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241"/>
        <w:textAlignment w:val="auto"/>
        <w:rPr>
          <w:rFonts w:hint="eastAsia" w:ascii="楷体" w:hAnsi="楷体" w:eastAsia="楷体" w:cs="楷体"/>
          <w:bCs/>
          <w:color w:val="auto"/>
          <w:sz w:val="26"/>
          <w:szCs w:val="26"/>
          <w:highlight w:val="none"/>
        </w:rPr>
      </w:pPr>
      <w:r>
        <w:rPr>
          <w:rFonts w:hint="eastAsia" w:ascii="楷体" w:hAnsi="楷体" w:eastAsia="楷体" w:cs="楷体"/>
          <w:b/>
          <w:color w:val="auto"/>
          <w:sz w:val="26"/>
          <w:szCs w:val="26"/>
          <w:highlight w:val="none"/>
        </w:rPr>
        <w:t>第六条</w:t>
      </w:r>
      <w:r>
        <w:rPr>
          <w:rFonts w:hint="eastAsia" w:ascii="楷体" w:hAnsi="楷体" w:eastAsia="楷体" w:cs="楷体"/>
          <w:bCs/>
          <w:color w:val="auto"/>
          <w:sz w:val="26"/>
          <w:szCs w:val="26"/>
          <w:highlight w:val="none"/>
        </w:rPr>
        <w:t>乙方应当按以下方式向甲方交付研究开发成果：</w:t>
      </w:r>
    </w:p>
    <w:p w14:paraId="595CFD11">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开发成果交付的形式及数量：</w:t>
      </w:r>
    </w:p>
    <w:p w14:paraId="1D8EA8EF">
      <w:pPr>
        <w:pStyle w:val="13"/>
        <w:keepNext w:val="0"/>
        <w:keepLines w:val="0"/>
        <w:pageBreakBefore w:val="0"/>
        <w:numPr>
          <w:ilvl w:val="0"/>
          <w:numId w:val="68"/>
        </w:numPr>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u w:val="none"/>
        </w:rPr>
        <w:t>《</w:t>
      </w:r>
      <w:r>
        <w:rPr>
          <w:rFonts w:hint="eastAsia" w:ascii="楷体" w:hAnsi="楷体" w:eastAsia="楷体" w:cs="楷体"/>
          <w:color w:val="auto"/>
          <w:sz w:val="26"/>
          <w:szCs w:val="26"/>
          <w:highlight w:val="none"/>
          <w:u w:val="non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none"/>
        </w:rPr>
        <w:t>》</w:t>
      </w:r>
      <w:r>
        <w:rPr>
          <w:rFonts w:hint="eastAsia" w:ascii="楷体" w:hAnsi="楷体" w:eastAsia="楷体" w:cs="楷体"/>
          <w:color w:val="auto"/>
          <w:sz w:val="26"/>
          <w:szCs w:val="26"/>
          <w:highlight w:val="none"/>
        </w:rPr>
        <w:t>数量4本及气象主管部门的复函文件</w:t>
      </w:r>
      <w:r>
        <w:rPr>
          <w:rFonts w:hint="eastAsia" w:ascii="楷体" w:hAnsi="楷体" w:eastAsia="楷体" w:cs="楷体"/>
          <w:color w:val="auto"/>
          <w:sz w:val="26"/>
          <w:szCs w:val="26"/>
          <w:highlight w:val="none"/>
          <w:lang w:val="en-US" w:eastAsia="zh-CN"/>
        </w:rPr>
        <w:t>。</w:t>
      </w:r>
    </w:p>
    <w:p w14:paraId="0CDBAF9A">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u w:val="single"/>
        </w:rPr>
      </w:pPr>
      <w:r>
        <w:rPr>
          <w:rFonts w:hint="eastAsia" w:ascii="楷体" w:hAnsi="楷体" w:eastAsia="楷体" w:cs="楷体"/>
          <w:color w:val="auto"/>
          <w:sz w:val="26"/>
          <w:szCs w:val="26"/>
          <w:highlight w:val="none"/>
        </w:rPr>
        <w:t>2.开发成果交付的时间：《</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rPr>
        <w:t>》</w:t>
      </w:r>
      <w:r>
        <w:rPr>
          <w:rFonts w:hint="eastAsia" w:ascii="楷体" w:hAnsi="楷体" w:eastAsia="楷体" w:cs="楷体"/>
          <w:color w:val="auto"/>
          <w:sz w:val="26"/>
          <w:szCs w:val="26"/>
          <w:highlight w:val="none"/>
          <w:lang w:val="en-US" w:eastAsia="zh-CN"/>
        </w:rPr>
        <w:t>在</w:t>
      </w:r>
      <w:r>
        <w:rPr>
          <w:rFonts w:hint="eastAsia" w:ascii="楷体" w:hAnsi="楷体" w:eastAsia="楷体" w:cs="楷体"/>
          <w:color w:val="auto"/>
          <w:sz w:val="26"/>
          <w:szCs w:val="26"/>
          <w:highlight w:val="none"/>
        </w:rPr>
        <w:t>合同</w:t>
      </w:r>
      <w:r>
        <w:rPr>
          <w:rFonts w:hint="eastAsia" w:ascii="楷体" w:hAnsi="楷体" w:eastAsia="楷体" w:cs="楷体"/>
          <w:color w:val="auto"/>
          <w:sz w:val="26"/>
          <w:szCs w:val="26"/>
          <w:highlight w:val="none"/>
          <w:lang w:val="en-US" w:eastAsia="zh-CN"/>
        </w:rPr>
        <w:t>生效之日起20</w:t>
      </w:r>
      <w:r>
        <w:rPr>
          <w:rFonts w:hint="eastAsia" w:ascii="楷体" w:hAnsi="楷体" w:eastAsia="楷体" w:cs="楷体"/>
          <w:color w:val="auto"/>
          <w:sz w:val="26"/>
          <w:szCs w:val="26"/>
          <w:highlight w:val="none"/>
        </w:rPr>
        <w:t>个工作日</w:t>
      </w:r>
      <w:r>
        <w:rPr>
          <w:rFonts w:hint="eastAsia" w:ascii="楷体" w:hAnsi="楷体" w:eastAsia="楷体" w:cs="楷体"/>
          <w:color w:val="auto"/>
          <w:sz w:val="26"/>
          <w:szCs w:val="26"/>
          <w:highlight w:val="none"/>
          <w:lang w:val="en-US" w:eastAsia="zh-CN"/>
        </w:rPr>
        <w:t>内提供</w:t>
      </w:r>
      <w:r>
        <w:rPr>
          <w:rFonts w:hint="eastAsia" w:ascii="楷体" w:hAnsi="楷体" w:eastAsia="楷体" w:cs="楷体"/>
          <w:color w:val="auto"/>
          <w:sz w:val="26"/>
          <w:szCs w:val="26"/>
          <w:highlight w:val="none"/>
        </w:rPr>
        <w:t>。</w:t>
      </w:r>
    </w:p>
    <w:p w14:paraId="0C21B4C3">
      <w:pPr>
        <w:pStyle w:val="42"/>
        <w:keepNext w:val="0"/>
        <w:keepLines w:val="0"/>
        <w:pageBreakBefore w:val="0"/>
        <w:kinsoku/>
        <w:wordWrap/>
        <w:overflowPunct/>
        <w:topLinePunct w:val="0"/>
        <w:bidi w:val="0"/>
        <w:adjustRightInd w:val="0"/>
        <w:snapToGrid w:val="0"/>
        <w:spacing w:after="0" w:line="360" w:lineRule="auto"/>
        <w:ind w:left="0" w:leftChars="0" w:firstLine="522" w:firstLineChars="200"/>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第七条</w:t>
      </w:r>
      <w:r>
        <w:rPr>
          <w:rFonts w:hint="eastAsia" w:ascii="楷体" w:hAnsi="楷体" w:eastAsia="楷体" w:cs="楷体"/>
          <w:color w:val="auto"/>
          <w:sz w:val="26"/>
          <w:szCs w:val="26"/>
          <w:highlight w:val="none"/>
        </w:rPr>
        <w:t>双方确定，按以下标准及方法对乙方完成的雷电灾害风险评估技术服务成果进行验收：</w:t>
      </w:r>
    </w:p>
    <w:p w14:paraId="44790226">
      <w:pPr>
        <w:pStyle w:val="42"/>
        <w:keepNext w:val="0"/>
        <w:keepLines w:val="0"/>
        <w:pageBreakBefore w:val="0"/>
        <w:kinsoku/>
        <w:wordWrap/>
        <w:overflowPunct/>
        <w:topLinePunct w:val="0"/>
        <w:bidi w:val="0"/>
        <w:adjustRightInd w:val="0"/>
        <w:snapToGrid w:val="0"/>
        <w:spacing w:after="0"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1.乙方提交完成的《</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single"/>
        </w:rPr>
        <w:t>（送审稿）</w:t>
      </w:r>
      <w:r>
        <w:rPr>
          <w:rFonts w:hint="eastAsia" w:ascii="楷体" w:hAnsi="楷体" w:eastAsia="楷体" w:cs="楷体"/>
          <w:color w:val="auto"/>
          <w:sz w:val="26"/>
          <w:szCs w:val="26"/>
          <w:highlight w:val="none"/>
        </w:rPr>
        <w:t>》由</w:t>
      </w:r>
      <w:r>
        <w:rPr>
          <w:rFonts w:hint="eastAsia" w:ascii="楷体" w:hAnsi="楷体" w:eastAsia="楷体" w:cs="楷体"/>
          <w:color w:val="auto"/>
          <w:sz w:val="26"/>
          <w:szCs w:val="26"/>
          <w:highlight w:val="none"/>
          <w:lang w:val="en-US" w:eastAsia="zh-CN"/>
        </w:rPr>
        <w:t>清远市</w:t>
      </w:r>
      <w:r>
        <w:rPr>
          <w:rFonts w:hint="eastAsia" w:ascii="楷体" w:hAnsi="楷体" w:eastAsia="楷体" w:cs="楷体"/>
          <w:color w:val="auto"/>
          <w:sz w:val="26"/>
          <w:szCs w:val="26"/>
          <w:highlight w:val="none"/>
          <w:u w:val="single"/>
        </w:rPr>
        <w:t>气象主管机构</w:t>
      </w:r>
      <w:r>
        <w:rPr>
          <w:rFonts w:hint="eastAsia" w:ascii="楷体" w:hAnsi="楷体" w:eastAsia="楷体" w:cs="楷体"/>
          <w:color w:val="auto"/>
          <w:sz w:val="26"/>
          <w:szCs w:val="26"/>
          <w:highlight w:val="none"/>
        </w:rPr>
        <w:t>组织评审</w:t>
      </w:r>
      <w:r>
        <w:rPr>
          <w:rFonts w:hint="eastAsia" w:ascii="楷体" w:hAnsi="楷体" w:eastAsia="楷体" w:cs="楷体"/>
          <w:color w:val="auto"/>
          <w:sz w:val="26"/>
          <w:szCs w:val="26"/>
          <w:highlight w:val="none"/>
          <w:lang w:eastAsia="zh-CN"/>
        </w:rPr>
        <w:t>，</w:t>
      </w:r>
      <w:r>
        <w:rPr>
          <w:rFonts w:hint="eastAsia" w:ascii="楷体" w:hAnsi="楷体" w:eastAsia="楷体" w:cs="楷体"/>
          <w:color w:val="auto"/>
          <w:sz w:val="26"/>
          <w:szCs w:val="26"/>
          <w:highlight w:val="none"/>
        </w:rPr>
        <w:t>专家</w:t>
      </w:r>
      <w:r>
        <w:rPr>
          <w:rFonts w:hint="eastAsia" w:ascii="楷体" w:hAnsi="楷体" w:eastAsia="楷体" w:cs="楷体"/>
          <w:color w:val="auto"/>
          <w:sz w:val="26"/>
          <w:szCs w:val="26"/>
          <w:highlight w:val="none"/>
          <w:lang w:val="en-US" w:eastAsia="zh-CN"/>
        </w:rPr>
        <w:t>依据</w:t>
      </w:r>
      <w:r>
        <w:rPr>
          <w:rFonts w:hint="eastAsia" w:ascii="楷体" w:hAnsi="楷体" w:eastAsia="楷体" w:cs="楷体"/>
          <w:color w:val="auto"/>
          <w:sz w:val="26"/>
          <w:szCs w:val="26"/>
          <w:highlight w:val="none"/>
        </w:rPr>
        <w:t>国家和行业有关规范、规程和标准进行逐项确认，专家对《</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single"/>
        </w:rPr>
        <w:t>（送审稿）</w:t>
      </w:r>
      <w:r>
        <w:rPr>
          <w:rFonts w:hint="eastAsia" w:ascii="楷体" w:hAnsi="楷体" w:eastAsia="楷体" w:cs="楷体"/>
          <w:color w:val="auto"/>
          <w:sz w:val="26"/>
          <w:szCs w:val="26"/>
          <w:highlight w:val="none"/>
        </w:rPr>
        <w:t>》进行综合评审，分别形成《专家评审意见》。</w:t>
      </w:r>
    </w:p>
    <w:p w14:paraId="621B41A2">
      <w:pPr>
        <w:pStyle w:val="42"/>
        <w:keepNext w:val="0"/>
        <w:keepLines w:val="0"/>
        <w:pageBreakBefore w:val="0"/>
        <w:kinsoku/>
        <w:wordWrap/>
        <w:overflowPunct/>
        <w:topLinePunct w:val="0"/>
        <w:bidi w:val="0"/>
        <w:adjustRightInd w:val="0"/>
        <w:snapToGrid w:val="0"/>
        <w:spacing w:after="0"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2.专家评审通过后，乙方提交《</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single"/>
        </w:rPr>
        <w:t>》</w:t>
      </w:r>
      <w:r>
        <w:rPr>
          <w:rFonts w:hint="eastAsia" w:ascii="楷体" w:hAnsi="楷体" w:eastAsia="楷体" w:cs="楷体"/>
          <w:color w:val="auto"/>
          <w:sz w:val="26"/>
          <w:szCs w:val="26"/>
          <w:highlight w:val="none"/>
          <w:u w:val="single"/>
          <w:lang w:eastAsia="zh-CN"/>
        </w:rPr>
        <w:t>、</w:t>
      </w:r>
      <w:r>
        <w:rPr>
          <w:rFonts w:hint="eastAsia" w:ascii="楷体" w:hAnsi="楷体" w:eastAsia="楷体" w:cs="楷体"/>
          <w:color w:val="auto"/>
          <w:sz w:val="26"/>
          <w:szCs w:val="26"/>
          <w:highlight w:val="none"/>
          <w:u w:val="single"/>
          <w:lang w:val="en-US" w:eastAsia="zh-CN"/>
        </w:rPr>
        <w:t>清远市</w:t>
      </w:r>
      <w:r>
        <w:rPr>
          <w:rFonts w:hint="eastAsia" w:ascii="楷体" w:hAnsi="楷体" w:eastAsia="楷体" w:cs="楷体"/>
          <w:color w:val="auto"/>
          <w:sz w:val="26"/>
          <w:szCs w:val="26"/>
          <w:highlight w:val="none"/>
          <w:u w:val="single"/>
        </w:rPr>
        <w:t>气象主管机构的</w:t>
      </w:r>
      <w:r>
        <w:rPr>
          <w:rFonts w:hint="eastAsia" w:ascii="楷体" w:hAnsi="楷体" w:eastAsia="楷体" w:cs="楷体"/>
          <w:color w:val="auto"/>
          <w:sz w:val="26"/>
          <w:szCs w:val="26"/>
          <w:highlight w:val="none"/>
          <w:u w:val="single"/>
          <w:lang w:val="en-US" w:eastAsia="zh-CN"/>
        </w:rPr>
        <w:t>复函以及</w:t>
      </w:r>
      <w:r>
        <w:rPr>
          <w:rFonts w:hint="eastAsia" w:ascii="楷体" w:hAnsi="楷体" w:eastAsia="楷体" w:cs="楷体"/>
          <w:color w:val="auto"/>
          <w:sz w:val="26"/>
          <w:szCs w:val="26"/>
          <w:highlight w:val="none"/>
          <w:u w:val="single"/>
        </w:rPr>
        <w:t>《专家评审意见》</w:t>
      </w:r>
      <w:r>
        <w:rPr>
          <w:rFonts w:hint="eastAsia" w:ascii="楷体" w:hAnsi="楷体" w:eastAsia="楷体" w:cs="楷体"/>
          <w:color w:val="auto"/>
          <w:sz w:val="26"/>
          <w:szCs w:val="26"/>
          <w:highlight w:val="none"/>
        </w:rPr>
        <w:t>至甲方即完成本项目验收。</w:t>
      </w:r>
    </w:p>
    <w:p w14:paraId="485394E6">
      <w:pPr>
        <w:pStyle w:val="42"/>
        <w:keepNext w:val="0"/>
        <w:keepLines w:val="0"/>
        <w:pageBreakBefore w:val="0"/>
        <w:kinsoku/>
        <w:wordWrap/>
        <w:overflowPunct/>
        <w:topLinePunct w:val="0"/>
        <w:bidi w:val="0"/>
        <w:adjustRightInd w:val="0"/>
        <w:snapToGrid w:val="0"/>
        <w:spacing w:after="0"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3.验收方式：乙方提交《</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single"/>
        </w:rPr>
        <w:t>》</w:t>
      </w:r>
      <w:r>
        <w:rPr>
          <w:rFonts w:hint="eastAsia" w:ascii="楷体" w:hAnsi="楷体" w:eastAsia="楷体" w:cs="楷体"/>
          <w:color w:val="auto"/>
          <w:sz w:val="26"/>
          <w:szCs w:val="26"/>
          <w:highlight w:val="none"/>
          <w:u w:val="single"/>
          <w:lang w:val="en-US" w:eastAsia="zh-CN"/>
        </w:rPr>
        <w:t>通过</w:t>
      </w:r>
      <w:r>
        <w:rPr>
          <w:rFonts w:hint="eastAsia" w:ascii="楷体" w:hAnsi="楷体" w:eastAsia="楷体" w:cs="楷体"/>
          <w:color w:val="auto"/>
          <w:sz w:val="26"/>
          <w:szCs w:val="26"/>
          <w:highlight w:val="none"/>
          <w:u w:val="single"/>
        </w:rPr>
        <w:t>专家评审及气象主管机构的</w:t>
      </w:r>
      <w:r>
        <w:rPr>
          <w:rFonts w:hint="eastAsia" w:ascii="楷体" w:hAnsi="楷体" w:eastAsia="楷体" w:cs="楷体"/>
          <w:color w:val="auto"/>
          <w:sz w:val="26"/>
          <w:szCs w:val="26"/>
          <w:highlight w:val="none"/>
          <w:u w:val="single"/>
          <w:lang w:val="en-US" w:eastAsia="zh-CN"/>
        </w:rPr>
        <w:t>复函</w:t>
      </w:r>
      <w:r>
        <w:rPr>
          <w:rFonts w:hint="eastAsia" w:ascii="楷体" w:hAnsi="楷体" w:eastAsia="楷体" w:cs="楷体"/>
          <w:color w:val="auto"/>
          <w:sz w:val="26"/>
          <w:szCs w:val="26"/>
          <w:highlight w:val="none"/>
          <w:u w:val="single"/>
        </w:rPr>
        <w:t>文件</w:t>
      </w:r>
      <w:r>
        <w:rPr>
          <w:rFonts w:hint="eastAsia" w:ascii="楷体" w:hAnsi="楷体" w:eastAsia="楷体" w:cs="楷体"/>
          <w:color w:val="auto"/>
          <w:sz w:val="26"/>
          <w:szCs w:val="26"/>
          <w:highlight w:val="none"/>
        </w:rPr>
        <w:t>。</w:t>
      </w:r>
    </w:p>
    <w:p w14:paraId="1319051D">
      <w:pPr>
        <w:pStyle w:val="42"/>
        <w:keepNext w:val="0"/>
        <w:keepLines w:val="0"/>
        <w:pageBreakBefore w:val="0"/>
        <w:kinsoku/>
        <w:wordWrap/>
        <w:overflowPunct/>
        <w:topLinePunct w:val="0"/>
        <w:bidi w:val="0"/>
        <w:adjustRightInd w:val="0"/>
        <w:snapToGrid w:val="0"/>
        <w:spacing w:after="0"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4.验收依据为国家和行业有关规范、规程和标准。</w:t>
      </w:r>
    </w:p>
    <w:p w14:paraId="5A64D60C">
      <w:pPr>
        <w:pStyle w:val="42"/>
        <w:keepNext w:val="0"/>
        <w:keepLines w:val="0"/>
        <w:pageBreakBefore w:val="0"/>
        <w:kinsoku/>
        <w:wordWrap/>
        <w:overflowPunct/>
        <w:topLinePunct w:val="0"/>
        <w:bidi w:val="0"/>
        <w:adjustRightInd w:val="0"/>
        <w:snapToGrid w:val="0"/>
        <w:spacing w:after="0" w:line="360" w:lineRule="auto"/>
        <w:ind w:left="0" w:leftChars="0" w:firstLine="645" w:firstLineChars="247"/>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第八条</w:t>
      </w:r>
      <w:r>
        <w:rPr>
          <w:rFonts w:hint="eastAsia" w:ascii="楷体" w:hAnsi="楷体" w:eastAsia="楷体" w:cs="楷体"/>
          <w:color w:val="auto"/>
          <w:sz w:val="26"/>
          <w:szCs w:val="26"/>
          <w:highlight w:val="none"/>
        </w:rPr>
        <w:t>双方确定，因履行本合同所产生的研究开发成果及其相关知识产权权利归属，按下列第</w:t>
      </w:r>
      <w:r>
        <w:rPr>
          <w:rFonts w:hint="eastAsia" w:ascii="楷体" w:hAnsi="楷体" w:eastAsia="楷体" w:cs="楷体"/>
          <w:b/>
          <w:color w:val="auto"/>
          <w:sz w:val="26"/>
          <w:szCs w:val="26"/>
          <w:highlight w:val="none"/>
          <w:u w:val="single"/>
        </w:rPr>
        <w:t>1</w:t>
      </w:r>
      <w:r>
        <w:rPr>
          <w:rFonts w:hint="eastAsia" w:ascii="楷体" w:hAnsi="楷体" w:eastAsia="楷体" w:cs="楷体"/>
          <w:color w:val="auto"/>
          <w:sz w:val="26"/>
          <w:szCs w:val="26"/>
          <w:highlight w:val="none"/>
        </w:rPr>
        <w:t>种方式处理：</w:t>
      </w:r>
    </w:p>
    <w:p w14:paraId="5986F134">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1.甲方享有申请专利的权利。</w:t>
      </w:r>
    </w:p>
    <w:p w14:paraId="17B4B579">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专利权取得后的使用和有关利益分配方式如下：</w:t>
      </w:r>
      <w:r>
        <w:rPr>
          <w:rFonts w:hint="eastAsia" w:ascii="楷体" w:hAnsi="楷体" w:eastAsia="楷体" w:cs="楷体"/>
          <w:color w:val="auto"/>
          <w:sz w:val="26"/>
          <w:szCs w:val="26"/>
          <w:highlight w:val="none"/>
          <w:u w:val="single"/>
        </w:rPr>
        <w:t>甲方100%。</w:t>
      </w:r>
    </w:p>
    <w:p w14:paraId="6FEBD7FD">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2.按技术秘密方式处理，有关使用和转让的权利归属及由此产生的利益按以下约定处理：</w:t>
      </w:r>
    </w:p>
    <w:p w14:paraId="2F93BED3">
      <w:pPr>
        <w:pStyle w:val="13"/>
        <w:keepNext w:val="0"/>
        <w:keepLines w:val="0"/>
        <w:pageBreakBefore w:val="0"/>
        <w:kinsoku/>
        <w:wordWrap/>
        <w:overflowPunct/>
        <w:topLinePunct w:val="0"/>
        <w:bidi w:val="0"/>
        <w:adjustRightInd w:val="0"/>
        <w:snapToGrid w:val="0"/>
        <w:spacing w:line="360" w:lineRule="auto"/>
        <w:ind w:left="0" w:leftChars="0"/>
        <w:rPr>
          <w:rFonts w:hint="default" w:ascii="楷体" w:hAnsi="楷体" w:eastAsia="楷体" w:cs="楷体"/>
          <w:color w:val="auto"/>
          <w:sz w:val="26"/>
          <w:szCs w:val="26"/>
          <w:highlight w:val="none"/>
          <w:u w:val="single"/>
          <w:lang w:val="en-US" w:eastAsia="zh-CN"/>
        </w:rPr>
      </w:pPr>
      <w:r>
        <w:rPr>
          <w:rFonts w:hint="eastAsia" w:ascii="楷体" w:hAnsi="楷体" w:eastAsia="楷体" w:cs="楷体"/>
          <w:color w:val="auto"/>
          <w:sz w:val="26"/>
          <w:szCs w:val="26"/>
          <w:highlight w:val="none"/>
        </w:rPr>
        <w:t>1）技术秘密的使用权：</w:t>
      </w:r>
      <w:r>
        <w:rPr>
          <w:rFonts w:hint="eastAsia" w:ascii="楷体" w:hAnsi="楷体" w:eastAsia="楷体" w:cs="楷体"/>
          <w:color w:val="auto"/>
          <w:sz w:val="26"/>
          <w:szCs w:val="26"/>
          <w:highlight w:val="none"/>
          <w:u w:val="single"/>
          <w:lang w:val="en-US" w:eastAsia="zh-CN"/>
        </w:rPr>
        <w:t xml:space="preserve">        /        </w:t>
      </w:r>
    </w:p>
    <w:p w14:paraId="433037B8">
      <w:pPr>
        <w:pStyle w:val="13"/>
        <w:keepNext w:val="0"/>
        <w:keepLines w:val="0"/>
        <w:pageBreakBefore w:val="0"/>
        <w:kinsoku/>
        <w:wordWrap/>
        <w:overflowPunct/>
        <w:topLinePunct w:val="0"/>
        <w:bidi w:val="0"/>
        <w:adjustRightInd w:val="0"/>
        <w:snapToGrid w:val="0"/>
        <w:spacing w:line="360" w:lineRule="auto"/>
        <w:ind w:left="0" w:leftChars="0"/>
        <w:rPr>
          <w:rFonts w:hint="default" w:ascii="楷体" w:hAnsi="楷体" w:eastAsia="楷体" w:cs="楷体"/>
          <w:color w:val="auto"/>
          <w:sz w:val="26"/>
          <w:szCs w:val="26"/>
          <w:highlight w:val="none"/>
          <w:u w:val="single"/>
          <w:lang w:val="en-US" w:eastAsia="zh-CN"/>
        </w:rPr>
      </w:pPr>
      <w:r>
        <w:rPr>
          <w:rFonts w:hint="eastAsia" w:ascii="楷体" w:hAnsi="楷体" w:eastAsia="楷体" w:cs="楷体"/>
          <w:color w:val="auto"/>
          <w:sz w:val="26"/>
          <w:szCs w:val="26"/>
          <w:highlight w:val="none"/>
        </w:rPr>
        <w:t>2）技术秘密的转让权：</w:t>
      </w:r>
      <w:r>
        <w:rPr>
          <w:rFonts w:hint="eastAsia" w:ascii="楷体" w:hAnsi="楷体" w:eastAsia="楷体" w:cs="楷体"/>
          <w:color w:val="auto"/>
          <w:sz w:val="26"/>
          <w:szCs w:val="26"/>
          <w:highlight w:val="none"/>
          <w:u w:val="single"/>
          <w:lang w:val="en-US" w:eastAsia="zh-CN"/>
        </w:rPr>
        <w:t xml:space="preserve">        /        </w:t>
      </w:r>
    </w:p>
    <w:p w14:paraId="584F2E8C">
      <w:pPr>
        <w:pStyle w:val="13"/>
        <w:keepNext w:val="0"/>
        <w:keepLines w:val="0"/>
        <w:pageBreakBefore w:val="0"/>
        <w:kinsoku/>
        <w:wordWrap/>
        <w:overflowPunct/>
        <w:topLinePunct w:val="0"/>
        <w:bidi w:val="0"/>
        <w:adjustRightInd w:val="0"/>
        <w:snapToGrid w:val="0"/>
        <w:spacing w:line="360" w:lineRule="auto"/>
        <w:ind w:left="0" w:leftChars="0"/>
        <w:rPr>
          <w:rFonts w:hint="default" w:ascii="楷体" w:hAnsi="楷体" w:eastAsia="楷体" w:cs="楷体"/>
          <w:color w:val="auto"/>
          <w:sz w:val="26"/>
          <w:szCs w:val="26"/>
          <w:highlight w:val="none"/>
          <w:u w:val="single"/>
          <w:lang w:val="en-US" w:eastAsia="zh-CN"/>
        </w:rPr>
      </w:pPr>
      <w:r>
        <w:rPr>
          <w:rFonts w:hint="eastAsia" w:ascii="楷体" w:hAnsi="楷体" w:eastAsia="楷体" w:cs="楷体"/>
          <w:color w:val="auto"/>
          <w:sz w:val="26"/>
          <w:szCs w:val="26"/>
          <w:highlight w:val="none"/>
        </w:rPr>
        <w:t>3）相关利益的分配办法：</w:t>
      </w:r>
      <w:r>
        <w:rPr>
          <w:rFonts w:hint="eastAsia" w:ascii="楷体" w:hAnsi="楷体" w:eastAsia="楷体" w:cs="楷体"/>
          <w:color w:val="auto"/>
          <w:sz w:val="26"/>
          <w:szCs w:val="26"/>
          <w:highlight w:val="none"/>
          <w:u w:val="single"/>
          <w:lang w:val="en-US" w:eastAsia="zh-CN"/>
        </w:rPr>
        <w:t xml:space="preserve">      /        </w:t>
      </w:r>
    </w:p>
    <w:p w14:paraId="56663577">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双方对本合同有关的知识产权权利归属特别约定如下：本条款的“研究开发成果”是指“</w:t>
      </w:r>
      <w:r>
        <w:rPr>
          <w:rFonts w:hint="eastAsia" w:ascii="楷体" w:hAnsi="楷体" w:eastAsia="楷体" w:cs="楷体"/>
          <w:color w:val="auto"/>
          <w:sz w:val="26"/>
          <w:szCs w:val="26"/>
          <w:highlight w:val="none"/>
          <w:u w:val="single"/>
        </w:rPr>
        <w:t>《</w:t>
      </w:r>
      <w:r>
        <w:rPr>
          <w:rFonts w:hint="eastAsia" w:ascii="楷体" w:hAnsi="楷体" w:eastAsia="楷体" w:cs="楷体"/>
          <w:color w:val="auto"/>
          <w:sz w:val="26"/>
          <w:szCs w:val="26"/>
          <w:highlight w:val="none"/>
          <w:u w:val="single"/>
          <w:lang w:val="en-US" w:eastAsia="zh-CN"/>
        </w:rPr>
        <w:t>广东烟草清远市有限公司卷烟物流配送中心易地技术改造项目雷电灾害风险评估报告</w:t>
      </w:r>
      <w:r>
        <w:rPr>
          <w:rFonts w:hint="eastAsia" w:ascii="楷体" w:hAnsi="楷体" w:eastAsia="楷体" w:cs="楷体"/>
          <w:color w:val="auto"/>
          <w:sz w:val="26"/>
          <w:szCs w:val="26"/>
          <w:highlight w:val="none"/>
          <w:u w:val="single"/>
          <w:lang w:eastAsia="zh-CN"/>
        </w:rPr>
        <w:t>》</w:t>
      </w:r>
      <w:r>
        <w:rPr>
          <w:rFonts w:hint="eastAsia" w:ascii="楷体" w:hAnsi="楷体" w:eastAsia="楷体" w:cs="楷体"/>
          <w:color w:val="auto"/>
          <w:sz w:val="26"/>
          <w:szCs w:val="26"/>
          <w:highlight w:val="none"/>
        </w:rPr>
        <w:t>”项目的研究开发成果，其知识产权归</w:t>
      </w:r>
      <w:r>
        <w:rPr>
          <w:rFonts w:hint="eastAsia" w:ascii="楷体" w:hAnsi="楷体" w:eastAsia="楷体" w:cs="楷体"/>
          <w:color w:val="auto"/>
          <w:sz w:val="26"/>
          <w:szCs w:val="26"/>
          <w:highlight w:val="none"/>
          <w:u w:val="single"/>
        </w:rPr>
        <w:t xml:space="preserve"> 甲 </w:t>
      </w:r>
      <w:r>
        <w:rPr>
          <w:rFonts w:hint="eastAsia" w:ascii="楷体" w:hAnsi="楷体" w:eastAsia="楷体" w:cs="楷体"/>
          <w:color w:val="auto"/>
          <w:sz w:val="26"/>
          <w:szCs w:val="26"/>
          <w:highlight w:val="none"/>
        </w:rPr>
        <w:t>方所有。</w:t>
      </w:r>
    </w:p>
    <w:p w14:paraId="1E88BECA">
      <w:pPr>
        <w:pStyle w:val="42"/>
        <w:keepNext w:val="0"/>
        <w:keepLines w:val="0"/>
        <w:pageBreakBefore w:val="0"/>
        <w:kinsoku/>
        <w:wordWrap/>
        <w:overflowPunct/>
        <w:topLinePunct w:val="0"/>
        <w:bidi w:val="0"/>
        <w:adjustRightInd w:val="0"/>
        <w:snapToGrid w:val="0"/>
        <w:spacing w:after="0" w:line="360" w:lineRule="auto"/>
        <w:ind w:left="0" w:leftChars="0" w:firstLine="642" w:firstLineChars="246"/>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第九条</w:t>
      </w:r>
      <w:r>
        <w:rPr>
          <w:rFonts w:hint="eastAsia" w:ascii="楷体" w:hAnsi="楷体" w:eastAsia="楷体" w:cs="楷体"/>
          <w:color w:val="auto"/>
          <w:sz w:val="26"/>
          <w:szCs w:val="26"/>
          <w:highlight w:val="none"/>
        </w:rPr>
        <w:t>未经甲方同意，乙方不得自行将研究开发成果透露、转让给第三人。否则，乙方应向甲方支付技术服务费用总额</w:t>
      </w:r>
      <w:r>
        <w:rPr>
          <w:rFonts w:hint="eastAsia" w:ascii="楷体" w:hAnsi="楷体" w:eastAsia="楷体" w:cs="楷体"/>
          <w:bCs/>
          <w:color w:val="auto"/>
          <w:sz w:val="26"/>
          <w:szCs w:val="26"/>
          <w:highlight w:val="none"/>
          <w:u w:val="single"/>
        </w:rPr>
        <w:t>10%</w:t>
      </w:r>
      <w:r>
        <w:rPr>
          <w:rFonts w:hint="eastAsia" w:ascii="楷体" w:hAnsi="楷体" w:eastAsia="楷体" w:cs="楷体"/>
          <w:color w:val="auto"/>
          <w:sz w:val="26"/>
          <w:szCs w:val="26"/>
          <w:highlight w:val="none"/>
        </w:rPr>
        <w:t>的违约金，并退还甲方已支付的款项，乙方支付的违约金不足以弥补损失的，乙方还应赔偿甲方的损失。</w:t>
      </w:r>
    </w:p>
    <w:p w14:paraId="51E99697">
      <w:pPr>
        <w:pStyle w:val="42"/>
        <w:keepNext w:val="0"/>
        <w:keepLines w:val="0"/>
        <w:pageBreakBefore w:val="0"/>
        <w:kinsoku/>
        <w:wordWrap/>
        <w:overflowPunct/>
        <w:topLinePunct w:val="0"/>
        <w:bidi w:val="0"/>
        <w:adjustRightInd w:val="0"/>
        <w:snapToGrid w:val="0"/>
        <w:spacing w:after="0" w:line="360" w:lineRule="auto"/>
        <w:ind w:left="0" w:leftChars="0" w:firstLine="642" w:firstLineChars="246"/>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第十条</w:t>
      </w:r>
      <w:r>
        <w:rPr>
          <w:rFonts w:hint="eastAsia" w:ascii="楷体" w:hAnsi="楷体" w:eastAsia="楷体" w:cs="楷体"/>
          <w:color w:val="auto"/>
          <w:sz w:val="26"/>
          <w:szCs w:val="26"/>
          <w:highlight w:val="none"/>
        </w:rPr>
        <w:t>乙方完成本合同项目的研究开发人员享有在有关技术成果文件上写明技术成果完成者的权利和取得有关荣誉证书、奖励的权利。</w:t>
      </w:r>
    </w:p>
    <w:p w14:paraId="66A71909">
      <w:pPr>
        <w:pStyle w:val="42"/>
        <w:keepNext w:val="0"/>
        <w:keepLines w:val="0"/>
        <w:pageBreakBefore w:val="0"/>
        <w:kinsoku/>
        <w:wordWrap/>
        <w:overflowPunct/>
        <w:topLinePunct w:val="0"/>
        <w:bidi w:val="0"/>
        <w:adjustRightInd w:val="0"/>
        <w:snapToGrid w:val="0"/>
        <w:spacing w:after="0" w:line="360" w:lineRule="auto"/>
        <w:ind w:left="0" w:leftChars="0" w:firstLine="642" w:firstLineChars="246"/>
        <w:rPr>
          <w:rFonts w:hint="eastAsia" w:ascii="楷体" w:hAnsi="楷体" w:eastAsia="楷体" w:cs="楷体"/>
          <w:b/>
          <w:color w:val="auto"/>
          <w:sz w:val="26"/>
          <w:szCs w:val="26"/>
          <w:highlight w:val="none"/>
        </w:rPr>
      </w:pPr>
      <w:r>
        <w:rPr>
          <w:rFonts w:hint="eastAsia" w:ascii="楷体" w:hAnsi="楷体" w:eastAsia="楷体" w:cs="楷体"/>
          <w:b/>
          <w:color w:val="auto"/>
          <w:sz w:val="26"/>
          <w:szCs w:val="26"/>
          <w:highlight w:val="none"/>
        </w:rPr>
        <w:t>第十一条</w:t>
      </w:r>
      <w:r>
        <w:rPr>
          <w:rFonts w:hint="eastAsia" w:ascii="楷体" w:hAnsi="楷体" w:eastAsia="楷体" w:cs="楷体"/>
          <w:color w:val="auto"/>
          <w:sz w:val="26"/>
          <w:szCs w:val="26"/>
          <w:highlight w:val="none"/>
        </w:rPr>
        <w:t>乙方利用技术服务费用所购置与研究开发工作有关的设备、器材、资料等财产，归</w:t>
      </w:r>
      <w:r>
        <w:rPr>
          <w:rFonts w:hint="eastAsia" w:ascii="楷体" w:hAnsi="楷体" w:eastAsia="楷体" w:cs="楷体"/>
          <w:bCs/>
          <w:color w:val="auto"/>
          <w:sz w:val="26"/>
          <w:szCs w:val="26"/>
          <w:highlight w:val="none"/>
          <w:u w:val="single"/>
        </w:rPr>
        <w:t>乙</w:t>
      </w:r>
      <w:r>
        <w:rPr>
          <w:rFonts w:hint="eastAsia" w:ascii="楷体" w:hAnsi="楷体" w:eastAsia="楷体" w:cs="楷体"/>
          <w:color w:val="auto"/>
          <w:sz w:val="26"/>
          <w:szCs w:val="26"/>
          <w:highlight w:val="none"/>
        </w:rPr>
        <w:t>方所有。</w:t>
      </w:r>
    </w:p>
    <w:p w14:paraId="204677FB">
      <w:pPr>
        <w:pStyle w:val="13"/>
        <w:keepNext w:val="0"/>
        <w:keepLines w:val="0"/>
        <w:pageBreakBefore w:val="0"/>
        <w:kinsoku/>
        <w:wordWrap/>
        <w:overflowPunct/>
        <w:topLinePunct w:val="0"/>
        <w:bidi w:val="0"/>
        <w:adjustRightInd w:val="0"/>
        <w:snapToGrid w:val="0"/>
        <w:spacing w:line="360" w:lineRule="auto"/>
        <w:ind w:left="0" w:leftChars="0" w:firstLine="642" w:firstLineChars="246"/>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第十二条</w:t>
      </w:r>
      <w:r>
        <w:rPr>
          <w:rFonts w:hint="eastAsia" w:ascii="楷体" w:hAnsi="楷体" w:eastAsia="楷体" w:cs="楷体"/>
          <w:color w:val="auto"/>
          <w:sz w:val="26"/>
          <w:szCs w:val="26"/>
          <w:highlight w:val="none"/>
        </w:rPr>
        <w:t>双方确定：任何一方违反本合同约定，造成技术服务工作停滞、延误或失败的，按以下约定承担违约责任：</w:t>
      </w:r>
      <w:bookmarkStart w:id="343" w:name="_Toc216520232"/>
    </w:p>
    <w:p w14:paraId="62A71D34">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（一）甲方的违约责任</w:t>
      </w:r>
      <w:bookmarkEnd w:id="343"/>
      <w:r>
        <w:rPr>
          <w:rFonts w:hint="eastAsia" w:ascii="楷体" w:hAnsi="楷体" w:eastAsia="楷体" w:cs="楷体"/>
          <w:color w:val="auto"/>
          <w:sz w:val="26"/>
          <w:szCs w:val="26"/>
          <w:highlight w:val="none"/>
        </w:rPr>
        <w:t>。</w:t>
      </w:r>
    </w:p>
    <w:p w14:paraId="393C4C3D">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1.若甲方未按合同约定单方面终止合同，乙方有权要求甲方支付合同总额</w:t>
      </w:r>
      <w:r>
        <w:rPr>
          <w:rFonts w:hint="eastAsia" w:ascii="楷体" w:hAnsi="楷体" w:eastAsia="楷体" w:cs="楷体"/>
          <w:color w:val="auto"/>
          <w:sz w:val="26"/>
          <w:szCs w:val="26"/>
          <w:highlight w:val="none"/>
          <w:u w:val="single"/>
        </w:rPr>
        <w:t xml:space="preserve"> 10%</w:t>
      </w:r>
      <w:r>
        <w:rPr>
          <w:rFonts w:hint="eastAsia" w:ascii="楷体" w:hAnsi="楷体" w:eastAsia="楷体" w:cs="楷体"/>
          <w:color w:val="auto"/>
          <w:sz w:val="26"/>
          <w:szCs w:val="26"/>
          <w:highlight w:val="none"/>
        </w:rPr>
        <w:t>的违约金，甲方支付的违约金不足以弥补损失的，甲方还应赔偿乙方的损失。</w:t>
      </w:r>
      <w:bookmarkStart w:id="344" w:name="_Toc216520233"/>
    </w:p>
    <w:p w14:paraId="35B4058F">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(二)  乙方的违约责任</w:t>
      </w:r>
      <w:bookmarkEnd w:id="344"/>
      <w:r>
        <w:rPr>
          <w:rFonts w:hint="eastAsia" w:ascii="楷体" w:hAnsi="楷体" w:eastAsia="楷体" w:cs="楷体"/>
          <w:color w:val="auto"/>
          <w:sz w:val="26"/>
          <w:szCs w:val="26"/>
          <w:highlight w:val="none"/>
        </w:rPr>
        <w:t>。</w:t>
      </w:r>
    </w:p>
    <w:p w14:paraId="4CA66D7C">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1.如因乙方的原因未按本合同规定的项目阶段进度要求完成工作，每延期1个工作日，由乙方按本合同总额的</w:t>
      </w:r>
      <w:r>
        <w:rPr>
          <w:rFonts w:hint="eastAsia" w:ascii="楷体" w:hAnsi="楷体" w:eastAsia="楷体" w:cs="楷体"/>
          <w:color w:val="auto"/>
          <w:sz w:val="26"/>
          <w:szCs w:val="26"/>
          <w:highlight w:val="none"/>
          <w:u w:val="single"/>
        </w:rPr>
        <w:t>1‰</w:t>
      </w:r>
      <w:r>
        <w:rPr>
          <w:rFonts w:hint="eastAsia" w:ascii="楷体" w:hAnsi="楷体" w:eastAsia="楷体" w:cs="楷体"/>
          <w:color w:val="auto"/>
          <w:sz w:val="26"/>
          <w:szCs w:val="26"/>
          <w:highlight w:val="none"/>
        </w:rPr>
        <w:t>向甲方支付违约金，甲方可在支付相关阶段款项时扣除。</w:t>
      </w:r>
    </w:p>
    <w:p w14:paraId="1ACDFEBF">
      <w:pPr>
        <w:pStyle w:val="13"/>
        <w:keepNext w:val="0"/>
        <w:keepLines w:val="0"/>
        <w:pageBreakBefore w:val="0"/>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bookmarkStart w:id="345" w:name="OLE_LINK1"/>
      <w:r>
        <w:rPr>
          <w:rFonts w:hint="eastAsia" w:ascii="楷体" w:hAnsi="楷体" w:eastAsia="楷体" w:cs="楷体"/>
          <w:color w:val="auto"/>
          <w:sz w:val="26"/>
          <w:szCs w:val="26"/>
          <w:highlight w:val="none"/>
        </w:rPr>
        <w:t>2.乙方不履行合同义务或履行合同义务不符合约定时，甲方有权解除合同，乙方应退还甲方已付的费用；除法律规定外，乙方无权单方解除合同。</w:t>
      </w:r>
    </w:p>
    <w:p w14:paraId="4DA82366">
      <w:pPr>
        <w:keepNext w:val="0"/>
        <w:keepLines w:val="0"/>
        <w:pageBreakBefore w:val="0"/>
        <w:tabs>
          <w:tab w:val="left" w:pos="180"/>
        </w:tabs>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3、乙方不得以任何方式与名义向甲方工作人员或关系人进行任何形式的商业贿赂，否则</w:t>
      </w:r>
      <w:r>
        <w:rPr>
          <w:rFonts w:hint="eastAsia" w:ascii="楷体" w:hAnsi="楷体" w:eastAsia="楷体" w:cs="楷体"/>
          <w:color w:val="auto"/>
          <w:sz w:val="26"/>
          <w:szCs w:val="26"/>
          <w:highlight w:val="none"/>
          <w:lang w:val="en-US" w:eastAsia="zh-CN"/>
        </w:rPr>
        <w:t>甲</w:t>
      </w:r>
      <w:r>
        <w:rPr>
          <w:rFonts w:hint="eastAsia" w:ascii="楷体" w:hAnsi="楷体" w:eastAsia="楷体" w:cs="楷体"/>
          <w:color w:val="auto"/>
          <w:sz w:val="26"/>
          <w:szCs w:val="26"/>
          <w:highlight w:val="none"/>
        </w:rPr>
        <w:t>方有权解除双方之间的合同、协议、订单等，并有权不予支付所有应付费用。</w:t>
      </w:r>
    </w:p>
    <w:bookmarkEnd w:id="345"/>
    <w:p w14:paraId="3B5B37B8">
      <w:pPr>
        <w:pStyle w:val="42"/>
        <w:keepNext w:val="0"/>
        <w:keepLines w:val="0"/>
        <w:pageBreakBefore w:val="0"/>
        <w:kinsoku/>
        <w:wordWrap/>
        <w:overflowPunct/>
        <w:topLinePunct w:val="0"/>
        <w:bidi w:val="0"/>
        <w:adjustRightInd w:val="0"/>
        <w:snapToGrid w:val="0"/>
        <w:spacing w:after="0" w:line="360" w:lineRule="auto"/>
        <w:ind w:left="0" w:leftChars="0" w:firstLine="522" w:firstLineChars="200"/>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w:t>
      </w:r>
      <w:r>
        <w:rPr>
          <w:rFonts w:hint="eastAsia" w:ascii="楷体" w:hAnsi="楷体" w:eastAsia="楷体" w:cs="楷体"/>
          <w:b/>
          <w:color w:val="auto"/>
          <w:sz w:val="26"/>
          <w:szCs w:val="26"/>
          <w:highlight w:val="none"/>
          <w:lang w:val="en-US" w:eastAsia="zh-CN"/>
        </w:rPr>
        <w:t>三</w:t>
      </w:r>
      <w:r>
        <w:rPr>
          <w:rFonts w:hint="eastAsia" w:ascii="楷体" w:hAnsi="楷体" w:eastAsia="楷体" w:cs="楷体"/>
          <w:b/>
          <w:color w:val="auto"/>
          <w:sz w:val="26"/>
          <w:szCs w:val="26"/>
          <w:highlight w:val="none"/>
        </w:rPr>
        <w:t>条</w:t>
      </w:r>
      <w:r>
        <w:rPr>
          <w:rFonts w:hint="eastAsia" w:ascii="楷体" w:hAnsi="楷体" w:eastAsia="楷体" w:cs="楷体"/>
          <w:color w:val="auto"/>
          <w:sz w:val="26"/>
          <w:szCs w:val="26"/>
          <w:highlight w:val="none"/>
        </w:rPr>
        <w:t>双方因履行本合同而发生的争议，应协商、调解解决。协商、调解不成的，确定按以下第</w:t>
      </w:r>
      <w:r>
        <w:rPr>
          <w:rFonts w:hint="eastAsia" w:ascii="楷体" w:hAnsi="楷体" w:eastAsia="楷体" w:cs="楷体"/>
          <w:color w:val="auto"/>
          <w:sz w:val="26"/>
          <w:szCs w:val="26"/>
          <w:highlight w:val="none"/>
          <w:u w:val="single"/>
          <w:lang w:val="en-US" w:eastAsia="zh-CN"/>
        </w:rPr>
        <w:t>2</w:t>
      </w:r>
      <w:r>
        <w:rPr>
          <w:rFonts w:hint="eastAsia" w:ascii="楷体" w:hAnsi="楷体" w:eastAsia="楷体" w:cs="楷体"/>
          <w:color w:val="auto"/>
          <w:sz w:val="26"/>
          <w:szCs w:val="26"/>
          <w:highlight w:val="none"/>
        </w:rPr>
        <w:t>种方式处理：</w:t>
      </w:r>
    </w:p>
    <w:p w14:paraId="21C4B6C3">
      <w:pPr>
        <w:pStyle w:val="13"/>
        <w:keepNext w:val="0"/>
        <w:keepLines w:val="0"/>
        <w:pageBreakBefore w:val="0"/>
        <w:kinsoku/>
        <w:wordWrap/>
        <w:overflowPunct/>
        <w:topLinePunct w:val="0"/>
        <w:bidi w:val="0"/>
        <w:adjustRightInd w:val="0"/>
        <w:snapToGrid w:val="0"/>
        <w:spacing w:line="360" w:lineRule="auto"/>
        <w:ind w:left="0" w:leftChars="0"/>
        <w:rPr>
          <w:rFonts w:hint="eastAsia" w:ascii="楷体" w:hAnsi="楷体" w:eastAsia="楷体" w:cs="楷体"/>
          <w:color w:val="auto"/>
          <w:sz w:val="26"/>
          <w:szCs w:val="26"/>
          <w:highlight w:val="none"/>
          <w:u w:val="single"/>
        </w:rPr>
      </w:pPr>
      <w:r>
        <w:rPr>
          <w:rFonts w:hint="eastAsia" w:ascii="楷体" w:hAnsi="楷体" w:eastAsia="楷体" w:cs="楷体"/>
          <w:color w:val="auto"/>
          <w:sz w:val="26"/>
          <w:szCs w:val="26"/>
          <w:highlight w:val="none"/>
        </w:rPr>
        <w:t>1.</w:t>
      </w:r>
      <w:r>
        <w:rPr>
          <w:rFonts w:hint="eastAsia" w:ascii="楷体" w:hAnsi="楷体" w:eastAsia="楷体" w:cs="楷体"/>
          <w:color w:val="auto"/>
          <w:sz w:val="26"/>
          <w:szCs w:val="26"/>
          <w:highlight w:val="none"/>
          <w:u w:val="single"/>
        </w:rPr>
        <w:t>提交清远仲裁委员会仲裁；</w:t>
      </w:r>
      <w:r>
        <w:rPr>
          <w:rFonts w:hint="eastAsia" w:ascii="楷体" w:hAnsi="楷体" w:eastAsia="楷体" w:cs="楷体"/>
          <w:color w:val="auto"/>
          <w:sz w:val="26"/>
          <w:szCs w:val="26"/>
          <w:highlight w:val="none"/>
        </w:rPr>
        <w:t>2．</w:t>
      </w:r>
      <w:r>
        <w:rPr>
          <w:rFonts w:hint="eastAsia" w:ascii="楷体" w:hAnsi="楷体" w:eastAsia="楷体" w:cs="楷体"/>
          <w:color w:val="auto"/>
          <w:sz w:val="26"/>
          <w:szCs w:val="26"/>
          <w:highlight w:val="none"/>
          <w:u w:val="single"/>
        </w:rPr>
        <w:t>依法向</w:t>
      </w:r>
      <w:r>
        <w:rPr>
          <w:rFonts w:hint="eastAsia" w:ascii="楷体" w:hAnsi="楷体" w:eastAsia="楷体" w:cs="楷体"/>
          <w:color w:val="auto"/>
          <w:sz w:val="26"/>
          <w:szCs w:val="26"/>
          <w:highlight w:val="none"/>
          <w:u w:val="single"/>
          <w:lang w:val="en-US" w:eastAsia="zh-CN"/>
        </w:rPr>
        <w:t>清远市清城区</w:t>
      </w:r>
      <w:r>
        <w:rPr>
          <w:rFonts w:hint="eastAsia" w:ascii="楷体" w:hAnsi="楷体" w:eastAsia="楷体" w:cs="楷体"/>
          <w:color w:val="auto"/>
          <w:sz w:val="26"/>
          <w:szCs w:val="26"/>
          <w:highlight w:val="none"/>
          <w:u w:val="single"/>
        </w:rPr>
        <w:t>人民法院起诉。</w:t>
      </w:r>
    </w:p>
    <w:p w14:paraId="07DBAB4E">
      <w:pPr>
        <w:pStyle w:val="4"/>
        <w:keepNext w:val="0"/>
        <w:keepLines w:val="0"/>
        <w:pageBreakBefore w:val="0"/>
        <w:tabs>
          <w:tab w:val="left" w:pos="1440"/>
          <w:tab w:val="clear" w:pos="720"/>
        </w:tabs>
        <w:kinsoku/>
        <w:wordWrap/>
        <w:overflowPunct/>
        <w:topLinePunct w:val="0"/>
        <w:bidi w:val="0"/>
        <w:adjustRightInd w:val="0"/>
        <w:snapToGrid w:val="0"/>
        <w:spacing w:before="0" w:after="0" w:line="360" w:lineRule="auto"/>
        <w:ind w:left="0" w:leftChars="0" w:firstLine="522" w:firstLineChars="200"/>
        <w:rPr>
          <w:rFonts w:hint="eastAsia" w:ascii="楷体" w:hAnsi="楷体" w:eastAsia="楷体" w:cs="楷体"/>
          <w:b w:val="0"/>
          <w:bCs w:val="0"/>
          <w:color w:val="auto"/>
          <w:kern w:val="2"/>
          <w:sz w:val="26"/>
          <w:szCs w:val="26"/>
          <w:highlight w:val="none"/>
          <w:lang w:val="en-US" w:eastAsia="zh-CN" w:bidi="ar-SA"/>
        </w:rPr>
      </w:pPr>
      <w:r>
        <w:rPr>
          <w:rFonts w:hint="eastAsia" w:ascii="楷体" w:hAnsi="楷体" w:eastAsia="楷体" w:cs="楷体"/>
          <w:b/>
          <w:color w:val="auto"/>
          <w:sz w:val="26"/>
          <w:szCs w:val="26"/>
          <w:highlight w:val="none"/>
        </w:rPr>
        <w:t>第十</w:t>
      </w:r>
      <w:r>
        <w:rPr>
          <w:rFonts w:hint="eastAsia" w:ascii="楷体" w:hAnsi="楷体" w:eastAsia="楷体" w:cs="楷体"/>
          <w:b/>
          <w:color w:val="auto"/>
          <w:sz w:val="26"/>
          <w:szCs w:val="26"/>
          <w:highlight w:val="none"/>
          <w:lang w:val="en-US" w:eastAsia="zh-CN"/>
        </w:rPr>
        <w:t>四</w:t>
      </w:r>
      <w:r>
        <w:rPr>
          <w:rFonts w:hint="eastAsia" w:ascii="楷体" w:hAnsi="楷体" w:eastAsia="楷体" w:cs="楷体"/>
          <w:b/>
          <w:color w:val="auto"/>
          <w:sz w:val="26"/>
          <w:szCs w:val="26"/>
          <w:highlight w:val="none"/>
        </w:rPr>
        <w:t>条</w:t>
      </w:r>
      <w:r>
        <w:rPr>
          <w:rFonts w:hint="eastAsia" w:ascii="楷体" w:hAnsi="楷体" w:eastAsia="楷体" w:cs="楷体"/>
          <w:b w:val="0"/>
          <w:bCs w:val="0"/>
          <w:color w:val="auto"/>
          <w:kern w:val="2"/>
          <w:sz w:val="26"/>
          <w:szCs w:val="26"/>
          <w:highlight w:val="none"/>
          <w:lang w:val="en-US" w:eastAsia="zh-CN" w:bidi="ar-SA"/>
        </w:rPr>
        <w:t>与履行本合同有关的技术文件，经双方以签字和盖章确认方式确认后，为本合同的组成部分</w:t>
      </w:r>
      <w:bookmarkStart w:id="346" w:name="_Toc216520236"/>
      <w:r>
        <w:rPr>
          <w:rFonts w:hint="eastAsia" w:ascii="楷体" w:hAnsi="楷体" w:eastAsia="楷体" w:cs="楷体"/>
          <w:b w:val="0"/>
          <w:bCs w:val="0"/>
          <w:color w:val="auto"/>
          <w:kern w:val="2"/>
          <w:sz w:val="26"/>
          <w:szCs w:val="26"/>
          <w:highlight w:val="none"/>
          <w:lang w:val="en-US" w:eastAsia="zh-CN" w:bidi="ar-SA"/>
        </w:rPr>
        <w:t>。</w:t>
      </w:r>
    </w:p>
    <w:p w14:paraId="33EABF74">
      <w:pPr>
        <w:pStyle w:val="4"/>
        <w:keepNext w:val="0"/>
        <w:keepLines w:val="0"/>
        <w:pageBreakBefore w:val="0"/>
        <w:tabs>
          <w:tab w:val="left" w:pos="1440"/>
          <w:tab w:val="clear" w:pos="720"/>
        </w:tabs>
        <w:kinsoku/>
        <w:wordWrap/>
        <w:overflowPunct/>
        <w:topLinePunct w:val="0"/>
        <w:bidi w:val="0"/>
        <w:adjustRightInd w:val="0"/>
        <w:snapToGrid w:val="0"/>
        <w:spacing w:before="0" w:after="0" w:line="360" w:lineRule="auto"/>
        <w:ind w:left="0" w:leftChars="0" w:firstLine="520" w:firstLineChars="200"/>
        <w:rPr>
          <w:rFonts w:hint="eastAsia" w:ascii="楷体" w:hAnsi="楷体" w:eastAsia="楷体" w:cs="楷体"/>
          <w:b w:val="0"/>
          <w:color w:val="auto"/>
          <w:sz w:val="26"/>
          <w:szCs w:val="26"/>
          <w:highlight w:val="none"/>
          <w:u w:val="single"/>
        </w:rPr>
      </w:pPr>
      <w:r>
        <w:rPr>
          <w:rFonts w:hint="eastAsia" w:ascii="楷体" w:hAnsi="楷体" w:eastAsia="楷体" w:cs="楷体"/>
          <w:b w:val="0"/>
          <w:bCs w:val="0"/>
          <w:color w:val="auto"/>
          <w:kern w:val="2"/>
          <w:sz w:val="26"/>
          <w:szCs w:val="26"/>
          <w:highlight w:val="none"/>
          <w:lang w:val="en-US" w:eastAsia="zh-CN" w:bidi="ar-SA"/>
        </w:rPr>
        <w:t>本合同未尽事宜，由双方协商解决，协商解决形成书面约定作为本合同组成部分。</w:t>
      </w:r>
      <w:bookmarkEnd w:id="346"/>
    </w:p>
    <w:p w14:paraId="7DE9C9E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555"/>
        <w:textAlignment w:val="baseline"/>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w:t>
      </w:r>
      <w:r>
        <w:rPr>
          <w:rFonts w:hint="eastAsia" w:ascii="楷体" w:hAnsi="楷体" w:eastAsia="楷体" w:cs="楷体"/>
          <w:b/>
          <w:color w:val="auto"/>
          <w:sz w:val="26"/>
          <w:szCs w:val="26"/>
          <w:highlight w:val="none"/>
          <w:lang w:val="en-US" w:eastAsia="zh-CN"/>
        </w:rPr>
        <w:t>五</w:t>
      </w:r>
      <w:r>
        <w:rPr>
          <w:rFonts w:hint="eastAsia" w:ascii="楷体" w:hAnsi="楷体" w:eastAsia="楷体" w:cs="楷体"/>
          <w:b/>
          <w:color w:val="auto"/>
          <w:sz w:val="26"/>
          <w:szCs w:val="26"/>
          <w:highlight w:val="none"/>
        </w:rPr>
        <w:t>条</w:t>
      </w:r>
      <w:r>
        <w:rPr>
          <w:rFonts w:hint="eastAsia" w:ascii="楷体" w:hAnsi="楷体" w:eastAsia="楷体" w:cs="楷体"/>
          <w:color w:val="auto"/>
          <w:sz w:val="26"/>
          <w:szCs w:val="26"/>
          <w:highlight w:val="none"/>
        </w:rPr>
        <w:t>双方约定本合同其他相关事项为：</w:t>
      </w:r>
    </w:p>
    <w:p w14:paraId="7C329C3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520" w:firstLineChars="200"/>
        <w:textAlignment w:val="baseline"/>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1.当本合同及组成部分的各文件条款之间发生冲突时，以签署日期最近的文件为准；</w:t>
      </w:r>
    </w:p>
    <w:p w14:paraId="4F3E1367">
      <w:pPr>
        <w:pStyle w:val="4"/>
        <w:keepNext w:val="0"/>
        <w:keepLines w:val="0"/>
        <w:pageBreakBefore w:val="0"/>
        <w:tabs>
          <w:tab w:val="left" w:pos="1440"/>
          <w:tab w:val="clear" w:pos="720"/>
        </w:tabs>
        <w:kinsoku/>
        <w:wordWrap/>
        <w:overflowPunct/>
        <w:topLinePunct w:val="0"/>
        <w:bidi w:val="0"/>
        <w:adjustRightInd w:val="0"/>
        <w:snapToGrid w:val="0"/>
        <w:spacing w:before="0" w:after="0" w:line="360" w:lineRule="auto"/>
        <w:ind w:left="0" w:leftChars="0" w:firstLine="520" w:firstLineChars="200"/>
        <w:rPr>
          <w:rFonts w:hint="eastAsia" w:ascii="楷体" w:hAnsi="楷体" w:eastAsia="楷体" w:cs="楷体"/>
          <w:b w:val="0"/>
          <w:color w:val="auto"/>
          <w:sz w:val="26"/>
          <w:szCs w:val="26"/>
          <w:highlight w:val="none"/>
        </w:rPr>
      </w:pPr>
      <w:bookmarkStart w:id="347" w:name="_Toc216520221"/>
      <w:r>
        <w:rPr>
          <w:rFonts w:hint="eastAsia" w:ascii="楷体" w:hAnsi="楷体" w:eastAsia="楷体" w:cs="楷体"/>
          <w:b w:val="0"/>
          <w:color w:val="auto"/>
          <w:sz w:val="26"/>
          <w:szCs w:val="26"/>
          <w:highlight w:val="none"/>
        </w:rPr>
        <w:t>2.本合同约定的权利和义务不因合同双方发生收购、兼并、重组、分立而发生变化。如果发生上述情形，则本合同约定的权利和义务随之转移至收购、兼并、重组或分立后成立的单位。</w:t>
      </w:r>
      <w:bookmarkEnd w:id="347"/>
    </w:p>
    <w:p w14:paraId="7DAA00AE">
      <w:pPr>
        <w:pStyle w:val="4"/>
        <w:keepNext w:val="0"/>
        <w:keepLines w:val="0"/>
        <w:pageBreakBefore w:val="0"/>
        <w:tabs>
          <w:tab w:val="left" w:pos="1440"/>
          <w:tab w:val="clear" w:pos="720"/>
        </w:tabs>
        <w:kinsoku/>
        <w:wordWrap/>
        <w:overflowPunct/>
        <w:topLinePunct w:val="0"/>
        <w:bidi w:val="0"/>
        <w:adjustRightInd w:val="0"/>
        <w:snapToGrid w:val="0"/>
        <w:spacing w:before="0" w:after="0" w:line="360" w:lineRule="auto"/>
        <w:ind w:left="0" w:leftChars="0" w:firstLine="520" w:firstLineChars="200"/>
        <w:rPr>
          <w:rFonts w:hint="eastAsia" w:ascii="楷体" w:hAnsi="楷体" w:eastAsia="楷体" w:cs="楷体"/>
          <w:b w:val="0"/>
          <w:color w:val="auto"/>
          <w:sz w:val="26"/>
          <w:szCs w:val="26"/>
          <w:highlight w:val="none"/>
        </w:rPr>
      </w:pPr>
      <w:r>
        <w:rPr>
          <w:rFonts w:hint="eastAsia" w:ascii="楷体" w:hAnsi="楷体" w:eastAsia="楷体" w:cs="楷体"/>
          <w:b w:val="0"/>
          <w:color w:val="auto"/>
          <w:sz w:val="26"/>
          <w:szCs w:val="26"/>
          <w:highlight w:val="none"/>
        </w:rPr>
        <w:t>3.本合同在国家法律、法规和规章规定的范围内执行。当国家法律、法规和规章发生变化导致本合同有关条款与之抵触时，双方协商变更或废止该条款，在此情况下，双方互不承担责任。</w:t>
      </w:r>
    </w:p>
    <w:p w14:paraId="64B5B743">
      <w:pPr>
        <w:pStyle w:val="4"/>
        <w:keepNext w:val="0"/>
        <w:keepLines w:val="0"/>
        <w:pageBreakBefore w:val="0"/>
        <w:tabs>
          <w:tab w:val="left" w:pos="1440"/>
          <w:tab w:val="clear" w:pos="720"/>
        </w:tabs>
        <w:kinsoku/>
        <w:wordWrap/>
        <w:overflowPunct/>
        <w:topLinePunct w:val="0"/>
        <w:bidi w:val="0"/>
        <w:adjustRightInd w:val="0"/>
        <w:snapToGrid w:val="0"/>
        <w:spacing w:before="0" w:after="0" w:line="360" w:lineRule="auto"/>
        <w:ind w:left="0" w:leftChars="0" w:firstLine="520" w:firstLineChars="200"/>
        <w:rPr>
          <w:rFonts w:hint="eastAsia" w:ascii="楷体" w:hAnsi="楷体" w:eastAsia="楷体" w:cs="楷体"/>
          <w:b w:val="0"/>
          <w:color w:val="auto"/>
          <w:sz w:val="26"/>
          <w:szCs w:val="26"/>
          <w:highlight w:val="none"/>
        </w:rPr>
      </w:pPr>
      <w:r>
        <w:rPr>
          <w:rFonts w:hint="eastAsia" w:ascii="楷体" w:hAnsi="楷体" w:eastAsia="楷体" w:cs="楷体"/>
          <w:b w:val="0"/>
          <w:color w:val="auto"/>
          <w:sz w:val="26"/>
          <w:szCs w:val="26"/>
          <w:highlight w:val="none"/>
        </w:rPr>
        <w:t>4.下列文件均为本合同的组成部分：</w:t>
      </w:r>
    </w:p>
    <w:p w14:paraId="04F11EF0">
      <w:pPr>
        <w:keepNext w:val="0"/>
        <w:keepLines w:val="0"/>
        <w:pageBreakBefore w:val="0"/>
        <w:kinsoku/>
        <w:wordWrap/>
        <w:overflowPunct/>
        <w:topLinePunct w:val="0"/>
        <w:bidi w:val="0"/>
        <w:adjustRightInd w:val="0"/>
        <w:snapToGrid w:val="0"/>
        <w:spacing w:line="360" w:lineRule="auto"/>
        <w:ind w:left="0" w:leftChars="0" w:firstLine="780" w:firstLineChars="3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本合同执行中共同签署的补充与修正文件。</w:t>
      </w:r>
    </w:p>
    <w:p w14:paraId="33C7714D">
      <w:pPr>
        <w:pStyle w:val="42"/>
        <w:keepNext w:val="0"/>
        <w:keepLines w:val="0"/>
        <w:pageBreakBefore w:val="0"/>
        <w:kinsoku/>
        <w:wordWrap/>
        <w:overflowPunct/>
        <w:topLinePunct w:val="0"/>
        <w:bidi w:val="0"/>
        <w:adjustRightInd w:val="0"/>
        <w:snapToGrid w:val="0"/>
        <w:spacing w:after="0" w:line="360" w:lineRule="auto"/>
        <w:ind w:left="0" w:leftChars="0" w:firstLine="522" w:firstLineChars="200"/>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w:t>
      </w:r>
      <w:r>
        <w:rPr>
          <w:rFonts w:hint="eastAsia" w:ascii="楷体" w:hAnsi="楷体" w:eastAsia="楷体" w:cs="楷体"/>
          <w:b/>
          <w:color w:val="auto"/>
          <w:sz w:val="26"/>
          <w:szCs w:val="26"/>
          <w:highlight w:val="none"/>
          <w:lang w:val="en-US" w:eastAsia="zh-CN"/>
        </w:rPr>
        <w:t>六</w:t>
      </w:r>
      <w:r>
        <w:rPr>
          <w:rFonts w:hint="eastAsia" w:ascii="楷体" w:hAnsi="楷体" w:eastAsia="楷体" w:cs="楷体"/>
          <w:b/>
          <w:color w:val="auto"/>
          <w:sz w:val="26"/>
          <w:szCs w:val="26"/>
          <w:highlight w:val="none"/>
        </w:rPr>
        <w:t>条</w:t>
      </w:r>
      <w:r>
        <w:rPr>
          <w:rFonts w:hint="eastAsia" w:ascii="楷体" w:hAnsi="楷体" w:eastAsia="楷体" w:cs="楷体"/>
          <w:color w:val="auto"/>
          <w:sz w:val="26"/>
          <w:szCs w:val="26"/>
          <w:highlight w:val="none"/>
        </w:rPr>
        <w:t>本合同一式</w:t>
      </w:r>
      <w:r>
        <w:rPr>
          <w:rFonts w:hint="eastAsia" w:ascii="楷体" w:hAnsi="楷体" w:eastAsia="楷体" w:cs="楷体"/>
          <w:b/>
          <w:color w:val="auto"/>
          <w:sz w:val="26"/>
          <w:szCs w:val="26"/>
          <w:highlight w:val="none"/>
          <w:u w:val="single"/>
        </w:rPr>
        <w:t>4</w:t>
      </w:r>
      <w:r>
        <w:rPr>
          <w:rFonts w:hint="eastAsia" w:ascii="楷体" w:hAnsi="楷体" w:eastAsia="楷体" w:cs="楷体"/>
          <w:color w:val="auto"/>
          <w:sz w:val="26"/>
          <w:szCs w:val="26"/>
          <w:highlight w:val="none"/>
        </w:rPr>
        <w:t>份，甲方持</w:t>
      </w:r>
      <w:r>
        <w:rPr>
          <w:rFonts w:hint="eastAsia" w:ascii="楷体" w:hAnsi="楷体" w:eastAsia="楷体" w:cs="楷体"/>
          <w:b/>
          <w:color w:val="auto"/>
          <w:sz w:val="26"/>
          <w:szCs w:val="26"/>
          <w:highlight w:val="none"/>
          <w:u w:val="single"/>
        </w:rPr>
        <w:t>2</w:t>
      </w:r>
      <w:r>
        <w:rPr>
          <w:rFonts w:hint="eastAsia" w:ascii="楷体" w:hAnsi="楷体" w:eastAsia="楷体" w:cs="楷体"/>
          <w:color w:val="auto"/>
          <w:sz w:val="26"/>
          <w:szCs w:val="26"/>
          <w:highlight w:val="none"/>
        </w:rPr>
        <w:t>份，乙方持</w:t>
      </w:r>
      <w:r>
        <w:rPr>
          <w:rFonts w:hint="eastAsia" w:ascii="楷体" w:hAnsi="楷体" w:eastAsia="楷体" w:cs="楷体"/>
          <w:b/>
          <w:color w:val="auto"/>
          <w:sz w:val="26"/>
          <w:szCs w:val="26"/>
          <w:highlight w:val="none"/>
          <w:u w:val="single"/>
        </w:rPr>
        <w:t>2</w:t>
      </w:r>
      <w:r>
        <w:rPr>
          <w:rFonts w:hint="eastAsia" w:ascii="楷体" w:hAnsi="楷体" w:eastAsia="楷体" w:cs="楷体"/>
          <w:color w:val="auto"/>
          <w:sz w:val="26"/>
          <w:szCs w:val="26"/>
          <w:highlight w:val="none"/>
        </w:rPr>
        <w:t>份，具有同等法律效力。</w:t>
      </w:r>
    </w:p>
    <w:p w14:paraId="46953565">
      <w:pPr>
        <w:keepNext w:val="0"/>
        <w:keepLines w:val="0"/>
        <w:pageBreakBefore w:val="0"/>
        <w:tabs>
          <w:tab w:val="left" w:pos="8460"/>
        </w:tabs>
        <w:kinsoku/>
        <w:wordWrap/>
        <w:overflowPunct/>
        <w:topLinePunct w:val="0"/>
        <w:bidi w:val="0"/>
        <w:adjustRightInd w:val="0"/>
        <w:snapToGrid w:val="0"/>
        <w:spacing w:line="360" w:lineRule="auto"/>
        <w:ind w:left="0" w:leftChars="0" w:firstLine="522" w:firstLineChars="200"/>
        <w:rPr>
          <w:rFonts w:hint="eastAsia" w:ascii="楷体" w:hAnsi="楷体" w:eastAsia="楷体" w:cs="楷体"/>
          <w:color w:val="auto"/>
          <w:sz w:val="26"/>
          <w:szCs w:val="26"/>
          <w:highlight w:val="none"/>
        </w:rPr>
      </w:pPr>
      <w:r>
        <w:rPr>
          <w:rFonts w:hint="eastAsia" w:ascii="楷体" w:hAnsi="楷体" w:eastAsia="楷体" w:cs="楷体"/>
          <w:b/>
          <w:color w:val="auto"/>
          <w:sz w:val="26"/>
          <w:szCs w:val="26"/>
          <w:highlight w:val="none"/>
        </w:rPr>
        <w:t>第十</w:t>
      </w:r>
      <w:r>
        <w:rPr>
          <w:rFonts w:hint="eastAsia" w:ascii="楷体" w:hAnsi="楷体" w:eastAsia="楷体" w:cs="楷体"/>
          <w:b/>
          <w:color w:val="auto"/>
          <w:sz w:val="26"/>
          <w:szCs w:val="26"/>
          <w:highlight w:val="none"/>
          <w:lang w:val="en-US" w:eastAsia="zh-CN"/>
        </w:rPr>
        <w:t>七</w:t>
      </w:r>
      <w:r>
        <w:rPr>
          <w:rFonts w:hint="eastAsia" w:ascii="楷体" w:hAnsi="楷体" w:eastAsia="楷体" w:cs="楷体"/>
          <w:b/>
          <w:color w:val="auto"/>
          <w:sz w:val="26"/>
          <w:szCs w:val="26"/>
          <w:highlight w:val="none"/>
        </w:rPr>
        <w:t>条</w:t>
      </w:r>
      <w:r>
        <w:rPr>
          <w:rFonts w:hint="eastAsia" w:ascii="楷体" w:hAnsi="楷体" w:eastAsia="楷体" w:cs="楷体"/>
          <w:color w:val="auto"/>
          <w:sz w:val="26"/>
          <w:szCs w:val="26"/>
          <w:highlight w:val="none"/>
        </w:rPr>
        <w:t>本合同经双方签字盖章后生效，合同的有效期直至甲乙双方完成本合同全部义务为止。</w:t>
      </w:r>
    </w:p>
    <w:p w14:paraId="13035832">
      <w:pPr>
        <w:keepNext w:val="0"/>
        <w:keepLines w:val="0"/>
        <w:pageBreakBefore w:val="0"/>
        <w:tabs>
          <w:tab w:val="left" w:pos="8460"/>
        </w:tabs>
        <w:kinsoku/>
        <w:wordWrap/>
        <w:overflowPunct/>
        <w:topLinePunct w:val="0"/>
        <w:bidi w:val="0"/>
        <w:adjustRightInd w:val="0"/>
        <w:snapToGrid w:val="0"/>
        <w:spacing w:line="360" w:lineRule="auto"/>
        <w:ind w:left="0" w:leftChars="0" w:firstLine="520" w:firstLineChars="200"/>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（以下部分无《广东烟草清远市有限公司卷烟物流配送中心易地技术改造项目雷击风险评估项目合同》正文内容，为签章处）</w:t>
      </w:r>
    </w:p>
    <w:p w14:paraId="7E6DE302">
      <w:pPr>
        <w:pStyle w:val="2"/>
        <w:rPr>
          <w:rFonts w:hint="eastAsia" w:ascii="楷体" w:hAnsi="楷体" w:eastAsia="楷体" w:cs="楷体"/>
          <w:color w:val="auto"/>
          <w:sz w:val="26"/>
          <w:szCs w:val="26"/>
          <w:highlight w:val="none"/>
        </w:rPr>
      </w:pPr>
    </w:p>
    <w:p w14:paraId="3C651B5F">
      <w:pPr>
        <w:pStyle w:val="2"/>
        <w:rPr>
          <w:rFonts w:hint="eastAsia" w:ascii="楷体" w:hAnsi="楷体" w:eastAsia="楷体" w:cs="楷体"/>
          <w:color w:val="auto"/>
          <w:sz w:val="26"/>
          <w:szCs w:val="26"/>
          <w:highlight w:val="none"/>
        </w:rPr>
      </w:pPr>
    </w:p>
    <w:p w14:paraId="06D1AD61">
      <w:pPr>
        <w:pStyle w:val="128"/>
        <w:keepNext w:val="0"/>
        <w:keepLines w:val="0"/>
        <w:pageBreakBefore w:val="0"/>
        <w:widowControl w:val="0"/>
        <w:kinsoku/>
        <w:wordWrap/>
        <w:overflowPunct/>
        <w:topLinePunct w:val="0"/>
        <w:autoSpaceDE/>
        <w:autoSpaceDN/>
        <w:bidi w:val="0"/>
        <w:snapToGrid/>
        <w:spacing w:line="360" w:lineRule="auto"/>
        <w:ind w:firstLine="0"/>
        <w:textAlignment w:val="auto"/>
        <w:rPr>
          <w:rFonts w:hint="eastAsia" w:ascii="楷体" w:hAnsi="楷体" w:eastAsia="楷体" w:cs="楷体"/>
          <w:color w:val="auto"/>
          <w:kern w:val="2"/>
          <w:sz w:val="26"/>
          <w:szCs w:val="26"/>
          <w:highlight w:val="none"/>
          <w:lang w:val="en-US" w:eastAsia="zh-CN" w:bidi="ar-SA"/>
        </w:rPr>
      </w:pPr>
      <w:r>
        <w:rPr>
          <w:rFonts w:hint="eastAsia" w:ascii="楷体" w:hAnsi="楷体" w:eastAsia="楷体" w:cs="楷体"/>
          <w:color w:val="auto"/>
          <w:sz w:val="26"/>
          <w:szCs w:val="26"/>
          <w:highlight w:val="none"/>
          <w:lang w:val="en-US" w:eastAsia="zh-CN"/>
        </w:rPr>
        <w:t>甲方：</w:t>
      </w:r>
      <w:r>
        <w:rPr>
          <w:rFonts w:hint="eastAsia" w:ascii="楷体" w:hAnsi="楷体" w:eastAsia="楷体" w:cs="楷体"/>
          <w:color w:val="auto"/>
          <w:sz w:val="26"/>
          <w:szCs w:val="26"/>
          <w:highlight w:val="none"/>
        </w:rPr>
        <w:t xml:space="preserve">广东烟草清远市有限公司        </w:t>
      </w:r>
      <w:r>
        <w:rPr>
          <w:rFonts w:hint="eastAsia" w:ascii="楷体" w:hAnsi="楷体" w:eastAsia="楷体" w:cs="楷体"/>
          <w:color w:val="auto"/>
          <w:kern w:val="2"/>
          <w:sz w:val="26"/>
          <w:szCs w:val="26"/>
          <w:highlight w:val="none"/>
          <w:lang w:val="en-US" w:eastAsia="zh-CN" w:bidi="ar-SA"/>
        </w:rPr>
        <w:t xml:space="preserve">   乙方：</w:t>
      </w:r>
    </w:p>
    <w:p w14:paraId="7192F85D">
      <w:pPr>
        <w:pStyle w:val="13"/>
        <w:keepNext w:val="0"/>
        <w:keepLines w:val="0"/>
        <w:pageBreakBefore w:val="0"/>
        <w:widowControl w:val="0"/>
        <w:kinsoku/>
        <w:wordWrap/>
        <w:overflowPunct/>
        <w:topLinePunct w:val="0"/>
        <w:autoSpaceDE/>
        <w:autoSpaceDN/>
        <w:bidi w:val="0"/>
        <w:snapToGrid/>
        <w:spacing w:line="360" w:lineRule="auto"/>
        <w:ind w:left="420" w:firstLine="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(盖章）                                   (盖章）</w:t>
      </w:r>
    </w:p>
    <w:p w14:paraId="16233391">
      <w:pPr>
        <w:pStyle w:val="13"/>
        <w:keepNext w:val="0"/>
        <w:keepLines w:val="0"/>
        <w:pageBreakBefore w:val="0"/>
        <w:widowControl w:val="0"/>
        <w:kinsoku/>
        <w:wordWrap/>
        <w:overflowPunct/>
        <w:topLinePunct w:val="0"/>
        <w:autoSpaceDE/>
        <w:autoSpaceDN/>
        <w:bidi w:val="0"/>
        <w:snapToGrid/>
        <w:spacing w:line="360" w:lineRule="auto"/>
        <w:ind w:left="0" w:leftChars="0" w:firstLine="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法定代表人                                法定代表人</w:t>
      </w:r>
    </w:p>
    <w:p w14:paraId="0A5DFFA0">
      <w:pPr>
        <w:pStyle w:val="13"/>
        <w:keepNext w:val="0"/>
        <w:keepLines w:val="0"/>
        <w:pageBreakBefore w:val="0"/>
        <w:widowControl w:val="0"/>
        <w:kinsoku/>
        <w:wordWrap/>
        <w:overflowPunct/>
        <w:topLinePunct w:val="0"/>
        <w:autoSpaceDE/>
        <w:autoSpaceDN/>
        <w:bidi w:val="0"/>
        <w:snapToGrid/>
        <w:spacing w:line="360" w:lineRule="auto"/>
        <w:ind w:left="0" w:leftChars="0" w:firstLine="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或授权代理人（签名）：                     或授权代理人（签名）：</w:t>
      </w:r>
    </w:p>
    <w:p w14:paraId="1F24260D">
      <w:pPr>
        <w:pStyle w:val="13"/>
        <w:keepNext w:val="0"/>
        <w:keepLines w:val="0"/>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楷体" w:hAnsi="楷体" w:eastAsia="楷体" w:cs="楷体"/>
          <w:color w:val="auto"/>
          <w:sz w:val="26"/>
          <w:szCs w:val="26"/>
          <w:highlight w:val="none"/>
        </w:rPr>
      </w:pPr>
      <w:r>
        <w:rPr>
          <w:rFonts w:hint="eastAsia" w:ascii="楷体" w:hAnsi="楷体" w:eastAsia="楷体" w:cs="楷体"/>
          <w:color w:val="auto"/>
          <w:sz w:val="26"/>
          <w:szCs w:val="26"/>
          <w:highlight w:val="none"/>
        </w:rPr>
        <w:t xml:space="preserve">年    月    日                      </w:t>
      </w:r>
      <w:r>
        <w:rPr>
          <w:rFonts w:hint="eastAsia" w:ascii="楷体" w:hAnsi="楷体" w:eastAsia="楷体" w:cs="楷体"/>
          <w:color w:val="auto"/>
          <w:sz w:val="26"/>
          <w:szCs w:val="26"/>
          <w:highlight w:val="none"/>
          <w:lang w:val="en-US" w:eastAsia="zh-CN"/>
        </w:rPr>
        <w:t xml:space="preserve">    </w:t>
      </w:r>
      <w:r>
        <w:rPr>
          <w:rFonts w:hint="eastAsia" w:ascii="楷体" w:hAnsi="楷体" w:eastAsia="楷体" w:cs="楷体"/>
          <w:color w:val="auto"/>
          <w:sz w:val="26"/>
          <w:szCs w:val="26"/>
          <w:highlight w:val="none"/>
        </w:rPr>
        <w:t xml:space="preserve">  年    月    日</w:t>
      </w:r>
    </w:p>
    <w:p w14:paraId="304CC35E">
      <w:pPr>
        <w:rPr>
          <w:rFonts w:ascii="仿宋" w:hAnsi="仿宋" w:eastAsia="仿宋"/>
          <w:color w:val="auto"/>
          <w:sz w:val="32"/>
          <w:szCs w:val="32"/>
          <w:highlight w:val="none"/>
        </w:rPr>
      </w:pPr>
      <w:r>
        <w:rPr>
          <w:rFonts w:ascii="仿宋" w:hAnsi="仿宋" w:eastAsia="仿宋"/>
          <w:color w:val="auto"/>
          <w:sz w:val="32"/>
          <w:szCs w:val="32"/>
          <w:highlight w:val="none"/>
        </w:rPr>
        <w:br w:type="page"/>
      </w:r>
    </w:p>
    <w:p w14:paraId="1C8F5339">
      <w:pPr>
        <w:pStyle w:val="2"/>
        <w:rPr>
          <w:rFonts w:ascii="仿宋" w:hAnsi="仿宋" w:eastAsia="仿宋"/>
          <w:color w:val="auto"/>
          <w:sz w:val="32"/>
          <w:szCs w:val="32"/>
          <w:highlight w:val="none"/>
        </w:rPr>
      </w:pPr>
    </w:p>
    <w:bookmarkEnd w:id="338"/>
    <w:bookmarkEnd w:id="339"/>
    <w:bookmarkEnd w:id="340"/>
    <w:bookmarkEnd w:id="341"/>
    <w:bookmarkEnd w:id="342"/>
    <w:p w14:paraId="10032098">
      <w:pPr>
        <w:tabs>
          <w:tab w:val="left" w:pos="2040"/>
        </w:tabs>
        <w:ind w:firstLine="420"/>
        <w:rPr>
          <w:color w:val="auto"/>
          <w:highlight w:val="none"/>
        </w:rPr>
      </w:pPr>
      <w:bookmarkStart w:id="348" w:name="_Toc50737323"/>
      <w:bookmarkStart w:id="349" w:name="_Toc50737291"/>
      <w:bookmarkStart w:id="350" w:name="_Toc50691025"/>
      <w:bookmarkStart w:id="351" w:name="_Toc87417453"/>
      <w:bookmarkStart w:id="352" w:name="_Toc50736471"/>
      <w:bookmarkStart w:id="353" w:name="_Toc3577"/>
      <w:bookmarkStart w:id="354" w:name="_Toc168288374"/>
      <w:bookmarkStart w:id="355" w:name="_Toc423021953"/>
      <w:bookmarkStart w:id="356" w:name="_Toc15305"/>
      <w:bookmarkStart w:id="357" w:name="_Toc17613"/>
      <w:bookmarkStart w:id="358" w:name="_Toc182886662"/>
      <w:bookmarkStart w:id="359" w:name="_Toc28392"/>
      <w:bookmarkStart w:id="360" w:name="_Toc183316722"/>
      <w:bookmarkStart w:id="361" w:name="_Toc29541"/>
      <w:bookmarkStart w:id="362" w:name="_Toc372468321"/>
      <w:r>
        <w:rPr>
          <w:color w:val="auto"/>
          <w:highlight w:val="none"/>
        </w:rPr>
        <w:drawing>
          <wp:inline distT="0" distB="0" distL="114300" distR="114300">
            <wp:extent cx="2310765" cy="696595"/>
            <wp:effectExtent l="0" t="0" r="13335" b="8255"/>
            <wp:docPr id="3" name="图片 3" descr="说明: 烟草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烟草标志"/>
                    <pic:cNvPicPr>
                      <a:picLocks noChangeAspect="1"/>
                    </pic:cNvPicPr>
                  </pic:nvPicPr>
                  <pic:blipFill>
                    <a:blip r:embed="rId19" cstate="print"/>
                    <a:stretch>
                      <a:fillRect/>
                    </a:stretch>
                  </pic:blipFill>
                  <pic:spPr>
                    <a:xfrm>
                      <a:off x="0" y="0"/>
                      <a:ext cx="2310765" cy="696595"/>
                    </a:xfrm>
                    <a:prstGeom prst="rect">
                      <a:avLst/>
                    </a:prstGeom>
                    <a:noFill/>
                    <a:ln>
                      <a:noFill/>
                    </a:ln>
                  </pic:spPr>
                </pic:pic>
              </a:graphicData>
            </a:graphic>
          </wp:inline>
        </w:drawing>
      </w:r>
    </w:p>
    <w:p w14:paraId="650A5A98">
      <w:pPr>
        <w:pStyle w:val="2"/>
        <w:rPr>
          <w:color w:val="auto"/>
          <w:highlight w:val="none"/>
        </w:rPr>
      </w:pPr>
    </w:p>
    <w:p w14:paraId="1C5508B7">
      <w:pPr>
        <w:pStyle w:val="2"/>
        <w:rPr>
          <w:color w:val="auto"/>
          <w:highlight w:val="none"/>
        </w:rPr>
      </w:pPr>
    </w:p>
    <w:p w14:paraId="182E892B">
      <w:pPr>
        <w:pStyle w:val="2"/>
        <w:rPr>
          <w:color w:val="auto"/>
          <w:highlight w:val="none"/>
        </w:rPr>
      </w:pPr>
    </w:p>
    <w:p w14:paraId="27958460">
      <w:pPr>
        <w:pStyle w:val="2"/>
        <w:rPr>
          <w:color w:val="auto"/>
          <w:highlight w:val="none"/>
        </w:rPr>
      </w:pPr>
    </w:p>
    <w:p w14:paraId="2E4662BE">
      <w:pPr>
        <w:pStyle w:val="2"/>
        <w:rPr>
          <w:color w:val="auto"/>
          <w:highlight w:val="none"/>
        </w:rPr>
      </w:pPr>
    </w:p>
    <w:p w14:paraId="1F89E15B">
      <w:pPr>
        <w:ind w:firstLine="1121"/>
        <w:jc w:val="center"/>
        <w:rPr>
          <w:rFonts w:ascii="华文中宋" w:eastAsia="华文中宋"/>
          <w:b/>
          <w:color w:val="auto"/>
          <w:sz w:val="56"/>
          <w:highlight w:val="none"/>
        </w:rPr>
      </w:pPr>
      <w:r>
        <w:rPr>
          <w:rFonts w:hint="eastAsia" w:ascii="华文中宋" w:eastAsia="华文中宋"/>
          <w:b/>
          <w:color w:val="auto"/>
          <w:sz w:val="56"/>
          <w:highlight w:val="none"/>
        </w:rPr>
        <w:t>廉</w:t>
      </w:r>
    </w:p>
    <w:p w14:paraId="736D217E">
      <w:pPr>
        <w:ind w:firstLine="1121"/>
        <w:jc w:val="center"/>
        <w:rPr>
          <w:rFonts w:ascii="华文中宋" w:eastAsia="华文中宋"/>
          <w:b/>
          <w:color w:val="auto"/>
          <w:sz w:val="56"/>
          <w:highlight w:val="none"/>
        </w:rPr>
      </w:pPr>
      <w:r>
        <w:rPr>
          <w:rFonts w:hint="eastAsia" w:ascii="华文中宋" w:eastAsia="华文中宋"/>
          <w:b/>
          <w:color w:val="auto"/>
          <w:sz w:val="56"/>
          <w:highlight w:val="none"/>
        </w:rPr>
        <w:t>洁</w:t>
      </w:r>
    </w:p>
    <w:p w14:paraId="357AA994">
      <w:pPr>
        <w:ind w:firstLine="1121"/>
        <w:jc w:val="center"/>
        <w:rPr>
          <w:rFonts w:ascii="华文中宋" w:eastAsia="华文中宋"/>
          <w:b/>
          <w:color w:val="auto"/>
          <w:sz w:val="56"/>
          <w:highlight w:val="none"/>
        </w:rPr>
      </w:pPr>
      <w:r>
        <w:rPr>
          <w:rFonts w:hint="eastAsia" w:ascii="华文中宋" w:eastAsia="华文中宋"/>
          <w:b/>
          <w:color w:val="auto"/>
          <w:sz w:val="56"/>
          <w:highlight w:val="none"/>
        </w:rPr>
        <w:t>合</w:t>
      </w:r>
    </w:p>
    <w:p w14:paraId="454AC3B8">
      <w:pPr>
        <w:ind w:firstLine="1121"/>
        <w:jc w:val="center"/>
        <w:rPr>
          <w:rFonts w:ascii="华文中宋" w:eastAsia="华文中宋"/>
          <w:b/>
          <w:color w:val="auto"/>
          <w:sz w:val="56"/>
          <w:highlight w:val="none"/>
        </w:rPr>
      </w:pPr>
      <w:r>
        <w:rPr>
          <w:rFonts w:hint="eastAsia" w:ascii="华文中宋" w:eastAsia="华文中宋"/>
          <w:b/>
          <w:color w:val="auto"/>
          <w:sz w:val="56"/>
          <w:highlight w:val="none"/>
        </w:rPr>
        <w:t>同</w:t>
      </w:r>
    </w:p>
    <w:p w14:paraId="0787B52C">
      <w:pPr>
        <w:pStyle w:val="2"/>
        <w:rPr>
          <w:color w:val="auto"/>
          <w:highlight w:val="none"/>
        </w:rPr>
      </w:pPr>
    </w:p>
    <w:p w14:paraId="360476AE">
      <w:pPr>
        <w:pStyle w:val="2"/>
        <w:rPr>
          <w:color w:val="auto"/>
          <w:highlight w:val="none"/>
        </w:rPr>
      </w:pPr>
    </w:p>
    <w:p w14:paraId="5A814C1C">
      <w:pPr>
        <w:pStyle w:val="2"/>
        <w:rPr>
          <w:color w:val="auto"/>
          <w:highlight w:val="none"/>
        </w:rPr>
      </w:pPr>
    </w:p>
    <w:p w14:paraId="395E5DAE">
      <w:pPr>
        <w:pStyle w:val="2"/>
        <w:rPr>
          <w:color w:val="auto"/>
          <w:highlight w:val="none"/>
        </w:rPr>
      </w:pPr>
    </w:p>
    <w:p w14:paraId="63832FA5">
      <w:pPr>
        <w:pStyle w:val="2"/>
        <w:rPr>
          <w:color w:val="auto"/>
          <w:highlight w:val="none"/>
        </w:rPr>
      </w:pPr>
    </w:p>
    <w:p w14:paraId="513BB2EB">
      <w:pPr>
        <w:pStyle w:val="2"/>
        <w:rPr>
          <w:color w:val="auto"/>
          <w:highlight w:val="none"/>
        </w:rPr>
      </w:pPr>
    </w:p>
    <w:p w14:paraId="12904570">
      <w:pPr>
        <w:snapToGrid w:val="0"/>
        <w:spacing w:line="480" w:lineRule="auto"/>
        <w:ind w:left="1898" w:firstLine="0" w:firstLineChars="0"/>
        <w:rPr>
          <w:color w:val="auto"/>
          <w:sz w:val="28"/>
          <w:szCs w:val="32"/>
          <w:highlight w:val="none"/>
          <w:u w:val="single"/>
        </w:rPr>
      </w:pPr>
      <w:r>
        <w:rPr>
          <w:rFonts w:hint="eastAsia"/>
          <w:b/>
          <w:color w:val="auto"/>
          <w:sz w:val="28"/>
          <w:szCs w:val="32"/>
          <w:highlight w:val="none"/>
        </w:rPr>
        <w:t>项目名称：</w:t>
      </w:r>
      <w:r>
        <w:rPr>
          <w:rFonts w:hint="eastAsia"/>
          <w:b/>
          <w:color w:val="auto"/>
          <w:sz w:val="28"/>
          <w:szCs w:val="32"/>
          <w:highlight w:val="none"/>
          <w:u w:val="single"/>
        </w:rPr>
        <w:t>广东烟草清远市有限公司卷烟物流配送中心易地技术改造项目雷击风险评估项目</w:t>
      </w:r>
    </w:p>
    <w:p w14:paraId="366F6F55">
      <w:pPr>
        <w:snapToGrid w:val="0"/>
        <w:spacing w:line="480" w:lineRule="auto"/>
        <w:ind w:left="1898" w:firstLine="562"/>
        <w:rPr>
          <w:color w:val="auto"/>
          <w:sz w:val="28"/>
          <w:szCs w:val="32"/>
          <w:highlight w:val="none"/>
          <w:u w:val="single"/>
        </w:rPr>
      </w:pPr>
      <w:r>
        <w:rPr>
          <w:rFonts w:hint="eastAsia"/>
          <w:b/>
          <w:color w:val="auto"/>
          <w:sz w:val="28"/>
          <w:szCs w:val="32"/>
          <w:highlight w:val="none"/>
        </w:rPr>
        <w:t>合同编号：</w:t>
      </w:r>
      <w:r>
        <w:rPr>
          <w:rFonts w:hint="eastAsia"/>
          <w:color w:val="auto"/>
          <w:sz w:val="28"/>
          <w:szCs w:val="32"/>
          <w:highlight w:val="none"/>
          <w:u w:val="single"/>
        </w:rPr>
        <w:t xml:space="preserve"> 2025441800270018 </w:t>
      </w:r>
    </w:p>
    <w:p w14:paraId="3EC9F54E">
      <w:pPr>
        <w:snapToGrid w:val="0"/>
        <w:spacing w:line="480" w:lineRule="auto"/>
        <w:ind w:left="1898" w:firstLine="562"/>
        <w:rPr>
          <w:color w:val="auto"/>
          <w:sz w:val="28"/>
          <w:szCs w:val="32"/>
          <w:highlight w:val="none"/>
          <w:u w:val="single"/>
        </w:rPr>
      </w:pPr>
      <w:r>
        <w:rPr>
          <w:rFonts w:hint="eastAsia"/>
          <w:b/>
          <w:color w:val="auto"/>
          <w:sz w:val="28"/>
          <w:szCs w:val="32"/>
          <w:highlight w:val="none"/>
        </w:rPr>
        <w:t>签约地点：</w:t>
      </w:r>
      <w:r>
        <w:rPr>
          <w:rFonts w:hint="eastAsia"/>
          <w:color w:val="auto"/>
          <w:sz w:val="28"/>
          <w:szCs w:val="32"/>
          <w:highlight w:val="none"/>
          <w:u w:val="single"/>
        </w:rPr>
        <w:t xml:space="preserve"> </w:t>
      </w:r>
      <w:r>
        <w:rPr>
          <w:rFonts w:hint="eastAsia"/>
          <w:color w:val="auto"/>
          <w:sz w:val="28"/>
          <w:szCs w:val="32"/>
          <w:highlight w:val="none"/>
          <w:u w:val="single"/>
          <w:lang w:val="en-US" w:eastAsia="zh-CN"/>
        </w:rPr>
        <w:t>清远市清城区</w:t>
      </w:r>
      <w:r>
        <w:rPr>
          <w:rFonts w:hint="eastAsia"/>
          <w:color w:val="auto"/>
          <w:sz w:val="28"/>
          <w:szCs w:val="32"/>
          <w:highlight w:val="none"/>
          <w:u w:val="single"/>
        </w:rPr>
        <w:t xml:space="preserve"> </w:t>
      </w:r>
    </w:p>
    <w:p w14:paraId="7C17686C">
      <w:pPr>
        <w:snapToGrid w:val="0"/>
        <w:spacing w:line="480" w:lineRule="auto"/>
        <w:ind w:left="1898" w:firstLine="562"/>
        <w:rPr>
          <w:color w:val="auto"/>
          <w:sz w:val="28"/>
          <w:szCs w:val="32"/>
          <w:highlight w:val="none"/>
        </w:rPr>
      </w:pPr>
      <w:r>
        <w:rPr>
          <w:rFonts w:hint="eastAsia"/>
          <w:b/>
          <w:color w:val="auto"/>
          <w:sz w:val="28"/>
          <w:szCs w:val="32"/>
          <w:highlight w:val="none"/>
        </w:rPr>
        <w:t>签订日期：</w:t>
      </w:r>
      <w:r>
        <w:rPr>
          <w:rFonts w:hint="eastAsia"/>
          <w:color w:val="auto"/>
          <w:sz w:val="28"/>
          <w:szCs w:val="32"/>
          <w:highlight w:val="none"/>
        </w:rPr>
        <w:t xml:space="preserve"> </w:t>
      </w:r>
      <w:r>
        <w:rPr>
          <w:rFonts w:hint="eastAsia"/>
          <w:color w:val="auto"/>
          <w:sz w:val="28"/>
          <w:szCs w:val="32"/>
          <w:highlight w:val="none"/>
          <w:u w:val="single"/>
        </w:rPr>
        <w:t xml:space="preserve"> 2025 </w:t>
      </w:r>
      <w:r>
        <w:rPr>
          <w:rFonts w:hint="eastAsia"/>
          <w:color w:val="auto"/>
          <w:sz w:val="28"/>
          <w:szCs w:val="32"/>
          <w:highlight w:val="none"/>
        </w:rPr>
        <w:t>年</w:t>
      </w:r>
      <w:r>
        <w:rPr>
          <w:rFonts w:hint="eastAsia"/>
          <w:color w:val="auto"/>
          <w:sz w:val="28"/>
          <w:szCs w:val="32"/>
          <w:highlight w:val="none"/>
          <w:u w:val="single"/>
        </w:rPr>
        <w:t xml:space="preserve"> </w:t>
      </w:r>
      <w:r>
        <w:rPr>
          <w:rFonts w:hint="eastAsia"/>
          <w:color w:val="auto"/>
          <w:sz w:val="28"/>
          <w:szCs w:val="32"/>
          <w:highlight w:val="none"/>
          <w:u w:val="single"/>
          <w:lang w:val="en-US" w:eastAsia="zh-CN"/>
        </w:rPr>
        <w:t xml:space="preserve"> </w:t>
      </w:r>
      <w:r>
        <w:rPr>
          <w:rFonts w:hint="eastAsia"/>
          <w:color w:val="auto"/>
          <w:sz w:val="28"/>
          <w:szCs w:val="32"/>
          <w:highlight w:val="none"/>
          <w:u w:val="single"/>
        </w:rPr>
        <w:t xml:space="preserve"> </w:t>
      </w:r>
      <w:r>
        <w:rPr>
          <w:rFonts w:hint="eastAsia"/>
          <w:color w:val="auto"/>
          <w:sz w:val="28"/>
          <w:szCs w:val="32"/>
          <w:highlight w:val="none"/>
        </w:rPr>
        <w:t>月</w:t>
      </w:r>
      <w:r>
        <w:rPr>
          <w:rFonts w:hint="eastAsia"/>
          <w:color w:val="auto"/>
          <w:sz w:val="28"/>
          <w:szCs w:val="32"/>
          <w:highlight w:val="none"/>
          <w:u w:val="single"/>
        </w:rPr>
        <w:t xml:space="preserve"> </w:t>
      </w:r>
      <w:r>
        <w:rPr>
          <w:rFonts w:hint="eastAsia"/>
          <w:color w:val="auto"/>
          <w:sz w:val="28"/>
          <w:szCs w:val="32"/>
          <w:highlight w:val="none"/>
          <w:u w:val="single"/>
          <w:lang w:val="en-US" w:eastAsia="zh-CN"/>
        </w:rPr>
        <w:t xml:space="preserve">  </w:t>
      </w:r>
      <w:r>
        <w:rPr>
          <w:rFonts w:hint="eastAsia"/>
          <w:color w:val="auto"/>
          <w:sz w:val="28"/>
          <w:szCs w:val="32"/>
          <w:highlight w:val="none"/>
          <w:u w:val="single"/>
        </w:rPr>
        <w:t xml:space="preserve"> </w:t>
      </w:r>
      <w:r>
        <w:rPr>
          <w:rFonts w:hint="eastAsia"/>
          <w:color w:val="auto"/>
          <w:sz w:val="28"/>
          <w:szCs w:val="32"/>
          <w:highlight w:val="none"/>
        </w:rPr>
        <w:t>日</w:t>
      </w:r>
    </w:p>
    <w:p w14:paraId="3747588F">
      <w:pPr>
        <w:ind w:firstLine="420"/>
        <w:jc w:val="center"/>
        <w:rPr>
          <w:rFonts w:ascii="仿宋" w:hAnsi="仿宋" w:eastAsia="仿宋"/>
          <w:color w:val="auto"/>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851" w:footer="992" w:gutter="0"/>
          <w:cols w:space="425" w:num="1"/>
          <w:docGrid w:type="lines" w:linePitch="312" w:charSpace="0"/>
        </w:sectPr>
      </w:pPr>
    </w:p>
    <w:p w14:paraId="42C2864F">
      <w:pPr>
        <w:spacing w:line="500" w:lineRule="exact"/>
        <w:ind w:firstLine="42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采购人（甲方）：</w:t>
      </w:r>
      <w:r>
        <w:rPr>
          <w:rFonts w:asciiTheme="minorEastAsia" w:hAnsiTheme="minorEastAsia" w:eastAsiaTheme="minorEastAsia"/>
          <w:b/>
          <w:bCs/>
          <w:color w:val="auto"/>
          <w:highlight w:val="none"/>
        </w:rPr>
        <w:t xml:space="preserve"> </w:t>
      </w:r>
      <w:r>
        <w:rPr>
          <w:rFonts w:hint="eastAsia" w:cs="仿宋_GB2312" w:asciiTheme="minorEastAsia" w:hAnsiTheme="minorEastAsia" w:eastAsiaTheme="minorEastAsia"/>
          <w:b/>
          <w:color w:val="auto"/>
          <w:highlight w:val="none"/>
        </w:rPr>
        <w:t>广东烟草清远市有限公司</w:t>
      </w:r>
      <w:r>
        <w:rPr>
          <w:rFonts w:asciiTheme="minorEastAsia" w:hAnsiTheme="minorEastAsia" w:eastAsiaTheme="minorEastAsia"/>
          <w:b/>
          <w:bCs/>
          <w:color w:val="auto"/>
          <w:highlight w:val="none"/>
        </w:rPr>
        <w:tab/>
      </w:r>
      <w:r>
        <w:rPr>
          <w:rFonts w:asciiTheme="minorEastAsia" w:hAnsiTheme="minorEastAsia" w:eastAsiaTheme="minorEastAsia"/>
          <w:b/>
          <w:bCs/>
          <w:color w:val="auto"/>
          <w:highlight w:val="none"/>
        </w:rPr>
        <w:tab/>
      </w:r>
      <w:r>
        <w:rPr>
          <w:rFonts w:asciiTheme="minorEastAsia" w:hAnsiTheme="minorEastAsia" w:eastAsiaTheme="minorEastAsia"/>
          <w:b/>
          <w:bCs/>
          <w:color w:val="auto"/>
          <w:highlight w:val="none"/>
        </w:rPr>
        <w:tab/>
      </w:r>
      <w:r>
        <w:rPr>
          <w:rFonts w:asciiTheme="minorEastAsia" w:hAnsiTheme="minorEastAsia" w:eastAsiaTheme="minorEastAsia"/>
          <w:b/>
          <w:bCs/>
          <w:color w:val="auto"/>
          <w:highlight w:val="none"/>
        </w:rPr>
        <w:tab/>
      </w:r>
      <w:r>
        <w:rPr>
          <w:rFonts w:asciiTheme="minorEastAsia" w:hAnsiTheme="minorEastAsia" w:eastAsiaTheme="minorEastAsia"/>
          <w:b/>
          <w:bCs/>
          <w:color w:val="auto"/>
          <w:highlight w:val="none"/>
        </w:rPr>
        <w:tab/>
      </w:r>
      <w:r>
        <w:rPr>
          <w:rFonts w:asciiTheme="minorEastAsia" w:hAnsiTheme="minorEastAsia" w:eastAsiaTheme="minorEastAsia"/>
          <w:b/>
          <w:bCs/>
          <w:color w:val="auto"/>
          <w:highlight w:val="none"/>
        </w:rPr>
        <w:tab/>
      </w:r>
    </w:p>
    <w:p w14:paraId="18012FEA">
      <w:pPr>
        <w:spacing w:line="500" w:lineRule="exact"/>
        <w:ind w:firstLine="42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法定代表人：</w:t>
      </w:r>
      <w:r>
        <w:rPr>
          <w:rFonts w:asciiTheme="minorEastAsia" w:hAnsiTheme="minorEastAsia" w:eastAsiaTheme="minorEastAsia"/>
          <w:b/>
          <w:bCs/>
          <w:color w:val="auto"/>
          <w:highlight w:val="none"/>
        </w:rPr>
        <w:t xml:space="preserve"> </w:t>
      </w:r>
    </w:p>
    <w:p w14:paraId="5B3AEE07">
      <w:pPr>
        <w:spacing w:line="500" w:lineRule="exact"/>
        <w:ind w:firstLine="422"/>
        <w:rPr>
          <w:rFonts w:hint="default"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rPr>
        <w:t>电话：</w:t>
      </w:r>
    </w:p>
    <w:p w14:paraId="1136F497">
      <w:pPr>
        <w:spacing w:line="500" w:lineRule="exact"/>
        <w:ind w:firstLine="422"/>
        <w:rPr>
          <w:rFonts w:hint="default" w:asciiTheme="minorEastAsia" w:hAnsiTheme="minorEastAsia" w:eastAsiaTheme="minorEastAsia"/>
          <w:b/>
          <w:bCs/>
          <w:color w:val="auto"/>
          <w:highlight w:val="none"/>
          <w:lang w:val="en-US" w:eastAsia="zh-CN"/>
        </w:rPr>
      </w:pPr>
      <w:r>
        <w:rPr>
          <w:rFonts w:hint="eastAsia" w:asciiTheme="minorEastAsia" w:hAnsiTheme="minorEastAsia" w:eastAsiaTheme="minorEastAsia"/>
          <w:b/>
          <w:bCs/>
          <w:color w:val="auto"/>
          <w:highlight w:val="none"/>
        </w:rPr>
        <w:t>地址：</w:t>
      </w:r>
      <w:r>
        <w:rPr>
          <w:rFonts w:asciiTheme="minorEastAsia" w:hAnsiTheme="minorEastAsia" w:eastAsiaTheme="minorEastAsia"/>
          <w:b/>
          <w:bCs/>
          <w:color w:val="auto"/>
          <w:highlight w:val="none"/>
        </w:rPr>
        <w:t xml:space="preserve"> </w:t>
      </w:r>
    </w:p>
    <w:p w14:paraId="1011D931">
      <w:pPr>
        <w:spacing w:line="500" w:lineRule="exact"/>
        <w:ind w:firstLine="422"/>
        <w:rPr>
          <w:rFonts w:asciiTheme="minorEastAsia" w:hAnsiTheme="minorEastAsia" w:eastAsiaTheme="minorEastAsia"/>
          <w:b/>
          <w:bCs/>
          <w:color w:val="auto"/>
          <w:highlight w:val="none"/>
        </w:rPr>
      </w:pPr>
    </w:p>
    <w:p w14:paraId="6E66DA4F">
      <w:pPr>
        <w:spacing w:line="500" w:lineRule="exact"/>
        <w:ind w:firstLine="422"/>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供应商（乙方）：</w:t>
      </w:r>
      <w:r>
        <w:rPr>
          <w:rFonts w:asciiTheme="minorEastAsia" w:hAnsiTheme="minorEastAsia" w:eastAsiaTheme="minorEastAsia"/>
          <w:b/>
          <w:bCs/>
          <w:color w:val="auto"/>
          <w:highlight w:val="none"/>
        </w:rPr>
        <w:t xml:space="preserve"> </w:t>
      </w:r>
    </w:p>
    <w:p w14:paraId="739B45C7">
      <w:pPr>
        <w:spacing w:line="500" w:lineRule="exact"/>
        <w:ind w:firstLine="422"/>
        <w:rPr>
          <w:rFonts w:asciiTheme="minorEastAsia" w:hAnsiTheme="minorEastAsia" w:eastAsiaTheme="minorEastAsia"/>
          <w:b/>
          <w:color w:val="auto"/>
          <w:highlight w:val="none"/>
        </w:rPr>
      </w:pPr>
      <w:r>
        <w:rPr>
          <w:rFonts w:hint="eastAsia" w:asciiTheme="minorEastAsia" w:hAnsiTheme="minorEastAsia" w:eastAsiaTheme="minorEastAsia"/>
          <w:b/>
          <w:bCs/>
          <w:color w:val="auto"/>
          <w:highlight w:val="none"/>
        </w:rPr>
        <w:t>法定代表人/</w:t>
      </w:r>
      <w:r>
        <w:rPr>
          <w:rFonts w:hint="eastAsia" w:asciiTheme="minorEastAsia" w:hAnsiTheme="minorEastAsia" w:eastAsiaTheme="minorEastAsia"/>
          <w:b/>
          <w:color w:val="auto"/>
          <w:highlight w:val="none"/>
        </w:rPr>
        <w:t>负责人：</w:t>
      </w:r>
      <w:r>
        <w:rPr>
          <w:rFonts w:asciiTheme="minorEastAsia" w:hAnsiTheme="minorEastAsia" w:eastAsiaTheme="minorEastAsia"/>
          <w:b/>
          <w:color w:val="auto"/>
          <w:highlight w:val="none"/>
        </w:rPr>
        <w:t xml:space="preserve"> </w:t>
      </w:r>
    </w:p>
    <w:p w14:paraId="0E4D2660">
      <w:pPr>
        <w:spacing w:line="500" w:lineRule="exact"/>
        <w:ind w:firstLine="42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电话：</w:t>
      </w:r>
    </w:p>
    <w:p w14:paraId="0F684BB9">
      <w:pPr>
        <w:spacing w:line="500" w:lineRule="exact"/>
        <w:ind w:firstLine="42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地址：</w:t>
      </w:r>
    </w:p>
    <w:p w14:paraId="7D0B6F8A">
      <w:pPr>
        <w:spacing w:line="500" w:lineRule="exact"/>
        <w:ind w:firstLine="420"/>
        <w:rPr>
          <w:rFonts w:cs="仿宋_GB2312" w:asciiTheme="minorEastAsia" w:hAnsiTheme="minorEastAsia" w:eastAsiaTheme="minorEastAsia"/>
          <w:color w:val="auto"/>
          <w:highlight w:val="none"/>
        </w:rPr>
      </w:pPr>
    </w:p>
    <w:p w14:paraId="1DA8C2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b/>
          <w:color w:val="auto"/>
          <w:highlight w:val="none"/>
          <w:u w:val="single"/>
        </w:rPr>
      </w:pPr>
      <w:r>
        <w:rPr>
          <w:rFonts w:hint="eastAsia" w:cs="仿宋_GB2312" w:asciiTheme="minorEastAsia" w:hAnsiTheme="minorEastAsia" w:eastAsiaTheme="minorEastAsia"/>
          <w:color w:val="auto"/>
          <w:highlight w:val="none"/>
        </w:rPr>
        <w:t>为维护公平竞争的市场经济秩序，确保</w:t>
      </w:r>
      <w:r>
        <w:rPr>
          <w:rFonts w:hint="eastAsia" w:cs="仿宋_GB2312" w:asciiTheme="minorEastAsia" w:hAnsiTheme="minorEastAsia" w:eastAsiaTheme="minorEastAsia"/>
          <w:color w:val="auto"/>
          <w:highlight w:val="none"/>
          <w:u w:val="single"/>
        </w:rPr>
        <w:t>广东烟草清远市有限公司卷烟物流配送中心易地技术改造项目雷击风险评估</w:t>
      </w:r>
      <w:r>
        <w:rPr>
          <w:rFonts w:hint="eastAsia" w:cs="仿宋_GB2312" w:asciiTheme="minorEastAsia" w:hAnsiTheme="minorEastAsia" w:eastAsiaTheme="minorEastAsia"/>
          <w:color w:val="auto"/>
          <w:highlight w:val="none"/>
        </w:rPr>
        <w:t>项目高效运行，保证项目资金的安全、有效使用，加强有关人员廉洁从业管理，恪守商业道德，从源头预防和遏制违法、违规、违纪行为发生，促进建立廉洁、诚信、共赢的合作关系，按照党和国家有关法律法规、廉政规定，经采购人</w:t>
      </w:r>
      <w:r>
        <w:rPr>
          <w:rFonts w:hint="eastAsia" w:cs="仿宋_GB2312" w:asciiTheme="minorEastAsia" w:hAnsiTheme="minorEastAsia" w:eastAsiaTheme="minorEastAsia"/>
          <w:color w:val="auto"/>
          <w:highlight w:val="none"/>
          <w:u w:val="single"/>
        </w:rPr>
        <w:t>广东烟草清远市有限公司</w:t>
      </w:r>
      <w:r>
        <w:rPr>
          <w:rFonts w:hint="eastAsia" w:cs="仿宋_GB2312" w:asciiTheme="minorEastAsia" w:hAnsiTheme="minorEastAsia" w:eastAsiaTheme="minorEastAsia"/>
          <w:color w:val="auto"/>
          <w:highlight w:val="none"/>
        </w:rPr>
        <w:t>（以下简称“甲方”）与供应商</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u w:val="single"/>
          <w:lang w:val="en-US" w:eastAsia="zh-CN"/>
        </w:rPr>
        <w:t xml:space="preserve">               </w:t>
      </w:r>
      <w:r>
        <w:rPr>
          <w:rFonts w:hint="eastAsia" w:cs="仿宋_GB2312" w:asciiTheme="minorEastAsia" w:hAnsiTheme="minorEastAsia" w:eastAsiaTheme="minorEastAsia"/>
          <w:color w:val="auto"/>
          <w:highlight w:val="none"/>
        </w:rPr>
        <w:t>（以下简称“乙方”）协商一致，签订以下合同：</w:t>
      </w:r>
    </w:p>
    <w:p w14:paraId="13802A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第一条 甲乙双方的权利和义务</w:t>
      </w:r>
    </w:p>
    <w:p w14:paraId="1EAE86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（一）严格遵守党和国家有关法律法规及党风廉政建设各项规定，遵守烟草行业有关采购管理制度。</w:t>
      </w:r>
    </w:p>
    <w:p w14:paraId="34AF44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（二）严格执行采购项目的合同文件，自觉履约。</w:t>
      </w:r>
    </w:p>
    <w:p w14:paraId="34AF6F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（三）双方的业务活动坚持公开、公平、公正、诚信的原则（涉及商业秘密和合同文件另有规定之外），严禁损害国家和集体利益，依法维护合作双方的合法利益。</w:t>
      </w:r>
    </w:p>
    <w:p w14:paraId="72AE07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（四）建立健全党风廉政建设各项制度，开展廉洁自律宣传教育，加强对本方工作人员的监督检查。</w:t>
      </w:r>
    </w:p>
    <w:p w14:paraId="40C3E4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（五）发现对方严重违反合同义务条款的行为有权制止，并向其上级有关部门举报。</w:t>
      </w:r>
    </w:p>
    <w:p w14:paraId="7CB4E5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（六）采购项目合同变更时本廉洁合同内容也应做相应调整，并履行有关手续。</w:t>
      </w:r>
    </w:p>
    <w:p w14:paraId="736FA1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（七）双方应严格按照采购文件、响应承诺、合同约定</w:t>
      </w:r>
      <w:r>
        <w:rPr>
          <w:rFonts w:hint="eastAsia" w:cs="仿宋_GB2312" w:asciiTheme="minorEastAsia" w:hAnsiTheme="minorEastAsia" w:eastAsiaTheme="minorEastAsia"/>
          <w:color w:val="auto"/>
          <w:spacing w:val="-6"/>
          <w:highlight w:val="none"/>
        </w:rPr>
        <w:t>，</w:t>
      </w:r>
      <w:r>
        <w:rPr>
          <w:rFonts w:hint="eastAsia" w:cs="仿宋_GB2312" w:asciiTheme="minorEastAsia" w:hAnsiTheme="minorEastAsia" w:eastAsiaTheme="minorEastAsia"/>
          <w:color w:val="auto"/>
          <w:highlight w:val="none"/>
        </w:rPr>
        <w:t>全面履行约定义务，积极促成双方顺利合作。</w:t>
      </w:r>
    </w:p>
    <w:p w14:paraId="5FAB41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第二条 甲方义务</w:t>
      </w:r>
    </w:p>
    <w:p w14:paraId="25C963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（一）甲方及其工作人员不得干扰乙方企业正常的生产经营活动，不得以任何理由要挟乙方从事不属于乙方义务的工作。</w:t>
      </w:r>
    </w:p>
    <w:p w14:paraId="525838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（二）甲方及其工作人员不得索要或接受乙方的礼金、有价证券和贵重物品，不得在乙方报销任何应由甲方或甲方工作人员个人支付的费用等。</w:t>
      </w:r>
    </w:p>
    <w:p w14:paraId="3F6EC1F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（三）甲方工作人员不得参加乙方安排的超标准宴请和娱乐活动，不得要求或者接受乙方为其住房装修、婚丧嫁娶活动、配偶子女的工作安排以及出国出境、旅游等提供方便等。</w:t>
      </w:r>
    </w:p>
    <w:p w14:paraId="224AAD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（四）甲方工作人员及其配偶、子女不得从事与甲方项目有关的材料设备供应、劳务等经济活动。</w:t>
      </w:r>
    </w:p>
    <w:p w14:paraId="6D75BC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（五）甲方及其工作人员不得以任何理由向乙方推荐分包单位或推销材料，不得要求乙方购买合同规定外的材料和设备。</w:t>
      </w:r>
    </w:p>
    <w:p w14:paraId="4028D9D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（六）甲方工作人员要秉公办事，不准营私舞弊，不准利用职权从事各种个人有偿中介活动。</w:t>
      </w:r>
    </w:p>
    <w:p w14:paraId="0C25B6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Cs/>
          <w:color w:val="auto"/>
          <w:highlight w:val="none"/>
        </w:rPr>
        <w:t xml:space="preserve">第三条 </w:t>
      </w:r>
      <w:r>
        <w:rPr>
          <w:rFonts w:hint="eastAsia" w:cs="仿宋_GB2312" w:asciiTheme="minorEastAsia" w:hAnsiTheme="minorEastAsia" w:eastAsiaTheme="minorEastAsia"/>
          <w:color w:val="auto"/>
          <w:highlight w:val="none"/>
        </w:rPr>
        <w:t>乙方义务</w:t>
      </w:r>
    </w:p>
    <w:p w14:paraId="560AAD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（一）乙方不得以任何理由向甲方及其工作人员行贿或馈赠礼金、有价证券、贵重礼品。</w:t>
      </w:r>
    </w:p>
    <w:p w14:paraId="67DC47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（二）乙方不得以任何名义为甲方及其工作人员报销应由甲方单位或个人支付的任何费用。</w:t>
      </w:r>
    </w:p>
    <w:p w14:paraId="376066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（三）乙方不得以任何理由安排甲方工作人员参加超标准宴请及娱乐活动。</w:t>
      </w:r>
    </w:p>
    <w:p w14:paraId="4D3D97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（四）乙方不得为甲方单位和个人购置或提</w:t>
      </w:r>
      <w:r>
        <w:rPr>
          <w:rFonts w:cs="仿宋_GB2312" w:asciiTheme="minorEastAsia" w:hAnsiTheme="minorEastAsia" w:eastAsiaTheme="minorEastAsia"/>
          <w:color w:val="auto"/>
          <w:highlight w:val="none"/>
        </w:rPr>
        <w:t>供</w:t>
      </w:r>
      <w:r>
        <w:rPr>
          <w:rFonts w:hint="eastAsia" w:cs="仿宋_GB2312" w:asciiTheme="minorEastAsia" w:hAnsiTheme="minorEastAsia" w:eastAsiaTheme="minorEastAsia"/>
          <w:color w:val="auto"/>
          <w:highlight w:val="none"/>
        </w:rPr>
        <w:t>通讯工具、交通工具和高档办公用品等。</w:t>
      </w:r>
    </w:p>
    <w:p w14:paraId="0BBBB7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（五）乙方得知甲方从业人员存在通过打招呼、围标、串标等形式非法操纵中标结果，或接受投标人礼品、宴请和其他形式的利益输送等情形的，应及时向甲方有关部门举报，联系电话：</w:t>
      </w:r>
      <w:r>
        <w:rPr>
          <w:rFonts w:cs="仿宋_GB2312" w:asciiTheme="minorEastAsia" w:hAnsiTheme="minorEastAsia" w:eastAsiaTheme="minorEastAsia"/>
          <w:color w:val="auto"/>
          <w:highlight w:val="none"/>
        </w:rPr>
        <w:t>0763-3381997</w:t>
      </w:r>
      <w:r>
        <w:rPr>
          <w:rFonts w:hint="eastAsia" w:cs="仿宋_GB2312" w:asciiTheme="minorEastAsia" w:hAnsiTheme="minorEastAsia" w:eastAsiaTheme="minorEastAsia"/>
          <w:color w:val="auto"/>
          <w:highlight w:val="none"/>
        </w:rPr>
        <w:t>。</w:t>
      </w:r>
    </w:p>
    <w:p w14:paraId="0F43DA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（六）在相关案件查办时，乙方有配合提供证据、作证义务。</w:t>
      </w:r>
    </w:p>
    <w:p w14:paraId="3A3793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（七）</w:t>
      </w:r>
      <w:r>
        <w:rPr>
          <w:rFonts w:hint="eastAsia" w:cs="仿宋_GB2312" w:asciiTheme="minorEastAsia" w:hAnsiTheme="minorEastAsia" w:eastAsiaTheme="minorEastAsia"/>
          <w:color w:val="auto"/>
          <w:spacing w:val="-6"/>
          <w:highlight w:val="none"/>
        </w:rPr>
        <w:t>乙方应诚实守信，遵守市场规则，不得故意隐瞒信息、虚假宣传或提供不真实的产品或服务</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rPr>
        <w:br w:type="textWrapping"/>
      </w:r>
      <w:r>
        <w:rPr>
          <w:rFonts w:hint="eastAsia" w:cs="仿宋_GB2312" w:asciiTheme="minorEastAsia" w:hAnsiTheme="minorEastAsia" w:eastAsiaTheme="minorEastAsia"/>
          <w:color w:val="auto"/>
          <w:highlight w:val="none"/>
          <w:lang w:val="en-US" w:eastAsia="zh-CN"/>
        </w:rPr>
        <w:t xml:space="preserve">    </w:t>
      </w:r>
      <w:r>
        <w:rPr>
          <w:rFonts w:hint="eastAsia" w:cs="仿宋_GB2312" w:asciiTheme="minorEastAsia" w:hAnsiTheme="minorEastAsia" w:eastAsiaTheme="minorEastAsia"/>
          <w:color w:val="auto"/>
          <w:highlight w:val="none"/>
        </w:rPr>
        <w:t>第四条 保密条款</w:t>
      </w:r>
    </w:p>
    <w:p w14:paraId="04DDCCF3">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pacing w:val="-6"/>
          <w:highlight w:val="none"/>
        </w:rPr>
        <w:t>乙方应对采购过程中获取的敏感信息严格保密，不得泄露、篡改或滥用相关信息。</w:t>
      </w:r>
    </w:p>
    <w:p w14:paraId="7EF35E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第五条 违约责任</w:t>
      </w:r>
    </w:p>
    <w:p w14:paraId="3530EF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（一）甲方及其工作人员违反本协议第一、二条，按管理权限，依据有关规定给予党纪、政纪或组织处理；涉嫌犯罪的，移交司法机关追究刑事责任；给乙方单位造成经济损失的，应予以赔偿。</w:t>
      </w:r>
    </w:p>
    <w:p w14:paraId="42DBD5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二）乙方及其工作人员违反本协议第一、三条，按管理权限，依据有关规定给予党纪、政纪组织处理；给甲方单位造成经济损失的，应予以赔偿；情节严重的，甲方有权终止合同及追究责任，并依据烟草行业存在行贿行为供应商管理有关规定给予或提请甲方行业上级单位给予乙方一定时期内不得参加烟草行业采购活动的处罚。</w:t>
      </w:r>
    </w:p>
    <w:p w14:paraId="350BDA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（三）乙方发生拒不配合纪检监察等有关部门调查工作的情形，甲方有权采取警示约谈、降低考核评价分数、降低供货份额、缩短服务期限、终止或解除合同等多种处理措施。</w:t>
      </w:r>
    </w:p>
    <w:p w14:paraId="2155BB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第六条 本合同由双方或双方上级单位的纪检监察或规范管理部门负责监督执行。由甲方或甲方上级单位的纪检监察或规范管理部门约请乙方或乙方上级单位纪检监察机关对本合同执行情况进行检查，提出在本合同规定范围内的裁定意见。</w:t>
      </w:r>
    </w:p>
    <w:p w14:paraId="126CAF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第七条 本合同为采购项目合同补充协议，与主合同具有同等法律效力，甲乙双方签署后生效。本协议有效期为甲乙双方签署之日起至采购项目验收结算后止。</w:t>
      </w:r>
    </w:p>
    <w:p w14:paraId="14B071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第八条 本协议一式贰份，由甲乙双方各执壹份，经协议双方签署立即生效。</w:t>
      </w:r>
    </w:p>
    <w:p w14:paraId="60B3344F">
      <w:pPr>
        <w:ind w:firstLine="420"/>
        <w:rPr>
          <w:rFonts w:ascii="仿宋" w:hAnsi="仿宋" w:eastAsia="仿宋"/>
          <w:color w:val="auto"/>
          <w:highlight w:val="none"/>
        </w:rPr>
      </w:pPr>
    </w:p>
    <w:p w14:paraId="233CF2E9">
      <w:pPr>
        <w:ind w:right="1203" w:firstLine="420"/>
        <w:rPr>
          <w:color w:val="auto"/>
          <w:highlight w:val="none"/>
        </w:rPr>
      </w:pPr>
      <w:r>
        <w:rPr>
          <w:color w:val="auto"/>
          <w:highlight w:val="none"/>
        </w:rPr>
        <mc:AlternateContent>
          <mc:Choice Requires="wpg">
            <w:drawing>
              <wp:anchor distT="0" distB="0" distL="114300" distR="114300" simplePos="0" relativeHeight="251665408" behindDoc="0" locked="0" layoutInCell="1" allowOverlap="1">
                <wp:simplePos x="0" y="0"/>
                <wp:positionH relativeFrom="column">
                  <wp:posOffset>-390525</wp:posOffset>
                </wp:positionH>
                <wp:positionV relativeFrom="paragraph">
                  <wp:posOffset>23495</wp:posOffset>
                </wp:positionV>
                <wp:extent cx="6486525" cy="2529205"/>
                <wp:effectExtent l="0" t="0" r="9525" b="4445"/>
                <wp:wrapNone/>
                <wp:docPr id="1" name="组合 1"/>
                <wp:cNvGraphicFramePr/>
                <a:graphic xmlns:a="http://schemas.openxmlformats.org/drawingml/2006/main">
                  <a:graphicData uri="http://schemas.microsoft.com/office/word/2010/wordprocessingGroup">
                    <wpg:wgp>
                      <wpg:cNvGrpSpPr/>
                      <wpg:grpSpPr>
                        <a:xfrm>
                          <a:off x="0" y="0"/>
                          <a:ext cx="6486525" cy="2529205"/>
                          <a:chOff x="10248" y="111968"/>
                          <a:chExt cx="9450" cy="3983"/>
                        </a:xfrm>
                        <a:effectLst/>
                      </wpg:grpSpPr>
                      <wps:wsp>
                        <wps:cNvPr id="45" name="文本框 45"/>
                        <wps:cNvSpPr txBox="1"/>
                        <wps:spPr>
                          <a:xfrm>
                            <a:off x="10248" y="111982"/>
                            <a:ext cx="4481" cy="3969"/>
                          </a:xfrm>
                          <a:prstGeom prst="rect">
                            <a:avLst/>
                          </a:prstGeom>
                          <a:solidFill>
                            <a:srgbClr val="FFFFFF"/>
                          </a:solidFill>
                          <a:ln w="6350">
                            <a:noFill/>
                          </a:ln>
                          <a:effectLst/>
                        </wps:spPr>
                        <wps:txbx>
                          <w:txbxContent>
                            <w:p w14:paraId="36ED2CC0">
                              <w:pPr>
                                <w:ind w:firstLine="420"/>
                                <w:rPr>
                                  <w:rFonts w:cs="仿宋_GB2312" w:asciiTheme="minorEastAsia" w:hAnsiTheme="minorEastAsia" w:eastAsiaTheme="minorEastAsia"/>
                                </w:rPr>
                              </w:pPr>
                              <w:r>
                                <w:rPr>
                                  <w:rFonts w:hint="eastAsia" w:cs="仿宋_GB2312" w:asciiTheme="minorEastAsia" w:hAnsiTheme="minorEastAsia" w:eastAsiaTheme="minorEastAsia"/>
                                </w:rPr>
                                <w:t>甲方：</w:t>
                              </w:r>
                              <w:r>
                                <w:rPr>
                                  <w:rFonts w:hint="eastAsia" w:cs="仿宋_GB2312" w:asciiTheme="minorEastAsia" w:hAnsiTheme="minorEastAsia" w:eastAsiaTheme="minorEastAsia"/>
                                  <w:lang w:val="en-US" w:eastAsia="zh-CN"/>
                                </w:rPr>
                                <w:t>广东烟草清远市有限公司</w:t>
                              </w:r>
                              <w:r>
                                <w:rPr>
                                  <w:rFonts w:hint="eastAsia" w:cs="仿宋_GB2312" w:asciiTheme="minorEastAsia" w:hAnsiTheme="minorEastAsia" w:eastAsiaTheme="minorEastAsia"/>
                                </w:rPr>
                                <w:t xml:space="preserve"> </w:t>
                              </w:r>
                            </w:p>
                            <w:p w14:paraId="6C8D5FF1">
                              <w:pPr>
                                <w:ind w:firstLine="420"/>
                                <w:rPr>
                                  <w:rFonts w:cs="仿宋_GB2312" w:asciiTheme="minorEastAsia" w:hAnsiTheme="minorEastAsia" w:eastAsiaTheme="minorEastAsia"/>
                                </w:rPr>
                              </w:pPr>
                              <w:r>
                                <w:rPr>
                                  <w:rFonts w:hint="eastAsia" w:cs="仿宋_GB2312" w:asciiTheme="minorEastAsia" w:hAnsiTheme="minorEastAsia" w:eastAsiaTheme="minorEastAsia"/>
                                  <w:bCs/>
                                </w:rPr>
                                <w:t>法定代表人</w:t>
                              </w:r>
                              <w:r>
                                <w:rPr>
                                  <w:rFonts w:hint="eastAsia" w:cs="仿宋_GB2312" w:asciiTheme="minorEastAsia" w:hAnsiTheme="minorEastAsia" w:eastAsiaTheme="minorEastAsia"/>
                                </w:rPr>
                                <w:t>：</w:t>
                              </w:r>
                            </w:p>
                            <w:p w14:paraId="48C138F6">
                              <w:pPr>
                                <w:ind w:firstLine="420"/>
                                <w:rPr>
                                  <w:rFonts w:cs="仿宋_GB2312" w:asciiTheme="minorEastAsia" w:hAnsiTheme="minorEastAsia" w:eastAsiaTheme="minorEastAsia"/>
                                </w:rPr>
                              </w:pPr>
                              <w:r>
                                <w:rPr>
                                  <w:rFonts w:hint="eastAsia" w:cs="仿宋_GB2312" w:asciiTheme="minorEastAsia" w:hAnsiTheme="minorEastAsia" w:eastAsiaTheme="minorEastAsia"/>
                                </w:rPr>
                                <w:t>或</w:t>
                              </w:r>
                            </w:p>
                            <w:p w14:paraId="23F7A191">
                              <w:pPr>
                                <w:ind w:firstLine="420"/>
                                <w:rPr>
                                  <w:rFonts w:cs="仿宋_GB2312" w:asciiTheme="minorEastAsia" w:hAnsiTheme="minorEastAsia" w:eastAsiaTheme="minorEastAsia"/>
                                </w:rPr>
                              </w:pPr>
                              <w:r>
                                <w:rPr>
                                  <w:rFonts w:hint="eastAsia" w:cs="仿宋_GB2312" w:asciiTheme="minorEastAsia" w:hAnsiTheme="minorEastAsia" w:eastAsiaTheme="minorEastAsia"/>
                                </w:rPr>
                                <w:t>委托代理人：</w:t>
                              </w:r>
                            </w:p>
                            <w:p w14:paraId="2CDF4EE4">
                              <w:pPr>
                                <w:ind w:firstLine="420"/>
                                <w:jc w:val="right"/>
                                <w:rPr>
                                  <w:rFonts w:cs="仿宋_GB2312" w:asciiTheme="minorEastAsia" w:hAnsiTheme="minorEastAsia" w:eastAsiaTheme="minorEastAsia"/>
                                </w:rPr>
                              </w:pPr>
                            </w:p>
                            <w:p w14:paraId="497D4DC2">
                              <w:pPr>
                                <w:ind w:firstLine="420"/>
                                <w:rPr>
                                  <w:rFonts w:cs="仿宋_GB2312" w:asciiTheme="minorEastAsia" w:hAnsiTheme="minorEastAsia" w:eastAsiaTheme="minorEastAsia"/>
                                  <w:sz w:val="28"/>
                                  <w:szCs w:val="28"/>
                                </w:rPr>
                              </w:pPr>
                              <w:r>
                                <w:rPr>
                                  <w:rFonts w:hint="eastAsia" w:cs="仿宋_GB2312" w:asciiTheme="minorEastAsia" w:hAnsiTheme="minorEastAsia" w:eastAsiaTheme="minorEastAsia"/>
                                </w:rPr>
                                <w:t>日期：</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2025</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 xml:space="preserve">日 </w:t>
                              </w:r>
                              <w:r>
                                <w:rPr>
                                  <w:rFonts w:hint="eastAsia" w:cs="仿宋_GB2312" w:asciiTheme="minorEastAsia" w:hAnsiTheme="minorEastAsia" w:eastAsiaTheme="minor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14868" y="111968"/>
                            <a:ext cx="4830" cy="3905"/>
                          </a:xfrm>
                          <a:prstGeom prst="rect">
                            <a:avLst/>
                          </a:prstGeom>
                          <a:solidFill>
                            <a:srgbClr val="FFFFFF"/>
                          </a:solidFill>
                          <a:ln w="6350">
                            <a:noFill/>
                          </a:ln>
                          <a:effectLst/>
                        </wps:spPr>
                        <wps:txbx>
                          <w:txbxContent>
                            <w:p w14:paraId="6370DC6F">
                              <w:pPr>
                                <w:ind w:firstLine="420"/>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乙方：</w:t>
                              </w:r>
                              <w:r>
                                <w:rPr>
                                  <w:rFonts w:hint="eastAsia" w:cs="仿宋_GB2312" w:asciiTheme="minorEastAsia" w:hAnsiTheme="minorEastAsia" w:eastAsiaTheme="minorEastAsia"/>
                                  <w:lang w:val="en-US" w:eastAsia="zh-CN"/>
                                </w:rPr>
                                <w:t xml:space="preserve"> </w:t>
                              </w:r>
                            </w:p>
                            <w:p w14:paraId="001FD996">
                              <w:pPr>
                                <w:ind w:firstLine="420"/>
                                <w:rPr>
                                  <w:rFonts w:cs="仿宋_GB2312" w:asciiTheme="minorEastAsia" w:hAnsiTheme="minorEastAsia" w:eastAsiaTheme="minorEastAsia"/>
                                </w:rPr>
                              </w:pPr>
                              <w:r>
                                <w:rPr>
                                  <w:rFonts w:hint="eastAsia" w:cs="仿宋_GB2312" w:asciiTheme="minorEastAsia" w:hAnsiTheme="minorEastAsia" w:eastAsiaTheme="minorEastAsia"/>
                                  <w:bCs/>
                                </w:rPr>
                                <w:t>法定代表人/</w:t>
                              </w:r>
                              <w:r>
                                <w:rPr>
                                  <w:rFonts w:hint="eastAsia" w:cs="仿宋_GB2312" w:asciiTheme="minorEastAsia" w:hAnsiTheme="minorEastAsia" w:eastAsiaTheme="minorEastAsia"/>
                                </w:rPr>
                                <w:t>负责人：</w:t>
                              </w:r>
                            </w:p>
                            <w:p w14:paraId="27573B5C">
                              <w:pPr>
                                <w:ind w:firstLine="420"/>
                                <w:rPr>
                                  <w:rFonts w:cs="仿宋_GB2312" w:asciiTheme="minorEastAsia" w:hAnsiTheme="minorEastAsia" w:eastAsiaTheme="minorEastAsia"/>
                                </w:rPr>
                              </w:pPr>
                              <w:r>
                                <w:rPr>
                                  <w:rFonts w:hint="eastAsia" w:cs="仿宋_GB2312" w:asciiTheme="minorEastAsia" w:hAnsiTheme="minorEastAsia" w:eastAsiaTheme="minorEastAsia"/>
                                </w:rPr>
                                <w:t>或</w:t>
                              </w:r>
                            </w:p>
                            <w:p w14:paraId="02660C0C">
                              <w:pPr>
                                <w:ind w:firstLine="420"/>
                                <w:rPr>
                                  <w:rFonts w:cs="仿宋_GB2312" w:asciiTheme="minorEastAsia" w:hAnsiTheme="minorEastAsia" w:eastAsiaTheme="minorEastAsia"/>
                                </w:rPr>
                              </w:pPr>
                              <w:r>
                                <w:rPr>
                                  <w:rFonts w:hint="eastAsia" w:cs="仿宋_GB2312" w:asciiTheme="minorEastAsia" w:hAnsiTheme="minorEastAsia" w:eastAsiaTheme="minorEastAsia"/>
                                </w:rPr>
                                <w:t>委托代理人：</w:t>
                              </w:r>
                            </w:p>
                            <w:p w14:paraId="49689431">
                              <w:pPr>
                                <w:ind w:firstLine="420"/>
                                <w:jc w:val="right"/>
                                <w:rPr>
                                  <w:rFonts w:cs="仿宋_GB2312" w:asciiTheme="minorEastAsia" w:hAnsiTheme="minorEastAsia" w:eastAsiaTheme="minorEastAsia"/>
                                </w:rPr>
                              </w:pPr>
                            </w:p>
                            <w:p w14:paraId="1D570F8D">
                              <w:pPr>
                                <w:ind w:firstLine="420"/>
                                <w:rPr>
                                  <w:rFonts w:cs="仿宋_GB2312" w:asciiTheme="minorEastAsia" w:hAnsiTheme="minorEastAsia" w:eastAsiaTheme="minorEastAsia"/>
                                </w:rPr>
                              </w:pPr>
                              <w:r>
                                <w:rPr>
                                  <w:rFonts w:hint="eastAsia" w:cs="仿宋_GB2312" w:asciiTheme="minorEastAsia" w:hAnsiTheme="minorEastAsia" w:eastAsiaTheme="minorEastAsia"/>
                                </w:rPr>
                                <w:t>日期：</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2025</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日</w:t>
                              </w:r>
                            </w:p>
                            <w:p w14:paraId="7A8D9B81">
                              <w:pPr>
                                <w:pStyle w:val="2"/>
                              </w:pPr>
                            </w:p>
                            <w:p w14:paraId="098D54AD">
                              <w:pPr>
                                <w:ind w:firstLine="560"/>
                                <w:jc w:val="right"/>
                                <w:rPr>
                                  <w:rFonts w:ascii="仿宋_GB2312" w:hAnsi="仿宋_GB2312" w:eastAsia="仿宋_GB2312" w:cs="仿宋_GB2312"/>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75pt;margin-top:1.85pt;height:199.15pt;width:510.75pt;z-index:251665408;mso-width-relative:page;mso-height-relative:page;" coordorigin="10248,111968" coordsize="9450,3983" o:gfxdata="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YTMDQ2gAA&#10;AAkBAAAPAAAAAAAAAAEAIAAAACIAAABkcnMvZG93bnJldi54bWxQSwECFAAUAAAACACHTuJALITq&#10;NwADAACqCAAADgAAAAAAAAABACAAAAApAQAAZHJzL2Uyb0RvYy54bWxQSwUGAAAAAAYABgBZAQAA&#10;mwYAAAAA&#10;">
                <o:lock v:ext="edit" aspectratio="f"/>
                <v:shape id="_x0000_s1026" o:spid="_x0000_s1026" o:spt="202" type="#_x0000_t202" style="position:absolute;left:10248;top:111982;height:3969;width:4481;" fillcolor="#FFFFFF" filled="t" stroked="f" coordsize="21600,21600" o:gfxdata="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0JjO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36ED2CC0">
                        <w:pPr>
                          <w:ind w:firstLine="420"/>
                          <w:rPr>
                            <w:rFonts w:cs="仿宋_GB2312" w:asciiTheme="minorEastAsia" w:hAnsiTheme="minorEastAsia" w:eastAsiaTheme="minorEastAsia"/>
                          </w:rPr>
                        </w:pPr>
                        <w:r>
                          <w:rPr>
                            <w:rFonts w:hint="eastAsia" w:cs="仿宋_GB2312" w:asciiTheme="minorEastAsia" w:hAnsiTheme="minorEastAsia" w:eastAsiaTheme="minorEastAsia"/>
                          </w:rPr>
                          <w:t>甲方：</w:t>
                        </w:r>
                        <w:r>
                          <w:rPr>
                            <w:rFonts w:hint="eastAsia" w:cs="仿宋_GB2312" w:asciiTheme="minorEastAsia" w:hAnsiTheme="minorEastAsia" w:eastAsiaTheme="minorEastAsia"/>
                            <w:lang w:val="en-US" w:eastAsia="zh-CN"/>
                          </w:rPr>
                          <w:t>广东烟草清远市有限公司</w:t>
                        </w:r>
                        <w:r>
                          <w:rPr>
                            <w:rFonts w:hint="eastAsia" w:cs="仿宋_GB2312" w:asciiTheme="minorEastAsia" w:hAnsiTheme="minorEastAsia" w:eastAsiaTheme="minorEastAsia"/>
                          </w:rPr>
                          <w:t xml:space="preserve"> </w:t>
                        </w:r>
                      </w:p>
                      <w:p w14:paraId="6C8D5FF1">
                        <w:pPr>
                          <w:ind w:firstLine="420"/>
                          <w:rPr>
                            <w:rFonts w:cs="仿宋_GB2312" w:asciiTheme="minorEastAsia" w:hAnsiTheme="minorEastAsia" w:eastAsiaTheme="minorEastAsia"/>
                          </w:rPr>
                        </w:pPr>
                        <w:r>
                          <w:rPr>
                            <w:rFonts w:hint="eastAsia" w:cs="仿宋_GB2312" w:asciiTheme="minorEastAsia" w:hAnsiTheme="minorEastAsia" w:eastAsiaTheme="minorEastAsia"/>
                            <w:bCs/>
                          </w:rPr>
                          <w:t>法定代表人</w:t>
                        </w:r>
                        <w:r>
                          <w:rPr>
                            <w:rFonts w:hint="eastAsia" w:cs="仿宋_GB2312" w:asciiTheme="minorEastAsia" w:hAnsiTheme="minorEastAsia" w:eastAsiaTheme="minorEastAsia"/>
                          </w:rPr>
                          <w:t>：</w:t>
                        </w:r>
                      </w:p>
                      <w:p w14:paraId="48C138F6">
                        <w:pPr>
                          <w:ind w:firstLine="420"/>
                          <w:rPr>
                            <w:rFonts w:cs="仿宋_GB2312" w:asciiTheme="minorEastAsia" w:hAnsiTheme="minorEastAsia" w:eastAsiaTheme="minorEastAsia"/>
                          </w:rPr>
                        </w:pPr>
                        <w:r>
                          <w:rPr>
                            <w:rFonts w:hint="eastAsia" w:cs="仿宋_GB2312" w:asciiTheme="minorEastAsia" w:hAnsiTheme="minorEastAsia" w:eastAsiaTheme="minorEastAsia"/>
                          </w:rPr>
                          <w:t>或</w:t>
                        </w:r>
                      </w:p>
                      <w:p w14:paraId="23F7A191">
                        <w:pPr>
                          <w:ind w:firstLine="420"/>
                          <w:rPr>
                            <w:rFonts w:cs="仿宋_GB2312" w:asciiTheme="minorEastAsia" w:hAnsiTheme="minorEastAsia" w:eastAsiaTheme="minorEastAsia"/>
                          </w:rPr>
                        </w:pPr>
                        <w:r>
                          <w:rPr>
                            <w:rFonts w:hint="eastAsia" w:cs="仿宋_GB2312" w:asciiTheme="minorEastAsia" w:hAnsiTheme="minorEastAsia" w:eastAsiaTheme="minorEastAsia"/>
                          </w:rPr>
                          <w:t>委托代理人：</w:t>
                        </w:r>
                      </w:p>
                      <w:p w14:paraId="2CDF4EE4">
                        <w:pPr>
                          <w:ind w:firstLine="420"/>
                          <w:jc w:val="right"/>
                          <w:rPr>
                            <w:rFonts w:cs="仿宋_GB2312" w:asciiTheme="minorEastAsia" w:hAnsiTheme="minorEastAsia" w:eastAsiaTheme="minorEastAsia"/>
                          </w:rPr>
                        </w:pPr>
                      </w:p>
                      <w:p w14:paraId="497D4DC2">
                        <w:pPr>
                          <w:ind w:firstLine="420"/>
                          <w:rPr>
                            <w:rFonts w:cs="仿宋_GB2312" w:asciiTheme="minorEastAsia" w:hAnsiTheme="minorEastAsia" w:eastAsiaTheme="minorEastAsia"/>
                            <w:sz w:val="28"/>
                            <w:szCs w:val="28"/>
                          </w:rPr>
                        </w:pPr>
                        <w:r>
                          <w:rPr>
                            <w:rFonts w:hint="eastAsia" w:cs="仿宋_GB2312" w:asciiTheme="minorEastAsia" w:hAnsiTheme="minorEastAsia" w:eastAsiaTheme="minorEastAsia"/>
                          </w:rPr>
                          <w:t>日期：</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2025</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 xml:space="preserve">日 </w:t>
                        </w:r>
                        <w:r>
                          <w:rPr>
                            <w:rFonts w:hint="eastAsia" w:cs="仿宋_GB2312" w:asciiTheme="minorEastAsia" w:hAnsiTheme="minorEastAsia" w:eastAsiaTheme="minorEastAsia"/>
                            <w:sz w:val="28"/>
                            <w:szCs w:val="28"/>
                          </w:rPr>
                          <w:t xml:space="preserve"> </w:t>
                        </w:r>
                      </w:p>
                    </w:txbxContent>
                  </v:textbox>
                </v:shape>
                <v:shape id="_x0000_s1026" o:spid="_x0000_s1026" o:spt="202" type="#_x0000_t202" style="position:absolute;left:14868;top:111968;height:3905;width:4830;" fillcolor="#FFFFFF" filled="t" stroked="f" coordsize="21600,21600" o:gfxdata="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mu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14:paraId="6370DC6F">
                        <w:pPr>
                          <w:ind w:firstLine="420"/>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乙方：</w:t>
                        </w:r>
                        <w:r>
                          <w:rPr>
                            <w:rFonts w:hint="eastAsia" w:cs="仿宋_GB2312" w:asciiTheme="minorEastAsia" w:hAnsiTheme="minorEastAsia" w:eastAsiaTheme="minorEastAsia"/>
                            <w:lang w:val="en-US" w:eastAsia="zh-CN"/>
                          </w:rPr>
                          <w:t xml:space="preserve"> </w:t>
                        </w:r>
                      </w:p>
                      <w:p w14:paraId="001FD996">
                        <w:pPr>
                          <w:ind w:firstLine="420"/>
                          <w:rPr>
                            <w:rFonts w:cs="仿宋_GB2312" w:asciiTheme="minorEastAsia" w:hAnsiTheme="minorEastAsia" w:eastAsiaTheme="minorEastAsia"/>
                          </w:rPr>
                        </w:pPr>
                        <w:r>
                          <w:rPr>
                            <w:rFonts w:hint="eastAsia" w:cs="仿宋_GB2312" w:asciiTheme="minorEastAsia" w:hAnsiTheme="minorEastAsia" w:eastAsiaTheme="minorEastAsia"/>
                            <w:bCs/>
                          </w:rPr>
                          <w:t>法定代表人/</w:t>
                        </w:r>
                        <w:r>
                          <w:rPr>
                            <w:rFonts w:hint="eastAsia" w:cs="仿宋_GB2312" w:asciiTheme="minorEastAsia" w:hAnsiTheme="minorEastAsia" w:eastAsiaTheme="minorEastAsia"/>
                          </w:rPr>
                          <w:t>负责人：</w:t>
                        </w:r>
                      </w:p>
                      <w:p w14:paraId="27573B5C">
                        <w:pPr>
                          <w:ind w:firstLine="420"/>
                          <w:rPr>
                            <w:rFonts w:cs="仿宋_GB2312" w:asciiTheme="minorEastAsia" w:hAnsiTheme="minorEastAsia" w:eastAsiaTheme="minorEastAsia"/>
                          </w:rPr>
                        </w:pPr>
                        <w:r>
                          <w:rPr>
                            <w:rFonts w:hint="eastAsia" w:cs="仿宋_GB2312" w:asciiTheme="minorEastAsia" w:hAnsiTheme="minorEastAsia" w:eastAsiaTheme="minorEastAsia"/>
                          </w:rPr>
                          <w:t>或</w:t>
                        </w:r>
                      </w:p>
                      <w:p w14:paraId="02660C0C">
                        <w:pPr>
                          <w:ind w:firstLine="420"/>
                          <w:rPr>
                            <w:rFonts w:cs="仿宋_GB2312" w:asciiTheme="minorEastAsia" w:hAnsiTheme="minorEastAsia" w:eastAsiaTheme="minorEastAsia"/>
                          </w:rPr>
                        </w:pPr>
                        <w:r>
                          <w:rPr>
                            <w:rFonts w:hint="eastAsia" w:cs="仿宋_GB2312" w:asciiTheme="minorEastAsia" w:hAnsiTheme="minorEastAsia" w:eastAsiaTheme="minorEastAsia"/>
                          </w:rPr>
                          <w:t>委托代理人：</w:t>
                        </w:r>
                      </w:p>
                      <w:p w14:paraId="49689431">
                        <w:pPr>
                          <w:ind w:firstLine="420"/>
                          <w:jc w:val="right"/>
                          <w:rPr>
                            <w:rFonts w:cs="仿宋_GB2312" w:asciiTheme="minorEastAsia" w:hAnsiTheme="minorEastAsia" w:eastAsiaTheme="minorEastAsia"/>
                          </w:rPr>
                        </w:pPr>
                      </w:p>
                      <w:p w14:paraId="1D570F8D">
                        <w:pPr>
                          <w:ind w:firstLine="420"/>
                          <w:rPr>
                            <w:rFonts w:cs="仿宋_GB2312" w:asciiTheme="minorEastAsia" w:hAnsiTheme="minorEastAsia" w:eastAsiaTheme="minorEastAsia"/>
                          </w:rPr>
                        </w:pPr>
                        <w:r>
                          <w:rPr>
                            <w:rFonts w:hint="eastAsia" w:cs="仿宋_GB2312" w:asciiTheme="minorEastAsia" w:hAnsiTheme="minorEastAsia" w:eastAsiaTheme="minorEastAsia"/>
                          </w:rPr>
                          <w:t>日期：</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2025</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日</w:t>
                        </w:r>
                      </w:p>
                      <w:p w14:paraId="7A8D9B81">
                        <w:pPr>
                          <w:pStyle w:val="2"/>
                        </w:pPr>
                      </w:p>
                      <w:p w14:paraId="098D54AD">
                        <w:pPr>
                          <w:ind w:firstLine="560"/>
                          <w:jc w:val="right"/>
                          <w:rPr>
                            <w:rFonts w:ascii="仿宋_GB2312" w:hAnsi="仿宋_GB2312" w:eastAsia="仿宋_GB2312" w:cs="仿宋_GB2312"/>
                            <w:sz w:val="28"/>
                            <w:szCs w:val="28"/>
                          </w:rPr>
                        </w:pPr>
                      </w:p>
                    </w:txbxContent>
                  </v:textbox>
                </v:shape>
              </v:group>
            </w:pict>
          </mc:Fallback>
        </mc:AlternateContent>
      </w:r>
    </w:p>
    <w:p w14:paraId="36FBC12C">
      <w:pPr>
        <w:ind w:right="1203" w:firstLine="420"/>
        <w:rPr>
          <w:color w:val="auto"/>
          <w:highlight w:val="none"/>
        </w:rPr>
      </w:pPr>
    </w:p>
    <w:p w14:paraId="1A7673E3">
      <w:pPr>
        <w:ind w:firstLine="420"/>
        <w:rPr>
          <w:rFonts w:ascii="Calibri"/>
          <w:color w:val="auto"/>
          <w:highlight w:val="none"/>
        </w:rPr>
      </w:pPr>
    </w:p>
    <w:p w14:paraId="1561F4EF">
      <w:pPr>
        <w:pStyle w:val="43"/>
        <w:ind w:left="0" w:leftChars="0"/>
        <w:rPr>
          <w:color w:val="auto"/>
          <w:sz w:val="21"/>
          <w:highlight w:val="none"/>
        </w:rPr>
      </w:pPr>
    </w:p>
    <w:p w14:paraId="20640634">
      <w:pPr>
        <w:ind w:firstLine="0" w:firstLineChars="0"/>
        <w:jc w:val="center"/>
        <w:rPr>
          <w:color w:val="auto"/>
          <w:highlight w:val="none"/>
        </w:rPr>
      </w:pPr>
    </w:p>
    <w:p w14:paraId="500E6D0D">
      <w:pPr>
        <w:ind w:firstLine="420"/>
        <w:rPr>
          <w:color w:val="auto"/>
          <w:highlight w:val="none"/>
        </w:rPr>
      </w:pPr>
    </w:p>
    <w:p w14:paraId="52F2B83D">
      <w:pPr>
        <w:ind w:firstLine="420"/>
        <w:rPr>
          <w:color w:val="auto"/>
          <w:highlight w:val="none"/>
        </w:rPr>
      </w:pPr>
    </w:p>
    <w:p w14:paraId="0541E3D8">
      <w:pPr>
        <w:ind w:firstLine="420"/>
        <w:rPr>
          <w:color w:val="auto"/>
          <w:highlight w:val="none"/>
        </w:rPr>
      </w:pPr>
    </w:p>
    <w:p w14:paraId="67892127">
      <w:pPr>
        <w:ind w:firstLine="420"/>
        <w:rPr>
          <w:color w:val="auto"/>
          <w:highlight w:val="none"/>
        </w:rPr>
      </w:pPr>
    </w:p>
    <w:p w14:paraId="0CB3C7EB">
      <w:pPr>
        <w:ind w:firstLine="440"/>
        <w:rPr>
          <w:color w:val="auto"/>
          <w:sz w:val="22"/>
          <w:szCs w:val="22"/>
          <w:highlight w:val="none"/>
        </w:rPr>
      </w:pPr>
    </w:p>
    <w:p w14:paraId="31B6CE6C">
      <w:pPr>
        <w:tabs>
          <w:tab w:val="left" w:pos="435"/>
        </w:tabs>
        <w:ind w:firstLine="0" w:firstLineChars="0"/>
        <w:rPr>
          <w:color w:val="auto"/>
          <w:sz w:val="22"/>
          <w:szCs w:val="22"/>
          <w:highlight w:val="none"/>
        </w:rPr>
      </w:pPr>
      <w:r>
        <w:rPr>
          <w:color w:val="auto"/>
          <w:sz w:val="22"/>
          <w:szCs w:val="22"/>
          <w:highlight w:val="none"/>
        </w:rPr>
        <w:tab/>
      </w:r>
    </w:p>
    <w:p w14:paraId="5FCBEFC5">
      <w:pPr>
        <w:rPr>
          <w:color w:val="auto"/>
          <w:highlight w:val="none"/>
        </w:rPr>
      </w:pPr>
    </w:p>
    <w:p w14:paraId="6FECD1DC">
      <w:pPr>
        <w:pStyle w:val="3"/>
        <w:jc w:val="center"/>
        <w:rPr>
          <w:rFonts w:ascii="楷体" w:hAnsi="楷体" w:eastAsia="楷体" w:cs="楷体"/>
          <w:color w:val="auto"/>
          <w:highlight w:val="none"/>
        </w:rPr>
      </w:pPr>
    </w:p>
    <w:p w14:paraId="332D5AC6">
      <w:pPr>
        <w:rPr>
          <w:rFonts w:ascii="楷体" w:hAnsi="楷体" w:eastAsia="楷体" w:cs="楷体"/>
          <w:color w:val="auto"/>
          <w:highlight w:val="none"/>
        </w:rPr>
      </w:pPr>
      <w:r>
        <w:rPr>
          <w:rFonts w:ascii="楷体" w:hAnsi="楷体" w:eastAsia="楷体" w:cs="楷体"/>
          <w:color w:val="auto"/>
          <w:highlight w:val="none"/>
        </w:rPr>
        <w:br w:type="page"/>
      </w:r>
    </w:p>
    <w:p w14:paraId="6D02C18C">
      <w:pPr>
        <w:rPr>
          <w:color w:val="auto"/>
          <w:highlight w:val="none"/>
        </w:rPr>
      </w:pPr>
    </w:p>
    <w:p w14:paraId="19174D98">
      <w:pPr>
        <w:pStyle w:val="2"/>
        <w:rPr>
          <w:color w:val="auto"/>
          <w:highlight w:val="none"/>
        </w:rPr>
      </w:pPr>
    </w:p>
    <w:p w14:paraId="09BA2BD3">
      <w:pPr>
        <w:pStyle w:val="2"/>
        <w:rPr>
          <w:color w:val="auto"/>
          <w:highlight w:val="none"/>
        </w:rPr>
      </w:pPr>
    </w:p>
    <w:p w14:paraId="7F76CC33">
      <w:pPr>
        <w:pStyle w:val="2"/>
        <w:rPr>
          <w:color w:val="auto"/>
          <w:highlight w:val="none"/>
        </w:rPr>
      </w:pPr>
    </w:p>
    <w:p w14:paraId="6EB11B4D">
      <w:pPr>
        <w:pStyle w:val="2"/>
        <w:rPr>
          <w:color w:val="auto"/>
          <w:highlight w:val="none"/>
        </w:rPr>
      </w:pPr>
    </w:p>
    <w:p w14:paraId="0893ABE0">
      <w:pPr>
        <w:pStyle w:val="2"/>
        <w:rPr>
          <w:color w:val="auto"/>
          <w:highlight w:val="none"/>
        </w:rPr>
      </w:pPr>
    </w:p>
    <w:p w14:paraId="335F37EB">
      <w:pPr>
        <w:pStyle w:val="2"/>
        <w:rPr>
          <w:color w:val="auto"/>
          <w:highlight w:val="none"/>
        </w:rPr>
      </w:pPr>
    </w:p>
    <w:p w14:paraId="3B022A57">
      <w:pPr>
        <w:pStyle w:val="2"/>
        <w:rPr>
          <w:color w:val="auto"/>
          <w:highlight w:val="none"/>
        </w:rPr>
      </w:pPr>
    </w:p>
    <w:p w14:paraId="153D1D92">
      <w:pPr>
        <w:pStyle w:val="2"/>
        <w:rPr>
          <w:color w:val="auto"/>
          <w:highlight w:val="none"/>
        </w:rPr>
      </w:pPr>
    </w:p>
    <w:p w14:paraId="04A2A1C9">
      <w:pPr>
        <w:pStyle w:val="3"/>
        <w:jc w:val="center"/>
        <w:rPr>
          <w:rFonts w:ascii="楷体" w:hAnsi="楷体" w:eastAsia="楷体" w:cs="楷体"/>
          <w:color w:val="auto"/>
          <w:highlight w:val="none"/>
        </w:rPr>
      </w:pPr>
    </w:p>
    <w:p w14:paraId="7A1EA1A9">
      <w:pPr>
        <w:pStyle w:val="3"/>
        <w:jc w:val="center"/>
        <w:rPr>
          <w:rFonts w:ascii="楷体" w:hAnsi="楷体" w:eastAsia="楷体" w:cs="楷体"/>
          <w:color w:val="auto"/>
          <w:highlight w:val="none"/>
        </w:rPr>
      </w:pPr>
      <w:r>
        <w:rPr>
          <w:rFonts w:hint="eastAsia" w:ascii="楷体" w:hAnsi="楷体" w:eastAsia="楷体" w:cs="楷体"/>
          <w:color w:val="auto"/>
          <w:highlight w:val="none"/>
        </w:rPr>
        <w:t>第六章投标文件</w:t>
      </w:r>
      <w:bookmarkEnd w:id="348"/>
      <w:bookmarkEnd w:id="349"/>
      <w:bookmarkEnd w:id="350"/>
      <w:bookmarkEnd w:id="351"/>
      <w:bookmarkEnd w:id="352"/>
      <w:r>
        <w:rPr>
          <w:rFonts w:hint="eastAsia" w:ascii="楷体" w:hAnsi="楷体" w:eastAsia="楷体" w:cs="楷体"/>
          <w:color w:val="auto"/>
          <w:highlight w:val="none"/>
        </w:rPr>
        <w:t>格式</w:t>
      </w:r>
      <w:bookmarkEnd w:id="353"/>
      <w:bookmarkEnd w:id="354"/>
      <w:bookmarkEnd w:id="355"/>
      <w:bookmarkEnd w:id="356"/>
      <w:bookmarkEnd w:id="357"/>
      <w:bookmarkEnd w:id="358"/>
      <w:bookmarkEnd w:id="359"/>
      <w:bookmarkEnd w:id="360"/>
      <w:bookmarkEnd w:id="361"/>
      <w:bookmarkEnd w:id="362"/>
    </w:p>
    <w:p w14:paraId="756F75B6">
      <w:pPr>
        <w:jc w:val="center"/>
        <w:rPr>
          <w:rFonts w:ascii="楷体" w:hAnsi="楷体" w:eastAsia="楷体" w:cs="楷体"/>
          <w:color w:val="auto"/>
          <w:highlight w:val="none"/>
        </w:rPr>
      </w:pPr>
      <w:r>
        <w:rPr>
          <w:rFonts w:hint="eastAsia" w:ascii="楷体" w:hAnsi="楷体" w:eastAsia="楷体" w:cs="楷体"/>
          <w:color w:val="auto"/>
          <w:highlight w:val="none"/>
        </w:rPr>
        <w:br w:type="page"/>
      </w:r>
      <w:bookmarkStart w:id="363" w:name="_Toc182886663"/>
      <w:bookmarkStart w:id="364" w:name="_Toc196294633"/>
      <w:bookmarkStart w:id="365" w:name="_Toc183316723"/>
    </w:p>
    <w:p w14:paraId="4BC05796">
      <w:pPr>
        <w:jc w:val="center"/>
        <w:rPr>
          <w:rFonts w:ascii="楷体" w:hAnsi="楷体" w:eastAsia="楷体" w:cs="楷体"/>
          <w:color w:val="auto"/>
          <w:sz w:val="57"/>
          <w:highlight w:val="none"/>
        </w:rPr>
      </w:pPr>
    </w:p>
    <w:p w14:paraId="2D72B2BD">
      <w:pPr>
        <w:pStyle w:val="70"/>
        <w:rPr>
          <w:rFonts w:ascii="楷体" w:hAnsi="楷体" w:eastAsia="楷体" w:cs="楷体"/>
          <w:color w:val="auto"/>
          <w:highlight w:val="none"/>
        </w:rPr>
      </w:pPr>
    </w:p>
    <w:p w14:paraId="2C517667">
      <w:pPr>
        <w:pStyle w:val="70"/>
        <w:rPr>
          <w:rFonts w:ascii="楷体" w:hAnsi="楷体" w:eastAsia="楷体" w:cs="楷体"/>
          <w:color w:val="auto"/>
          <w:highlight w:val="none"/>
        </w:rPr>
      </w:pPr>
    </w:p>
    <w:p w14:paraId="005FF557">
      <w:pPr>
        <w:jc w:val="center"/>
        <w:rPr>
          <w:rFonts w:ascii="楷体" w:hAnsi="楷体" w:eastAsia="楷体" w:cs="楷体"/>
          <w:color w:val="auto"/>
          <w:sz w:val="57"/>
          <w:highlight w:val="none"/>
        </w:rPr>
      </w:pPr>
    </w:p>
    <w:p w14:paraId="584855B1">
      <w:pPr>
        <w:jc w:val="center"/>
        <w:rPr>
          <w:rFonts w:ascii="楷体" w:hAnsi="楷体" w:eastAsia="楷体" w:cs="楷体"/>
          <w:b/>
          <w:bCs/>
          <w:color w:val="auto"/>
          <w:sz w:val="57"/>
          <w:highlight w:val="none"/>
        </w:rPr>
      </w:pPr>
      <w:r>
        <w:rPr>
          <w:rFonts w:hint="eastAsia" w:ascii="楷体" w:hAnsi="楷体" w:eastAsia="楷体" w:cs="楷体"/>
          <w:b/>
          <w:bCs/>
          <w:color w:val="auto"/>
          <w:sz w:val="57"/>
          <w:highlight w:val="none"/>
        </w:rPr>
        <w:t>投标文件</w:t>
      </w:r>
    </w:p>
    <w:p w14:paraId="7D0C4DAA">
      <w:pPr>
        <w:jc w:val="center"/>
        <w:rPr>
          <w:rFonts w:ascii="楷体" w:hAnsi="楷体" w:eastAsia="楷体" w:cs="楷体"/>
          <w:color w:val="auto"/>
          <w:sz w:val="57"/>
          <w:highlight w:val="none"/>
        </w:rPr>
      </w:pPr>
    </w:p>
    <w:p w14:paraId="2B6C923C">
      <w:pPr>
        <w:jc w:val="center"/>
        <w:rPr>
          <w:rFonts w:ascii="楷体" w:hAnsi="楷体" w:eastAsia="楷体" w:cs="楷体"/>
          <w:color w:val="auto"/>
          <w:sz w:val="47"/>
          <w:highlight w:val="none"/>
        </w:rPr>
      </w:pPr>
      <w:r>
        <w:rPr>
          <w:rFonts w:hint="eastAsia" w:ascii="楷体" w:hAnsi="楷体" w:eastAsia="楷体" w:cs="楷体"/>
          <w:color w:val="auto"/>
          <w:sz w:val="47"/>
          <w:highlight w:val="none"/>
        </w:rPr>
        <w:t>（正本）</w:t>
      </w:r>
    </w:p>
    <w:p w14:paraId="00F7ED5F">
      <w:pPr>
        <w:rPr>
          <w:rFonts w:ascii="楷体" w:hAnsi="楷体" w:eastAsia="楷体" w:cs="楷体"/>
          <w:color w:val="auto"/>
          <w:highlight w:val="none"/>
        </w:rPr>
      </w:pPr>
    </w:p>
    <w:p w14:paraId="311A5958">
      <w:pPr>
        <w:rPr>
          <w:rFonts w:ascii="楷体" w:hAnsi="楷体" w:eastAsia="楷体" w:cs="楷体"/>
          <w:color w:val="auto"/>
          <w:highlight w:val="none"/>
        </w:rPr>
      </w:pPr>
    </w:p>
    <w:p w14:paraId="480EE78A">
      <w:pPr>
        <w:rPr>
          <w:rFonts w:ascii="楷体" w:hAnsi="楷体" w:eastAsia="楷体" w:cs="楷体"/>
          <w:color w:val="auto"/>
          <w:highlight w:val="none"/>
        </w:rPr>
      </w:pPr>
    </w:p>
    <w:p w14:paraId="765EEC9E">
      <w:pPr>
        <w:rPr>
          <w:rFonts w:ascii="楷体" w:hAnsi="楷体" w:eastAsia="楷体" w:cs="楷体"/>
          <w:color w:val="auto"/>
          <w:highlight w:val="none"/>
        </w:rPr>
      </w:pPr>
    </w:p>
    <w:p w14:paraId="238C8FB1">
      <w:pPr>
        <w:adjustRightInd w:val="0"/>
        <w:snapToGrid w:val="0"/>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项目名称： </w:t>
      </w:r>
    </w:p>
    <w:p w14:paraId="7AF8A2AF">
      <w:pPr>
        <w:adjustRightInd w:val="0"/>
        <w:snapToGrid w:val="0"/>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项目编号： </w:t>
      </w:r>
    </w:p>
    <w:p w14:paraId="66FE044B">
      <w:pPr>
        <w:adjustRightInd w:val="0"/>
        <w:snapToGrid w:val="0"/>
        <w:spacing w:line="360" w:lineRule="auto"/>
        <w:rPr>
          <w:rFonts w:ascii="楷体" w:hAnsi="楷体" w:eastAsia="楷体" w:cs="楷体"/>
          <w:color w:val="auto"/>
          <w:sz w:val="28"/>
          <w:szCs w:val="28"/>
          <w:highlight w:val="none"/>
        </w:rPr>
      </w:pPr>
    </w:p>
    <w:p w14:paraId="11C831B3">
      <w:pPr>
        <w:adjustRightInd w:val="0"/>
        <w:snapToGrid w:val="0"/>
        <w:spacing w:line="360" w:lineRule="auto"/>
        <w:rPr>
          <w:rFonts w:ascii="楷体" w:hAnsi="楷体" w:eastAsia="楷体" w:cs="楷体"/>
          <w:color w:val="auto"/>
          <w:sz w:val="28"/>
          <w:szCs w:val="28"/>
          <w:highlight w:val="none"/>
        </w:rPr>
      </w:pPr>
    </w:p>
    <w:p w14:paraId="34F18403">
      <w:pPr>
        <w:adjustRightInd w:val="0"/>
        <w:snapToGrid w:val="0"/>
        <w:spacing w:line="360" w:lineRule="auto"/>
        <w:rPr>
          <w:rFonts w:ascii="楷体" w:hAnsi="楷体" w:eastAsia="楷体" w:cs="楷体"/>
          <w:color w:val="auto"/>
          <w:sz w:val="28"/>
          <w:szCs w:val="28"/>
          <w:highlight w:val="none"/>
        </w:rPr>
      </w:pPr>
    </w:p>
    <w:p w14:paraId="3557F0A7">
      <w:pPr>
        <w:adjustRightInd w:val="0"/>
        <w:snapToGrid w:val="0"/>
        <w:spacing w:line="360" w:lineRule="auto"/>
        <w:rPr>
          <w:rFonts w:ascii="楷体" w:hAnsi="楷体" w:eastAsia="楷体" w:cs="楷体"/>
          <w:color w:val="auto"/>
          <w:sz w:val="28"/>
          <w:szCs w:val="28"/>
          <w:highlight w:val="none"/>
        </w:rPr>
      </w:pPr>
    </w:p>
    <w:p w14:paraId="0AAF7774">
      <w:pPr>
        <w:pStyle w:val="70"/>
        <w:rPr>
          <w:rFonts w:ascii="楷体" w:hAnsi="楷体" w:eastAsia="楷体" w:cs="楷体"/>
          <w:color w:val="auto"/>
          <w:highlight w:val="none"/>
        </w:rPr>
      </w:pPr>
    </w:p>
    <w:p w14:paraId="13F04925">
      <w:pPr>
        <w:adjustRightInd w:val="0"/>
        <w:snapToGrid w:val="0"/>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投标供应商（服务商）名称（盖章）：                </w:t>
      </w:r>
    </w:p>
    <w:p w14:paraId="6F429C26">
      <w:pPr>
        <w:adjustRightInd w:val="0"/>
        <w:snapToGrid w:val="0"/>
        <w:spacing w:line="360" w:lineRule="auto"/>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日期： 年 月 日</w:t>
      </w:r>
    </w:p>
    <w:p w14:paraId="6C2F5204">
      <w:pPr>
        <w:adjustRightInd w:val="0"/>
        <w:snapToGrid w:val="0"/>
        <w:spacing w:line="360" w:lineRule="auto"/>
        <w:rPr>
          <w:rFonts w:ascii="楷体" w:hAnsi="楷体" w:eastAsia="楷体" w:cs="楷体"/>
          <w:color w:val="auto"/>
          <w:sz w:val="28"/>
          <w:szCs w:val="28"/>
          <w:highlight w:val="none"/>
        </w:rPr>
      </w:pPr>
    </w:p>
    <w:p w14:paraId="15BF5325">
      <w:pPr>
        <w:adjustRightInd w:val="0"/>
        <w:snapToGrid w:val="0"/>
        <w:spacing w:line="360" w:lineRule="auto"/>
        <w:rPr>
          <w:rFonts w:ascii="楷体" w:hAnsi="楷体" w:eastAsia="楷体" w:cs="楷体"/>
          <w:color w:val="auto"/>
          <w:sz w:val="28"/>
          <w:szCs w:val="28"/>
          <w:highlight w:val="none"/>
        </w:rPr>
      </w:pPr>
    </w:p>
    <w:p w14:paraId="279DE04D">
      <w:pPr>
        <w:adjustRightInd w:val="0"/>
        <w:snapToGrid w:val="0"/>
        <w:spacing w:line="360" w:lineRule="auto"/>
        <w:rPr>
          <w:rFonts w:ascii="楷体" w:hAnsi="楷体" w:eastAsia="楷体" w:cs="楷体"/>
          <w:color w:val="auto"/>
          <w:sz w:val="28"/>
          <w:szCs w:val="28"/>
          <w:highlight w:val="none"/>
        </w:rPr>
      </w:pPr>
    </w:p>
    <w:p w14:paraId="4724A388">
      <w:pPr>
        <w:adjustRightInd w:val="0"/>
        <w:snapToGrid w:val="0"/>
        <w:spacing w:line="360" w:lineRule="auto"/>
        <w:rPr>
          <w:rFonts w:ascii="楷体" w:hAnsi="楷体" w:eastAsia="楷体" w:cs="楷体"/>
          <w:color w:val="auto"/>
          <w:sz w:val="28"/>
          <w:szCs w:val="28"/>
          <w:highlight w:val="none"/>
        </w:rPr>
      </w:pPr>
    </w:p>
    <w:bookmarkEnd w:id="363"/>
    <w:bookmarkEnd w:id="364"/>
    <w:bookmarkEnd w:id="365"/>
    <w:p w14:paraId="657B8823">
      <w:pPr>
        <w:spacing w:before="72" w:after="72" w:line="400" w:lineRule="exact"/>
        <w:rPr>
          <w:rFonts w:ascii="楷体" w:hAnsi="楷体" w:eastAsia="楷体" w:cs="楷体"/>
          <w:b/>
          <w:color w:val="auto"/>
          <w:sz w:val="24"/>
          <w:highlight w:val="none"/>
        </w:rPr>
      </w:pPr>
      <w:bookmarkStart w:id="366" w:name="_Toc26694"/>
    </w:p>
    <w:p w14:paraId="35DE24BB">
      <w:pPr>
        <w:spacing w:before="72" w:after="72" w:line="400" w:lineRule="exact"/>
        <w:rPr>
          <w:rFonts w:ascii="楷体" w:hAnsi="楷体" w:eastAsia="楷体" w:cs="楷体"/>
          <w:b/>
          <w:color w:val="auto"/>
          <w:sz w:val="24"/>
          <w:highlight w:val="none"/>
        </w:rPr>
      </w:pPr>
    </w:p>
    <w:p w14:paraId="40DD18D2">
      <w:pPr>
        <w:spacing w:before="72" w:after="72" w:line="400" w:lineRule="exact"/>
        <w:rPr>
          <w:rFonts w:ascii="楷体" w:hAnsi="楷体" w:eastAsia="楷体" w:cs="楷体"/>
          <w:b/>
          <w:color w:val="auto"/>
          <w:sz w:val="24"/>
          <w:highlight w:val="none"/>
        </w:rPr>
      </w:pPr>
    </w:p>
    <w:p w14:paraId="6A78902E">
      <w:pPr>
        <w:spacing w:before="72" w:after="72" w:line="400" w:lineRule="exact"/>
        <w:rPr>
          <w:rFonts w:ascii="楷体" w:hAnsi="楷体" w:eastAsia="楷体" w:cs="楷体"/>
          <w:b/>
          <w:color w:val="auto"/>
          <w:sz w:val="24"/>
          <w:highlight w:val="none"/>
        </w:rPr>
      </w:pPr>
    </w:p>
    <w:p w14:paraId="036E7426">
      <w:pPr>
        <w:spacing w:before="72" w:after="72" w:line="400" w:lineRule="exact"/>
        <w:rPr>
          <w:rFonts w:ascii="楷体" w:hAnsi="楷体" w:eastAsia="楷体" w:cs="楷体"/>
          <w:b/>
          <w:color w:val="auto"/>
          <w:sz w:val="24"/>
          <w:highlight w:val="none"/>
        </w:rPr>
      </w:pPr>
    </w:p>
    <w:p w14:paraId="137DF9CD">
      <w:pPr>
        <w:spacing w:before="72" w:after="72" w:line="400" w:lineRule="exact"/>
        <w:rPr>
          <w:rFonts w:ascii="楷体" w:hAnsi="楷体" w:eastAsia="楷体" w:cs="楷体"/>
          <w:b/>
          <w:color w:val="auto"/>
          <w:sz w:val="24"/>
          <w:highlight w:val="none"/>
        </w:rPr>
      </w:pPr>
    </w:p>
    <w:p w14:paraId="0ED27F04">
      <w:pPr>
        <w:spacing w:before="72" w:after="72" w:line="400" w:lineRule="exact"/>
        <w:rPr>
          <w:rFonts w:ascii="楷体" w:hAnsi="楷体" w:eastAsia="楷体" w:cs="楷体"/>
          <w:b/>
          <w:color w:val="auto"/>
          <w:sz w:val="24"/>
          <w:highlight w:val="none"/>
        </w:rPr>
      </w:pPr>
    </w:p>
    <w:p w14:paraId="57CDDA3B">
      <w:pPr>
        <w:spacing w:before="72" w:after="72" w:line="400" w:lineRule="exact"/>
        <w:rPr>
          <w:rFonts w:ascii="楷体" w:hAnsi="楷体" w:eastAsia="楷体" w:cs="楷体"/>
          <w:b/>
          <w:color w:val="auto"/>
          <w:sz w:val="24"/>
          <w:highlight w:val="none"/>
        </w:rPr>
      </w:pPr>
    </w:p>
    <w:p w14:paraId="6A5C4B01">
      <w:pPr>
        <w:spacing w:before="72" w:after="72" w:line="400" w:lineRule="exact"/>
        <w:rPr>
          <w:rFonts w:ascii="楷体" w:hAnsi="楷体" w:eastAsia="楷体" w:cs="楷体"/>
          <w:b/>
          <w:color w:val="auto"/>
          <w:sz w:val="24"/>
          <w:highlight w:val="none"/>
        </w:rPr>
      </w:pPr>
    </w:p>
    <w:p w14:paraId="1F3421F5">
      <w:pPr>
        <w:spacing w:before="72" w:after="72" w:line="400" w:lineRule="exact"/>
        <w:rPr>
          <w:rFonts w:ascii="楷体" w:hAnsi="楷体" w:eastAsia="楷体" w:cs="楷体"/>
          <w:b/>
          <w:color w:val="auto"/>
          <w:sz w:val="24"/>
          <w:highlight w:val="none"/>
        </w:rPr>
      </w:pPr>
    </w:p>
    <w:p w14:paraId="1656783B">
      <w:pPr>
        <w:pStyle w:val="70"/>
        <w:rPr>
          <w:rFonts w:ascii="楷体" w:hAnsi="楷体" w:eastAsia="楷体" w:cs="楷体"/>
          <w:b/>
          <w:color w:val="auto"/>
          <w:sz w:val="24"/>
          <w:highlight w:val="none"/>
        </w:rPr>
      </w:pPr>
    </w:p>
    <w:p w14:paraId="6310A747">
      <w:pPr>
        <w:pStyle w:val="35"/>
        <w:rPr>
          <w:rFonts w:ascii="楷体" w:hAnsi="楷体" w:eastAsia="楷体" w:cs="楷体"/>
          <w:color w:val="auto"/>
          <w:highlight w:val="none"/>
        </w:rPr>
      </w:pPr>
    </w:p>
    <w:p w14:paraId="31C345E6">
      <w:pPr>
        <w:spacing w:before="72" w:after="72" w:line="400" w:lineRule="exact"/>
        <w:rPr>
          <w:rFonts w:ascii="楷体" w:hAnsi="楷体" w:eastAsia="楷体" w:cs="楷体"/>
          <w:b/>
          <w:color w:val="auto"/>
          <w:sz w:val="24"/>
          <w:highlight w:val="none"/>
        </w:rPr>
      </w:pPr>
    </w:p>
    <w:p w14:paraId="0B25F79F">
      <w:pPr>
        <w:spacing w:before="72" w:after="72" w:line="400" w:lineRule="exact"/>
        <w:rPr>
          <w:rFonts w:ascii="楷体" w:hAnsi="楷体" w:eastAsia="楷体" w:cs="楷体"/>
          <w:b/>
          <w:color w:val="auto"/>
          <w:sz w:val="24"/>
          <w:highlight w:val="none"/>
        </w:rPr>
      </w:pPr>
    </w:p>
    <w:p w14:paraId="37A5A83D">
      <w:pPr>
        <w:rPr>
          <w:rFonts w:ascii="楷体" w:hAnsi="楷体" w:eastAsia="楷体" w:cs="楷体"/>
          <w:color w:val="auto"/>
          <w:highlight w:val="none"/>
        </w:rPr>
      </w:pPr>
    </w:p>
    <w:p w14:paraId="06D5B3DE">
      <w:pPr>
        <w:rPr>
          <w:rFonts w:ascii="楷体" w:hAnsi="楷体" w:eastAsia="楷体" w:cs="楷体"/>
          <w:color w:val="auto"/>
          <w:highlight w:val="none"/>
        </w:rPr>
      </w:pPr>
    </w:p>
    <w:p w14:paraId="7FAFDBEE">
      <w:pPr>
        <w:pStyle w:val="4"/>
        <w:jc w:val="center"/>
        <w:rPr>
          <w:rFonts w:ascii="楷体" w:hAnsi="楷体" w:eastAsia="楷体" w:cs="楷体"/>
          <w:color w:val="auto"/>
          <w:sz w:val="44"/>
          <w:szCs w:val="44"/>
          <w:highlight w:val="none"/>
        </w:rPr>
      </w:pPr>
      <w:bookmarkStart w:id="367" w:name="_Toc13566"/>
      <w:bookmarkStart w:id="368" w:name="_Toc3326"/>
      <w:bookmarkStart w:id="369" w:name="_Toc25819"/>
      <w:bookmarkStart w:id="370" w:name="_Toc27544"/>
      <w:bookmarkStart w:id="371" w:name="_Toc17761"/>
      <w:bookmarkStart w:id="372" w:name="_Toc7080"/>
      <w:r>
        <w:rPr>
          <w:rFonts w:hint="eastAsia" w:ascii="楷体" w:hAnsi="楷体" w:eastAsia="楷体" w:cs="楷体"/>
          <w:color w:val="auto"/>
          <w:sz w:val="44"/>
          <w:szCs w:val="44"/>
          <w:highlight w:val="none"/>
        </w:rPr>
        <w:t>第一部分自查表</w:t>
      </w:r>
      <w:bookmarkEnd w:id="367"/>
      <w:bookmarkEnd w:id="368"/>
      <w:bookmarkEnd w:id="369"/>
      <w:bookmarkEnd w:id="370"/>
      <w:bookmarkEnd w:id="371"/>
      <w:bookmarkEnd w:id="372"/>
    </w:p>
    <w:p w14:paraId="0CA86B49">
      <w:pPr>
        <w:widowControl/>
        <w:jc w:val="left"/>
        <w:rPr>
          <w:rFonts w:ascii="楷体" w:hAnsi="楷体" w:eastAsia="楷体" w:cs="楷体"/>
          <w:b/>
          <w:bCs/>
          <w:color w:val="auto"/>
          <w:sz w:val="32"/>
          <w:szCs w:val="32"/>
          <w:highlight w:val="none"/>
        </w:rPr>
      </w:pPr>
      <w:r>
        <w:rPr>
          <w:rFonts w:hint="eastAsia" w:ascii="楷体" w:hAnsi="楷体" w:eastAsia="楷体" w:cs="楷体"/>
          <w:color w:val="auto"/>
          <w:highlight w:val="none"/>
        </w:rPr>
        <w:br w:type="page"/>
      </w:r>
      <w:bookmarkStart w:id="373" w:name="_Toc1771"/>
    </w:p>
    <w:p w14:paraId="7D90FE93">
      <w:pPr>
        <w:pStyle w:val="5"/>
        <w:numPr>
          <w:ilvl w:val="0"/>
          <w:numId w:val="69"/>
        </w:numPr>
        <w:spacing w:before="0" w:after="0" w:line="360" w:lineRule="auto"/>
        <w:jc w:val="center"/>
        <w:rPr>
          <w:rFonts w:ascii="楷体" w:hAnsi="楷体" w:eastAsia="楷体" w:cs="楷体"/>
          <w:color w:val="auto"/>
          <w:highlight w:val="none"/>
        </w:rPr>
      </w:pPr>
      <w:bookmarkStart w:id="374" w:name="_Toc3527"/>
      <w:bookmarkStart w:id="375" w:name="_Toc29231"/>
      <w:bookmarkStart w:id="376" w:name="_Toc13073"/>
      <w:bookmarkStart w:id="377" w:name="_Toc31260"/>
      <w:bookmarkStart w:id="378" w:name="_Toc20969"/>
      <w:r>
        <w:rPr>
          <w:rFonts w:hint="eastAsia" w:ascii="楷体" w:hAnsi="楷体" w:eastAsia="楷体" w:cs="楷体"/>
          <w:color w:val="auto"/>
          <w:highlight w:val="none"/>
        </w:rPr>
        <w:t>资格性审查及符合性审查自查表</w:t>
      </w:r>
      <w:bookmarkEnd w:id="366"/>
      <w:bookmarkEnd w:id="373"/>
      <w:bookmarkEnd w:id="374"/>
      <w:bookmarkEnd w:id="375"/>
      <w:bookmarkEnd w:id="376"/>
      <w:bookmarkEnd w:id="377"/>
      <w:bookmarkEnd w:id="378"/>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3388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11CEA7CE">
            <w:pPr>
              <w:adjustRightInd w:val="0"/>
              <w:snapToGrid w:val="0"/>
              <w:ind w:left="40" w:leftChars="19"/>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评审内容</w:t>
            </w:r>
          </w:p>
        </w:tc>
        <w:tc>
          <w:tcPr>
            <w:tcW w:w="1649" w:type="pct"/>
            <w:shd w:val="clear" w:color="auto" w:fill="EEECE1"/>
            <w:vAlign w:val="center"/>
          </w:tcPr>
          <w:p w14:paraId="60B82397">
            <w:pPr>
              <w:adjustRightInd w:val="0"/>
              <w:snapToGrid w:val="0"/>
              <w:ind w:left="40" w:leftChars="19"/>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招标文件要求</w:t>
            </w:r>
          </w:p>
        </w:tc>
        <w:tc>
          <w:tcPr>
            <w:tcW w:w="781" w:type="pct"/>
            <w:shd w:val="clear" w:color="auto" w:fill="EEECE1"/>
            <w:vAlign w:val="center"/>
          </w:tcPr>
          <w:p w14:paraId="36AC8B7A">
            <w:pPr>
              <w:adjustRightInd w:val="0"/>
              <w:snapToGrid w:val="0"/>
              <w:ind w:left="-171"/>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自查结论</w:t>
            </w:r>
          </w:p>
        </w:tc>
        <w:tc>
          <w:tcPr>
            <w:tcW w:w="884" w:type="pct"/>
            <w:shd w:val="clear" w:color="auto" w:fill="EEECE1"/>
            <w:vAlign w:val="center"/>
          </w:tcPr>
          <w:p w14:paraId="3D9AA772">
            <w:pPr>
              <w:adjustRightInd w:val="0"/>
              <w:snapToGrid w:val="0"/>
              <w:ind w:left="-171"/>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证明材料</w:t>
            </w:r>
          </w:p>
          <w:p w14:paraId="7501F30B">
            <w:pPr>
              <w:adjustRightInd w:val="0"/>
              <w:snapToGrid w:val="0"/>
              <w:ind w:left="-171"/>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对应页码</w:t>
            </w:r>
          </w:p>
        </w:tc>
      </w:tr>
      <w:tr w14:paraId="6E6C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5FBA65DA">
            <w:pPr>
              <w:adjustRightInd w:val="0"/>
              <w:snapToGrid w:val="0"/>
              <w:jc w:val="center"/>
              <w:rPr>
                <w:rFonts w:ascii="楷体" w:hAnsi="楷体" w:eastAsia="楷体" w:cs="楷体"/>
                <w:color w:val="auto"/>
                <w:sz w:val="24"/>
                <w:highlight w:val="none"/>
              </w:rPr>
            </w:pPr>
            <w:r>
              <w:rPr>
                <w:rFonts w:hint="eastAsia" w:ascii="楷体" w:hAnsi="楷体" w:eastAsia="楷体" w:cs="楷体"/>
                <w:color w:val="auto"/>
                <w:sz w:val="24"/>
                <w:highlight w:val="none"/>
              </w:rPr>
              <w:t>资格性审查</w:t>
            </w:r>
          </w:p>
        </w:tc>
        <w:tc>
          <w:tcPr>
            <w:tcW w:w="1274" w:type="pct"/>
            <w:vAlign w:val="center"/>
          </w:tcPr>
          <w:p w14:paraId="04D9E5C3">
            <w:pPr>
              <w:jc w:val="center"/>
              <w:rPr>
                <w:rFonts w:ascii="楷体" w:hAnsi="楷体" w:eastAsia="楷体" w:cs="楷体"/>
                <w:color w:val="auto"/>
                <w:sz w:val="24"/>
                <w:highlight w:val="none"/>
              </w:rPr>
            </w:pPr>
            <w:r>
              <w:rPr>
                <w:rFonts w:hint="eastAsia" w:ascii="楷体" w:hAnsi="楷体" w:eastAsia="楷体" w:cs="楷体"/>
                <w:color w:val="auto"/>
                <w:sz w:val="24"/>
                <w:highlight w:val="none"/>
                <w:lang w:eastAsia="en-US"/>
              </w:rPr>
              <w:t>合格投标人</w:t>
            </w:r>
          </w:p>
        </w:tc>
        <w:tc>
          <w:tcPr>
            <w:tcW w:w="1649" w:type="pct"/>
            <w:vAlign w:val="center"/>
          </w:tcPr>
          <w:p w14:paraId="68B70990">
            <w:pPr>
              <w:jc w:val="left"/>
              <w:rPr>
                <w:rFonts w:ascii="楷体" w:hAnsi="楷体" w:eastAsia="楷体" w:cs="楷体"/>
                <w:color w:val="auto"/>
                <w:sz w:val="24"/>
                <w:highlight w:val="none"/>
              </w:rPr>
            </w:pPr>
            <w:r>
              <w:rPr>
                <w:rFonts w:hint="eastAsia" w:ascii="楷体" w:hAnsi="楷体" w:eastAsia="楷体" w:cs="楷体"/>
                <w:color w:val="auto"/>
                <w:sz w:val="24"/>
                <w:highlight w:val="none"/>
              </w:rPr>
              <w:t>详见投标邀请函中“供应商（服务商）资格”相应条款</w:t>
            </w:r>
          </w:p>
        </w:tc>
        <w:tc>
          <w:tcPr>
            <w:tcW w:w="781" w:type="pct"/>
            <w:vAlign w:val="center"/>
          </w:tcPr>
          <w:p w14:paraId="3DE50372">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75FC4C85">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3A078BCD">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5002DAD9">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743B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6945EC08">
            <w:pPr>
              <w:adjustRightInd w:val="0"/>
              <w:snapToGrid w:val="0"/>
              <w:jc w:val="center"/>
              <w:rPr>
                <w:rFonts w:ascii="楷体" w:hAnsi="楷体" w:eastAsia="楷体" w:cs="楷体"/>
                <w:color w:val="auto"/>
                <w:highlight w:val="none"/>
              </w:rPr>
            </w:pPr>
            <w:r>
              <w:rPr>
                <w:rFonts w:hint="eastAsia" w:ascii="楷体" w:hAnsi="楷体" w:eastAsia="楷体" w:cs="楷体"/>
                <w:color w:val="auto"/>
                <w:sz w:val="24"/>
                <w:highlight w:val="none"/>
              </w:rPr>
              <w:t>符合性审查</w:t>
            </w:r>
          </w:p>
        </w:tc>
        <w:tc>
          <w:tcPr>
            <w:tcW w:w="1274" w:type="pct"/>
            <w:vAlign w:val="center"/>
          </w:tcPr>
          <w:p w14:paraId="0145CB47">
            <w:pPr>
              <w:jc w:val="center"/>
              <w:rPr>
                <w:rFonts w:ascii="楷体" w:hAnsi="楷体" w:eastAsia="楷体" w:cs="楷体"/>
                <w:color w:val="auto"/>
                <w:highlight w:val="none"/>
              </w:rPr>
            </w:pPr>
            <w:r>
              <w:rPr>
                <w:rFonts w:hint="eastAsia" w:ascii="楷体" w:hAnsi="楷体" w:eastAsia="楷体" w:cs="楷体"/>
                <w:color w:val="auto"/>
                <w:sz w:val="24"/>
                <w:highlight w:val="none"/>
                <w:lang w:eastAsia="en-US"/>
              </w:rPr>
              <w:t>投标函</w:t>
            </w:r>
          </w:p>
        </w:tc>
        <w:tc>
          <w:tcPr>
            <w:tcW w:w="1649" w:type="pct"/>
            <w:vAlign w:val="center"/>
          </w:tcPr>
          <w:p w14:paraId="0E1AED8E">
            <w:pPr>
              <w:jc w:val="left"/>
              <w:rPr>
                <w:rFonts w:ascii="楷体" w:hAnsi="楷体" w:eastAsia="楷体" w:cs="楷体"/>
                <w:color w:val="auto"/>
                <w:highlight w:val="none"/>
              </w:rPr>
            </w:pPr>
            <w:r>
              <w:rPr>
                <w:rFonts w:hint="eastAsia" w:ascii="楷体" w:hAnsi="楷体" w:eastAsia="楷体" w:cs="楷体"/>
                <w:color w:val="auto"/>
                <w:sz w:val="24"/>
                <w:highlight w:val="none"/>
              </w:rPr>
              <w:t>按对应格式文件填写、签署、盖章</w:t>
            </w:r>
          </w:p>
        </w:tc>
        <w:tc>
          <w:tcPr>
            <w:tcW w:w="781" w:type="pct"/>
            <w:vAlign w:val="center"/>
          </w:tcPr>
          <w:p w14:paraId="0194F8FB">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1CFD1705">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1317CD00">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0FEE2F71">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4A26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5CB44C6">
            <w:pPr>
              <w:adjustRightInd w:val="0"/>
              <w:snapToGrid w:val="0"/>
              <w:jc w:val="center"/>
              <w:rPr>
                <w:rFonts w:ascii="楷体" w:hAnsi="楷体" w:eastAsia="楷体" w:cs="楷体"/>
                <w:color w:val="auto"/>
                <w:highlight w:val="none"/>
              </w:rPr>
            </w:pPr>
          </w:p>
        </w:tc>
        <w:tc>
          <w:tcPr>
            <w:tcW w:w="1274" w:type="pct"/>
            <w:vAlign w:val="center"/>
          </w:tcPr>
          <w:p w14:paraId="5101AD15">
            <w:pPr>
              <w:jc w:val="center"/>
              <w:rPr>
                <w:rFonts w:ascii="楷体" w:hAnsi="楷体" w:eastAsia="楷体" w:cs="楷体"/>
                <w:color w:val="auto"/>
                <w:sz w:val="24"/>
                <w:highlight w:val="none"/>
              </w:rPr>
            </w:pPr>
            <w:r>
              <w:rPr>
                <w:rFonts w:hint="eastAsia" w:ascii="楷体" w:hAnsi="楷体" w:eastAsia="楷体" w:cs="楷体"/>
                <w:color w:val="auto"/>
                <w:sz w:val="24"/>
                <w:highlight w:val="none"/>
              </w:rPr>
              <w:t>法定代表人证明书及法定代表人授权委托书</w:t>
            </w:r>
          </w:p>
        </w:tc>
        <w:tc>
          <w:tcPr>
            <w:tcW w:w="1649" w:type="pct"/>
            <w:vAlign w:val="center"/>
          </w:tcPr>
          <w:p w14:paraId="61997A38">
            <w:pPr>
              <w:jc w:val="left"/>
              <w:rPr>
                <w:rFonts w:ascii="楷体" w:hAnsi="楷体" w:eastAsia="楷体" w:cs="楷体"/>
                <w:color w:val="auto"/>
                <w:sz w:val="24"/>
                <w:highlight w:val="none"/>
              </w:rPr>
            </w:pPr>
            <w:r>
              <w:rPr>
                <w:rFonts w:hint="eastAsia" w:ascii="楷体" w:hAnsi="楷体" w:eastAsia="楷体" w:cs="楷体"/>
                <w:color w:val="auto"/>
                <w:sz w:val="24"/>
                <w:highlight w:val="none"/>
              </w:rPr>
              <w:t>按对应格式文件签署、盖章</w:t>
            </w:r>
          </w:p>
        </w:tc>
        <w:tc>
          <w:tcPr>
            <w:tcW w:w="781" w:type="pct"/>
            <w:vAlign w:val="center"/>
          </w:tcPr>
          <w:p w14:paraId="2FD03A4E">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0A209F3F">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79E891DD">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597A4A23">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5BFA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2A879CBE">
            <w:pPr>
              <w:adjustRightInd w:val="0"/>
              <w:snapToGrid w:val="0"/>
              <w:jc w:val="center"/>
              <w:rPr>
                <w:rFonts w:ascii="楷体" w:hAnsi="楷体" w:eastAsia="楷体" w:cs="楷体"/>
                <w:color w:val="auto"/>
                <w:highlight w:val="none"/>
              </w:rPr>
            </w:pPr>
          </w:p>
        </w:tc>
        <w:tc>
          <w:tcPr>
            <w:tcW w:w="1274" w:type="pct"/>
            <w:vMerge w:val="restart"/>
            <w:vAlign w:val="center"/>
          </w:tcPr>
          <w:p w14:paraId="425D814B">
            <w:pPr>
              <w:jc w:val="center"/>
              <w:rPr>
                <w:rFonts w:ascii="楷体" w:hAnsi="楷体" w:eastAsia="楷体" w:cs="楷体"/>
                <w:color w:val="auto"/>
                <w:sz w:val="24"/>
                <w:highlight w:val="none"/>
              </w:rPr>
            </w:pPr>
            <w:r>
              <w:rPr>
                <w:rFonts w:hint="eastAsia" w:ascii="楷体" w:hAnsi="楷体" w:eastAsia="楷体" w:cs="楷体"/>
                <w:color w:val="auto"/>
                <w:sz w:val="24"/>
                <w:highlight w:val="none"/>
                <w:lang w:eastAsia="en-US"/>
              </w:rPr>
              <w:t>报价要求</w:t>
            </w:r>
          </w:p>
        </w:tc>
        <w:tc>
          <w:tcPr>
            <w:tcW w:w="1649" w:type="pct"/>
            <w:vAlign w:val="center"/>
          </w:tcPr>
          <w:p w14:paraId="28617E74">
            <w:pPr>
              <w:jc w:val="left"/>
              <w:rPr>
                <w:rFonts w:ascii="楷体" w:hAnsi="楷体" w:eastAsia="楷体" w:cs="楷体"/>
                <w:color w:val="auto"/>
                <w:sz w:val="24"/>
                <w:highlight w:val="none"/>
              </w:rPr>
            </w:pPr>
            <w:r>
              <w:rPr>
                <w:rFonts w:hint="eastAsia" w:ascii="楷体" w:hAnsi="楷体" w:eastAsia="楷体" w:cs="楷体"/>
                <w:color w:val="auto"/>
                <w:sz w:val="24"/>
                <w:highlight w:val="none"/>
              </w:rPr>
              <w:t>投标报价是固定价且是唯一的，投标报价未超出最高限价。</w:t>
            </w:r>
          </w:p>
        </w:tc>
        <w:tc>
          <w:tcPr>
            <w:tcW w:w="781" w:type="pct"/>
            <w:vAlign w:val="center"/>
          </w:tcPr>
          <w:p w14:paraId="40C62EC3">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26FC7105">
            <w:pPr>
              <w:adjustRightInd w:val="0"/>
              <w:snapToGrid w:val="0"/>
              <w:rPr>
                <w:rFonts w:ascii="楷体" w:hAnsi="楷体" w:eastAsia="楷体" w:cs="楷体"/>
                <w:color w:val="auto"/>
                <w:highlight w:val="none"/>
              </w:rPr>
            </w:pPr>
            <w:r>
              <w:rPr>
                <w:rFonts w:hint="eastAsia" w:ascii="楷体" w:hAnsi="楷体" w:eastAsia="楷体" w:cs="楷体"/>
                <w:color w:val="auto"/>
                <w:sz w:val="24"/>
                <w:highlight w:val="none"/>
              </w:rPr>
              <w:t>□不通过</w:t>
            </w:r>
          </w:p>
        </w:tc>
        <w:tc>
          <w:tcPr>
            <w:tcW w:w="884" w:type="pct"/>
            <w:vAlign w:val="center"/>
          </w:tcPr>
          <w:p w14:paraId="49D76179">
            <w:pPr>
              <w:adjustRightInd w:val="0"/>
              <w:snapToGrid w:val="0"/>
              <w:ind w:left="-171"/>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0DE83001">
            <w:pPr>
              <w:adjustRightInd w:val="0"/>
              <w:snapToGrid w:val="0"/>
              <w:ind w:left="-171"/>
              <w:jc w:val="center"/>
              <w:rPr>
                <w:rFonts w:ascii="楷体" w:hAnsi="楷体" w:eastAsia="楷体" w:cs="楷体"/>
                <w:color w:val="auto"/>
                <w:highlight w:val="none"/>
              </w:rPr>
            </w:pPr>
            <w:r>
              <w:rPr>
                <w:rFonts w:hint="eastAsia" w:ascii="楷体" w:hAnsi="楷体" w:eastAsia="楷体" w:cs="楷体"/>
                <w:color w:val="auto"/>
                <w:sz w:val="24"/>
                <w:highlight w:val="none"/>
              </w:rPr>
              <w:t>第（）页</w:t>
            </w:r>
          </w:p>
        </w:tc>
      </w:tr>
      <w:tr w14:paraId="113A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CFA98E9">
            <w:pPr>
              <w:adjustRightInd w:val="0"/>
              <w:snapToGrid w:val="0"/>
              <w:jc w:val="center"/>
              <w:rPr>
                <w:rFonts w:ascii="楷体" w:hAnsi="楷体" w:eastAsia="楷体" w:cs="楷体"/>
                <w:color w:val="auto"/>
                <w:highlight w:val="none"/>
              </w:rPr>
            </w:pPr>
          </w:p>
        </w:tc>
        <w:tc>
          <w:tcPr>
            <w:tcW w:w="1274" w:type="pct"/>
            <w:vMerge w:val="continue"/>
            <w:vAlign w:val="center"/>
          </w:tcPr>
          <w:p w14:paraId="663CF86E">
            <w:pPr>
              <w:jc w:val="center"/>
              <w:rPr>
                <w:rFonts w:ascii="楷体" w:hAnsi="楷体" w:eastAsia="楷体" w:cs="楷体"/>
                <w:color w:val="auto"/>
                <w:sz w:val="24"/>
                <w:highlight w:val="none"/>
              </w:rPr>
            </w:pPr>
          </w:p>
        </w:tc>
        <w:tc>
          <w:tcPr>
            <w:tcW w:w="1649" w:type="pct"/>
            <w:vAlign w:val="center"/>
          </w:tcPr>
          <w:p w14:paraId="7A1CE1C4">
            <w:pPr>
              <w:jc w:val="left"/>
              <w:rPr>
                <w:rFonts w:ascii="楷体" w:hAnsi="楷体" w:eastAsia="楷体" w:cs="楷体"/>
                <w:color w:val="auto"/>
                <w:kern w:val="28"/>
                <w:sz w:val="24"/>
                <w:highlight w:val="none"/>
              </w:rPr>
            </w:pPr>
            <w:r>
              <w:rPr>
                <w:rFonts w:hint="eastAsia" w:ascii="楷体" w:hAnsi="楷体" w:eastAsia="楷体" w:cs="楷体"/>
                <w:color w:val="auto"/>
                <w:sz w:val="24"/>
                <w:highlight w:val="none"/>
              </w:rPr>
              <w:t>投标人的报价明显低于其他通过符合性审查投标人的报价，评标委员会有权要求投标人在规定时间内提供书面说明或提供相关证明材料，否则视为无效投标。</w:t>
            </w:r>
          </w:p>
        </w:tc>
        <w:tc>
          <w:tcPr>
            <w:tcW w:w="781" w:type="pct"/>
            <w:vAlign w:val="center"/>
          </w:tcPr>
          <w:p w14:paraId="4C949A37">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17F0B5B5">
            <w:pPr>
              <w:adjustRightInd w:val="0"/>
              <w:snapToGrid w:val="0"/>
              <w:rPr>
                <w:rFonts w:ascii="楷体" w:hAnsi="楷体" w:eastAsia="楷体" w:cs="楷体"/>
                <w:color w:val="auto"/>
                <w:highlight w:val="none"/>
              </w:rPr>
            </w:pPr>
            <w:r>
              <w:rPr>
                <w:rFonts w:hint="eastAsia" w:ascii="楷体" w:hAnsi="楷体" w:eastAsia="楷体" w:cs="楷体"/>
                <w:color w:val="auto"/>
                <w:sz w:val="24"/>
                <w:highlight w:val="none"/>
              </w:rPr>
              <w:t>□不通过</w:t>
            </w:r>
          </w:p>
        </w:tc>
        <w:tc>
          <w:tcPr>
            <w:tcW w:w="884" w:type="pct"/>
            <w:vAlign w:val="center"/>
          </w:tcPr>
          <w:p w14:paraId="20A3DA75">
            <w:pPr>
              <w:adjustRightInd w:val="0"/>
              <w:snapToGrid w:val="0"/>
              <w:ind w:left="-171"/>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12BD1818">
            <w:pPr>
              <w:adjustRightInd w:val="0"/>
              <w:snapToGrid w:val="0"/>
              <w:ind w:left="-171"/>
              <w:jc w:val="center"/>
              <w:rPr>
                <w:rFonts w:ascii="楷体" w:hAnsi="楷体" w:eastAsia="楷体" w:cs="楷体"/>
                <w:color w:val="auto"/>
                <w:highlight w:val="none"/>
              </w:rPr>
            </w:pPr>
            <w:r>
              <w:rPr>
                <w:rFonts w:hint="eastAsia" w:ascii="楷体" w:hAnsi="楷体" w:eastAsia="楷体" w:cs="楷体"/>
                <w:color w:val="auto"/>
                <w:sz w:val="24"/>
                <w:highlight w:val="none"/>
              </w:rPr>
              <w:t>第（）页</w:t>
            </w:r>
          </w:p>
        </w:tc>
      </w:tr>
      <w:tr w14:paraId="6F8C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78A38AD">
            <w:pPr>
              <w:adjustRightInd w:val="0"/>
              <w:snapToGrid w:val="0"/>
              <w:jc w:val="center"/>
              <w:rPr>
                <w:rFonts w:ascii="楷体" w:hAnsi="楷体" w:eastAsia="楷体" w:cs="楷体"/>
                <w:color w:val="auto"/>
                <w:highlight w:val="none"/>
              </w:rPr>
            </w:pPr>
          </w:p>
        </w:tc>
        <w:tc>
          <w:tcPr>
            <w:tcW w:w="1274" w:type="pct"/>
            <w:vMerge w:val="continue"/>
            <w:vAlign w:val="center"/>
          </w:tcPr>
          <w:p w14:paraId="235D5FB0">
            <w:pPr>
              <w:jc w:val="center"/>
              <w:rPr>
                <w:rFonts w:ascii="楷体" w:hAnsi="楷体" w:eastAsia="楷体" w:cs="楷体"/>
                <w:color w:val="auto"/>
                <w:sz w:val="24"/>
                <w:highlight w:val="none"/>
              </w:rPr>
            </w:pPr>
          </w:p>
        </w:tc>
        <w:tc>
          <w:tcPr>
            <w:tcW w:w="1649" w:type="pct"/>
            <w:vAlign w:val="center"/>
          </w:tcPr>
          <w:p w14:paraId="200978B3">
            <w:pPr>
              <w:jc w:val="left"/>
              <w:rPr>
                <w:rFonts w:ascii="楷体" w:hAnsi="楷体" w:eastAsia="楷体" w:cs="楷体"/>
                <w:color w:val="auto"/>
                <w:sz w:val="24"/>
                <w:highlight w:val="none"/>
              </w:rPr>
            </w:pPr>
            <w:r>
              <w:rPr>
                <w:rFonts w:hint="eastAsia" w:ascii="楷体" w:hAnsi="楷体" w:eastAsia="楷体" w:cs="楷体"/>
                <w:color w:val="auto"/>
                <w:sz w:val="24"/>
                <w:highlight w:val="none"/>
              </w:rPr>
              <w:t>招标文件不接受提交备选方案。</w:t>
            </w:r>
          </w:p>
        </w:tc>
        <w:tc>
          <w:tcPr>
            <w:tcW w:w="781" w:type="pct"/>
            <w:vAlign w:val="center"/>
          </w:tcPr>
          <w:p w14:paraId="67B6075E">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0C0B4420">
            <w:pPr>
              <w:adjustRightInd w:val="0"/>
              <w:snapToGrid w:val="0"/>
              <w:rPr>
                <w:rFonts w:ascii="楷体" w:hAnsi="楷体" w:eastAsia="楷体" w:cs="楷体"/>
                <w:color w:val="auto"/>
                <w:highlight w:val="none"/>
              </w:rPr>
            </w:pPr>
            <w:r>
              <w:rPr>
                <w:rFonts w:hint="eastAsia" w:ascii="楷体" w:hAnsi="楷体" w:eastAsia="楷体" w:cs="楷体"/>
                <w:color w:val="auto"/>
                <w:sz w:val="24"/>
                <w:highlight w:val="none"/>
              </w:rPr>
              <w:t>□不通过</w:t>
            </w:r>
          </w:p>
        </w:tc>
        <w:tc>
          <w:tcPr>
            <w:tcW w:w="884" w:type="pct"/>
            <w:vAlign w:val="center"/>
          </w:tcPr>
          <w:p w14:paraId="2898E287">
            <w:pPr>
              <w:adjustRightInd w:val="0"/>
              <w:snapToGrid w:val="0"/>
              <w:ind w:left="-171"/>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3580843C">
            <w:pPr>
              <w:adjustRightInd w:val="0"/>
              <w:snapToGrid w:val="0"/>
              <w:ind w:left="-171"/>
              <w:jc w:val="center"/>
              <w:rPr>
                <w:rFonts w:ascii="楷体" w:hAnsi="楷体" w:eastAsia="楷体" w:cs="楷体"/>
                <w:color w:val="auto"/>
                <w:highlight w:val="none"/>
              </w:rPr>
            </w:pPr>
            <w:r>
              <w:rPr>
                <w:rFonts w:hint="eastAsia" w:ascii="楷体" w:hAnsi="楷体" w:eastAsia="楷体" w:cs="楷体"/>
                <w:color w:val="auto"/>
                <w:sz w:val="24"/>
                <w:highlight w:val="none"/>
              </w:rPr>
              <w:t>第（）页</w:t>
            </w:r>
          </w:p>
        </w:tc>
      </w:tr>
      <w:tr w14:paraId="24DA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2D84D8D9">
            <w:pPr>
              <w:adjustRightInd w:val="0"/>
              <w:snapToGrid w:val="0"/>
              <w:jc w:val="center"/>
              <w:rPr>
                <w:rFonts w:ascii="楷体" w:hAnsi="楷体" w:eastAsia="楷体" w:cs="楷体"/>
                <w:color w:val="auto"/>
                <w:highlight w:val="none"/>
              </w:rPr>
            </w:pPr>
          </w:p>
        </w:tc>
        <w:tc>
          <w:tcPr>
            <w:tcW w:w="1274" w:type="pct"/>
            <w:vAlign w:val="center"/>
          </w:tcPr>
          <w:p w14:paraId="7847CC74">
            <w:pPr>
              <w:jc w:val="center"/>
              <w:rPr>
                <w:rFonts w:ascii="楷体" w:hAnsi="楷体" w:eastAsia="楷体" w:cs="楷体"/>
                <w:color w:val="auto"/>
                <w:highlight w:val="none"/>
              </w:rPr>
            </w:pPr>
            <w:r>
              <w:rPr>
                <w:rFonts w:hint="eastAsia" w:ascii="楷体" w:hAnsi="楷体" w:eastAsia="楷体" w:cs="楷体"/>
                <w:color w:val="auto"/>
                <w:sz w:val="24"/>
                <w:highlight w:val="none"/>
                <w:lang w:eastAsia="en-US"/>
              </w:rPr>
              <w:t>投标文件的完整性</w:t>
            </w:r>
          </w:p>
        </w:tc>
        <w:tc>
          <w:tcPr>
            <w:tcW w:w="1649" w:type="pct"/>
            <w:vAlign w:val="center"/>
          </w:tcPr>
          <w:p w14:paraId="694D5F05">
            <w:pPr>
              <w:jc w:val="left"/>
              <w:rPr>
                <w:rFonts w:ascii="楷体" w:hAnsi="楷体" w:eastAsia="楷体" w:cs="楷体"/>
                <w:color w:val="auto"/>
                <w:highlight w:val="none"/>
              </w:rPr>
            </w:pPr>
            <w:r>
              <w:rPr>
                <w:rFonts w:hint="eastAsia" w:ascii="楷体" w:hAnsi="楷体" w:eastAsia="楷体" w:cs="楷体"/>
                <w:color w:val="auto"/>
                <w:sz w:val="24"/>
                <w:highlight w:val="none"/>
              </w:rPr>
              <w:t>投标文件完整且编排有序，投标内容基本完整，无重大错漏，并按要求密封、签署、盖章。</w:t>
            </w:r>
          </w:p>
        </w:tc>
        <w:tc>
          <w:tcPr>
            <w:tcW w:w="781" w:type="pct"/>
            <w:vAlign w:val="center"/>
          </w:tcPr>
          <w:p w14:paraId="5553D2C6">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6552C344">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4E776723">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1967C48F">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377A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A5A09CD">
            <w:pPr>
              <w:adjustRightInd w:val="0"/>
              <w:snapToGrid w:val="0"/>
              <w:jc w:val="center"/>
              <w:rPr>
                <w:rFonts w:ascii="楷体" w:hAnsi="楷体" w:eastAsia="楷体" w:cs="楷体"/>
                <w:color w:val="auto"/>
                <w:highlight w:val="none"/>
              </w:rPr>
            </w:pPr>
          </w:p>
        </w:tc>
        <w:tc>
          <w:tcPr>
            <w:tcW w:w="1274" w:type="pct"/>
            <w:vAlign w:val="center"/>
          </w:tcPr>
          <w:p w14:paraId="64770C82">
            <w:pPr>
              <w:jc w:val="center"/>
              <w:rPr>
                <w:rFonts w:hint="eastAsia" w:ascii="楷体" w:hAnsi="楷体" w:eastAsia="楷体" w:cs="楷体"/>
                <w:color w:val="auto"/>
                <w:highlight w:val="none"/>
                <w:lang w:eastAsia="zh-CN"/>
              </w:rPr>
            </w:pPr>
            <w:r>
              <w:rPr>
                <w:rFonts w:hint="eastAsia" w:ascii="楷体" w:hAnsi="楷体" w:eastAsia="楷体" w:cs="楷体"/>
                <w:color w:val="auto"/>
                <w:sz w:val="24"/>
                <w:highlight w:val="none"/>
                <w:lang w:eastAsia="zh-CN"/>
              </w:rPr>
              <w:t>服务期限</w:t>
            </w:r>
          </w:p>
        </w:tc>
        <w:tc>
          <w:tcPr>
            <w:tcW w:w="1649" w:type="pct"/>
            <w:vAlign w:val="center"/>
          </w:tcPr>
          <w:p w14:paraId="0202A6B4">
            <w:pPr>
              <w:jc w:val="left"/>
              <w:rPr>
                <w:rFonts w:ascii="楷体" w:hAnsi="楷体" w:eastAsia="楷体" w:cs="楷体"/>
                <w:color w:val="auto"/>
                <w:highlight w:val="none"/>
              </w:rPr>
            </w:pPr>
            <w:r>
              <w:rPr>
                <w:rFonts w:hint="eastAsia" w:ascii="楷体" w:hAnsi="楷体" w:eastAsia="楷体" w:cs="楷体"/>
                <w:color w:val="auto"/>
                <w:sz w:val="24"/>
                <w:highlight w:val="none"/>
                <w:lang w:eastAsia="en-US"/>
              </w:rPr>
              <w:t>满足招标文件要求</w:t>
            </w:r>
          </w:p>
        </w:tc>
        <w:tc>
          <w:tcPr>
            <w:tcW w:w="781" w:type="pct"/>
            <w:vAlign w:val="center"/>
          </w:tcPr>
          <w:p w14:paraId="54839A1D">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6BFC7EBD">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5A1614DC">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484AEEFF">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3D06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8BE6308">
            <w:pPr>
              <w:adjustRightInd w:val="0"/>
              <w:snapToGrid w:val="0"/>
              <w:ind w:left="-171"/>
              <w:jc w:val="center"/>
              <w:rPr>
                <w:rFonts w:ascii="楷体" w:hAnsi="楷体" w:eastAsia="楷体" w:cs="楷体"/>
                <w:color w:val="auto"/>
                <w:highlight w:val="none"/>
              </w:rPr>
            </w:pPr>
          </w:p>
        </w:tc>
        <w:tc>
          <w:tcPr>
            <w:tcW w:w="1274" w:type="pct"/>
            <w:vAlign w:val="center"/>
          </w:tcPr>
          <w:p w14:paraId="68760887">
            <w:pPr>
              <w:jc w:val="center"/>
              <w:rPr>
                <w:rFonts w:ascii="楷体" w:hAnsi="楷体" w:eastAsia="楷体" w:cs="楷体"/>
                <w:color w:val="auto"/>
                <w:highlight w:val="none"/>
              </w:rPr>
            </w:pPr>
            <w:r>
              <w:rPr>
                <w:rFonts w:hint="eastAsia" w:ascii="楷体" w:hAnsi="楷体" w:eastAsia="楷体" w:cs="楷体"/>
                <w:color w:val="auto"/>
                <w:sz w:val="24"/>
                <w:highlight w:val="none"/>
                <w:lang w:eastAsia="en-US"/>
              </w:rPr>
              <w:t>投标有效期</w:t>
            </w:r>
          </w:p>
        </w:tc>
        <w:tc>
          <w:tcPr>
            <w:tcW w:w="1649" w:type="pct"/>
            <w:vAlign w:val="center"/>
          </w:tcPr>
          <w:p w14:paraId="76C6EBB9">
            <w:pPr>
              <w:jc w:val="left"/>
              <w:rPr>
                <w:rFonts w:ascii="楷体" w:hAnsi="楷体" w:eastAsia="楷体" w:cs="楷体"/>
                <w:color w:val="auto"/>
                <w:highlight w:val="none"/>
              </w:rPr>
            </w:pPr>
            <w:r>
              <w:rPr>
                <w:rFonts w:hint="eastAsia" w:ascii="楷体" w:hAnsi="楷体" w:eastAsia="楷体" w:cs="楷体"/>
                <w:color w:val="auto"/>
                <w:sz w:val="24"/>
                <w:highlight w:val="none"/>
                <w:lang w:eastAsia="en-US"/>
              </w:rPr>
              <w:t>投标截止日起90天</w:t>
            </w:r>
          </w:p>
        </w:tc>
        <w:tc>
          <w:tcPr>
            <w:tcW w:w="781" w:type="pct"/>
            <w:vAlign w:val="center"/>
          </w:tcPr>
          <w:p w14:paraId="1F53F358">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3EF0037D">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□不通过</w:t>
            </w:r>
          </w:p>
        </w:tc>
        <w:tc>
          <w:tcPr>
            <w:tcW w:w="884" w:type="pct"/>
            <w:vAlign w:val="center"/>
          </w:tcPr>
          <w:p w14:paraId="6623B90B">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565F4764">
            <w:pPr>
              <w:adjustRightInd w:val="0"/>
              <w:snapToGrid w:val="0"/>
              <w:ind w:left="-171" w:firstLine="170" w:firstLineChars="71"/>
              <w:jc w:val="left"/>
              <w:rPr>
                <w:rFonts w:ascii="楷体" w:hAnsi="楷体" w:eastAsia="楷体" w:cs="楷体"/>
                <w:color w:val="auto"/>
                <w:sz w:val="24"/>
                <w:highlight w:val="none"/>
              </w:rPr>
            </w:pPr>
            <w:r>
              <w:rPr>
                <w:rFonts w:hint="eastAsia" w:ascii="楷体" w:hAnsi="楷体" w:eastAsia="楷体" w:cs="楷体"/>
                <w:color w:val="auto"/>
                <w:sz w:val="24"/>
                <w:highlight w:val="none"/>
              </w:rPr>
              <w:t>第（）页</w:t>
            </w:r>
          </w:p>
        </w:tc>
      </w:tr>
      <w:tr w14:paraId="768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60018F4">
            <w:pPr>
              <w:adjustRightInd w:val="0"/>
              <w:snapToGrid w:val="0"/>
              <w:ind w:left="-171"/>
              <w:jc w:val="center"/>
              <w:rPr>
                <w:rFonts w:ascii="楷体" w:hAnsi="楷体" w:eastAsia="楷体" w:cs="楷体"/>
                <w:color w:val="auto"/>
                <w:highlight w:val="none"/>
              </w:rPr>
            </w:pPr>
          </w:p>
        </w:tc>
        <w:tc>
          <w:tcPr>
            <w:tcW w:w="1274" w:type="pct"/>
            <w:vAlign w:val="center"/>
          </w:tcPr>
          <w:p w14:paraId="070040A8">
            <w:pPr>
              <w:jc w:val="center"/>
              <w:rPr>
                <w:rFonts w:ascii="楷体" w:hAnsi="楷体" w:eastAsia="楷体" w:cs="楷体"/>
                <w:color w:val="auto"/>
                <w:highlight w:val="none"/>
              </w:rPr>
            </w:pPr>
            <w:r>
              <w:rPr>
                <w:rFonts w:hint="eastAsia" w:ascii="楷体" w:hAnsi="楷体" w:eastAsia="楷体" w:cs="楷体"/>
                <w:color w:val="auto"/>
                <w:sz w:val="24"/>
                <w:highlight w:val="none"/>
              </w:rPr>
              <w:t>招标代理服务费支付承诺书</w:t>
            </w:r>
          </w:p>
        </w:tc>
        <w:tc>
          <w:tcPr>
            <w:tcW w:w="1649" w:type="pct"/>
            <w:vAlign w:val="center"/>
          </w:tcPr>
          <w:p w14:paraId="6690B1B3">
            <w:pPr>
              <w:jc w:val="left"/>
              <w:rPr>
                <w:rFonts w:ascii="楷体" w:hAnsi="楷体" w:eastAsia="楷体" w:cs="楷体"/>
                <w:color w:val="auto"/>
                <w:highlight w:val="none"/>
              </w:rPr>
            </w:pPr>
            <w:r>
              <w:rPr>
                <w:rFonts w:hint="eastAsia" w:ascii="楷体" w:hAnsi="楷体" w:eastAsia="楷体" w:cs="楷体"/>
                <w:color w:val="auto"/>
                <w:sz w:val="24"/>
                <w:highlight w:val="none"/>
              </w:rPr>
              <w:t>已按招标文件要求提交招标代理服务费支付承诺书</w:t>
            </w:r>
          </w:p>
        </w:tc>
        <w:tc>
          <w:tcPr>
            <w:tcW w:w="781" w:type="pct"/>
            <w:vAlign w:val="center"/>
          </w:tcPr>
          <w:p w14:paraId="4773C036">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4FB0E11E">
            <w:pPr>
              <w:adjustRightInd w:val="0"/>
              <w:snapToGrid w:val="0"/>
              <w:rPr>
                <w:rFonts w:ascii="楷体" w:hAnsi="楷体" w:eastAsia="楷体" w:cs="楷体"/>
                <w:color w:val="auto"/>
                <w:highlight w:val="none"/>
              </w:rPr>
            </w:pPr>
            <w:r>
              <w:rPr>
                <w:rFonts w:hint="eastAsia" w:ascii="楷体" w:hAnsi="楷体" w:eastAsia="楷体" w:cs="楷体"/>
                <w:color w:val="auto"/>
                <w:sz w:val="24"/>
                <w:highlight w:val="none"/>
              </w:rPr>
              <w:t>□不通过</w:t>
            </w:r>
          </w:p>
        </w:tc>
        <w:tc>
          <w:tcPr>
            <w:tcW w:w="884" w:type="pct"/>
            <w:vAlign w:val="center"/>
          </w:tcPr>
          <w:p w14:paraId="570723DC">
            <w:pPr>
              <w:adjustRightInd w:val="0"/>
              <w:snapToGrid w:val="0"/>
              <w:ind w:left="-171"/>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5E650282">
            <w:pPr>
              <w:adjustRightInd w:val="0"/>
              <w:snapToGrid w:val="0"/>
              <w:ind w:left="-171" w:firstLine="240" w:firstLineChars="100"/>
              <w:jc w:val="center"/>
              <w:rPr>
                <w:rFonts w:ascii="楷体" w:hAnsi="楷体" w:eastAsia="楷体" w:cs="楷体"/>
                <w:color w:val="auto"/>
                <w:highlight w:val="none"/>
              </w:rPr>
            </w:pPr>
            <w:r>
              <w:rPr>
                <w:rFonts w:hint="eastAsia" w:ascii="楷体" w:hAnsi="楷体" w:eastAsia="楷体" w:cs="楷体"/>
                <w:color w:val="auto"/>
                <w:sz w:val="24"/>
                <w:highlight w:val="none"/>
              </w:rPr>
              <w:t>第（）页</w:t>
            </w:r>
          </w:p>
        </w:tc>
      </w:tr>
      <w:tr w14:paraId="7190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86DB2A6">
            <w:pPr>
              <w:adjustRightInd w:val="0"/>
              <w:snapToGrid w:val="0"/>
              <w:ind w:left="-171"/>
              <w:jc w:val="center"/>
              <w:rPr>
                <w:rFonts w:ascii="楷体" w:hAnsi="楷体" w:eastAsia="楷体" w:cs="楷体"/>
                <w:color w:val="auto"/>
                <w:highlight w:val="none"/>
              </w:rPr>
            </w:pPr>
          </w:p>
        </w:tc>
        <w:tc>
          <w:tcPr>
            <w:tcW w:w="1274" w:type="pct"/>
            <w:vAlign w:val="center"/>
          </w:tcPr>
          <w:p w14:paraId="158A451F">
            <w:pPr>
              <w:jc w:val="center"/>
              <w:rPr>
                <w:rFonts w:ascii="楷体" w:hAnsi="楷体" w:eastAsia="楷体" w:cs="楷体"/>
                <w:color w:val="auto"/>
                <w:sz w:val="24"/>
                <w:highlight w:val="none"/>
              </w:rPr>
            </w:pPr>
            <w:r>
              <w:rPr>
                <w:rFonts w:hint="eastAsia" w:ascii="楷体" w:hAnsi="楷体" w:eastAsia="楷体" w:cs="楷体"/>
                <w:color w:val="auto"/>
                <w:sz w:val="24"/>
                <w:highlight w:val="none"/>
                <w:lang w:eastAsia="en-US"/>
              </w:rPr>
              <w:t>其他要求</w:t>
            </w:r>
          </w:p>
        </w:tc>
        <w:tc>
          <w:tcPr>
            <w:tcW w:w="1649" w:type="pct"/>
            <w:vAlign w:val="center"/>
          </w:tcPr>
          <w:p w14:paraId="2F6B1142">
            <w:pPr>
              <w:jc w:val="left"/>
              <w:rPr>
                <w:rFonts w:ascii="楷体" w:hAnsi="楷体" w:eastAsia="楷体" w:cs="楷体"/>
                <w:color w:val="auto"/>
                <w:sz w:val="24"/>
                <w:highlight w:val="none"/>
              </w:rPr>
            </w:pPr>
            <w:r>
              <w:rPr>
                <w:rFonts w:hint="eastAsia" w:ascii="楷体" w:hAnsi="楷体" w:eastAsia="楷体" w:cs="楷体"/>
                <w:color w:val="auto"/>
                <w:sz w:val="24"/>
                <w:highlight w:val="none"/>
              </w:rPr>
              <w:t>没有出现法律、法规和招标文件规定的其他投标无效情形</w:t>
            </w:r>
          </w:p>
        </w:tc>
        <w:tc>
          <w:tcPr>
            <w:tcW w:w="781" w:type="pct"/>
            <w:vAlign w:val="center"/>
          </w:tcPr>
          <w:p w14:paraId="3073437D">
            <w:pPr>
              <w:adjustRightInd w:val="0"/>
              <w:snapToGrid w:val="0"/>
              <w:rPr>
                <w:rFonts w:ascii="楷体" w:hAnsi="楷体" w:eastAsia="楷体" w:cs="楷体"/>
                <w:color w:val="auto"/>
                <w:sz w:val="24"/>
                <w:highlight w:val="none"/>
              </w:rPr>
            </w:pPr>
            <w:r>
              <w:rPr>
                <w:rFonts w:hint="eastAsia" w:ascii="楷体" w:hAnsi="楷体" w:eastAsia="楷体" w:cs="楷体"/>
                <w:color w:val="auto"/>
                <w:sz w:val="24"/>
                <w:highlight w:val="none"/>
              </w:rPr>
              <w:t>□通过</w:t>
            </w:r>
          </w:p>
          <w:p w14:paraId="60253823">
            <w:pPr>
              <w:adjustRightInd w:val="0"/>
              <w:snapToGrid w:val="0"/>
              <w:rPr>
                <w:rFonts w:ascii="楷体" w:hAnsi="楷体" w:eastAsia="楷体" w:cs="楷体"/>
                <w:color w:val="auto"/>
                <w:highlight w:val="none"/>
              </w:rPr>
            </w:pPr>
            <w:r>
              <w:rPr>
                <w:rFonts w:hint="eastAsia" w:ascii="楷体" w:hAnsi="楷体" w:eastAsia="楷体" w:cs="楷体"/>
                <w:color w:val="auto"/>
                <w:sz w:val="24"/>
                <w:highlight w:val="none"/>
              </w:rPr>
              <w:t>□不通过</w:t>
            </w:r>
          </w:p>
        </w:tc>
        <w:tc>
          <w:tcPr>
            <w:tcW w:w="884" w:type="pct"/>
            <w:vAlign w:val="center"/>
          </w:tcPr>
          <w:p w14:paraId="78315018">
            <w:pPr>
              <w:adjustRightInd w:val="0"/>
              <w:snapToGrid w:val="0"/>
              <w:ind w:left="-171"/>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w:t>
            </w:r>
          </w:p>
          <w:p w14:paraId="46ABDE36">
            <w:pPr>
              <w:adjustRightInd w:val="0"/>
              <w:snapToGrid w:val="0"/>
              <w:ind w:left="-171" w:firstLine="240" w:firstLineChars="100"/>
              <w:jc w:val="center"/>
              <w:rPr>
                <w:rFonts w:ascii="楷体" w:hAnsi="楷体" w:eastAsia="楷体" w:cs="楷体"/>
                <w:color w:val="auto"/>
                <w:highlight w:val="none"/>
              </w:rPr>
            </w:pPr>
            <w:r>
              <w:rPr>
                <w:rFonts w:hint="eastAsia" w:ascii="楷体" w:hAnsi="楷体" w:eastAsia="楷体" w:cs="楷体"/>
                <w:color w:val="auto"/>
                <w:sz w:val="24"/>
                <w:highlight w:val="none"/>
              </w:rPr>
              <w:t>第（）页</w:t>
            </w:r>
          </w:p>
        </w:tc>
      </w:tr>
    </w:tbl>
    <w:p w14:paraId="137B5D74">
      <w:pPr>
        <w:spacing w:line="360" w:lineRule="auto"/>
        <w:ind w:left="1" w:leftChars="-171" w:hanging="360" w:hangingChars="150"/>
        <w:rPr>
          <w:rFonts w:ascii="楷体" w:hAnsi="楷体" w:eastAsia="楷体" w:cs="楷体"/>
          <w:color w:val="auto"/>
          <w:sz w:val="24"/>
          <w:highlight w:val="none"/>
        </w:rPr>
      </w:pPr>
      <w:r>
        <w:rPr>
          <w:rFonts w:hint="eastAsia" w:ascii="楷体" w:hAnsi="楷体" w:eastAsia="楷体" w:cs="楷体"/>
          <w:color w:val="auto"/>
          <w:sz w:val="24"/>
          <w:highlight w:val="none"/>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2CB22510">
      <w:p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2、投标人根据自查结论在对应的□打“√”。</w:t>
      </w:r>
    </w:p>
    <w:p w14:paraId="35A7824B">
      <w:pPr>
        <w:adjustRightInd w:val="0"/>
        <w:snapToGrid w:val="0"/>
        <w:spacing w:line="360" w:lineRule="auto"/>
        <w:ind w:firstLine="3576" w:firstLineChars="1490"/>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5558751C">
      <w:pPr>
        <w:adjustRightInd w:val="0"/>
        <w:snapToGrid w:val="0"/>
        <w:spacing w:line="360" w:lineRule="auto"/>
        <w:ind w:firstLine="3576" w:firstLineChars="1490"/>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61EAEAED">
      <w:pPr>
        <w:adjustRightInd w:val="0"/>
        <w:snapToGrid w:val="0"/>
        <w:spacing w:line="360" w:lineRule="auto"/>
        <w:ind w:firstLine="3576" w:firstLineChars="1490"/>
        <w:rPr>
          <w:rFonts w:ascii="楷体" w:hAnsi="楷体" w:eastAsia="楷体" w:cs="楷体"/>
          <w:b/>
          <w:bCs/>
          <w:color w:val="auto"/>
          <w:sz w:val="32"/>
          <w:szCs w:val="32"/>
          <w:highlight w:val="none"/>
        </w:rPr>
      </w:pPr>
      <w:r>
        <w:rPr>
          <w:rFonts w:hint="eastAsia" w:ascii="楷体" w:hAnsi="楷体" w:eastAsia="楷体" w:cs="楷体"/>
          <w:color w:val="auto"/>
          <w:sz w:val="24"/>
          <w:highlight w:val="none"/>
        </w:rPr>
        <w:t>日期：   年   月   日</w:t>
      </w:r>
      <w:bookmarkStart w:id="379" w:name="_Toc29972"/>
      <w:bookmarkStart w:id="380" w:name="_Toc7544"/>
    </w:p>
    <w:bookmarkEnd w:id="379"/>
    <w:bookmarkEnd w:id="380"/>
    <w:p w14:paraId="44C99CAC">
      <w:pPr>
        <w:pStyle w:val="5"/>
        <w:numPr>
          <w:ilvl w:val="0"/>
          <w:numId w:val="69"/>
        </w:numPr>
        <w:jc w:val="center"/>
        <w:rPr>
          <w:rFonts w:ascii="楷体" w:hAnsi="楷体" w:eastAsia="楷体" w:cs="楷体"/>
          <w:color w:val="auto"/>
          <w:highlight w:val="none"/>
        </w:rPr>
      </w:pPr>
      <w:bookmarkStart w:id="381" w:name="_Toc21266"/>
      <w:bookmarkStart w:id="382" w:name="_Toc20740"/>
      <w:bookmarkStart w:id="383" w:name="_Toc23051"/>
      <w:bookmarkStart w:id="384" w:name="_Toc13209"/>
      <w:r>
        <w:rPr>
          <w:rFonts w:hint="eastAsia" w:ascii="楷体" w:hAnsi="楷体" w:eastAsia="楷体" w:cs="楷体"/>
          <w:color w:val="auto"/>
          <w:highlight w:val="none"/>
        </w:rPr>
        <w:br w:type="page"/>
      </w:r>
      <w:bookmarkStart w:id="385" w:name="_Toc11473"/>
      <w:bookmarkStart w:id="386" w:name="_Toc16396"/>
      <w:r>
        <w:rPr>
          <w:rFonts w:hint="eastAsia" w:ascii="楷体" w:hAnsi="楷体" w:eastAsia="楷体" w:cs="楷体"/>
          <w:color w:val="auto"/>
          <w:highlight w:val="none"/>
        </w:rPr>
        <w:t>商务评审自查表</w:t>
      </w:r>
      <w:bookmarkEnd w:id="381"/>
      <w:bookmarkEnd w:id="382"/>
      <w:bookmarkEnd w:id="383"/>
      <w:bookmarkEnd w:id="384"/>
      <w:bookmarkEnd w:id="385"/>
      <w:bookmarkEnd w:id="386"/>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2DA6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2302D2CF">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序号</w:t>
            </w:r>
          </w:p>
        </w:tc>
        <w:tc>
          <w:tcPr>
            <w:tcW w:w="4560" w:type="dxa"/>
            <w:shd w:val="clear" w:color="auto" w:fill="EEECE1"/>
            <w:vAlign w:val="center"/>
          </w:tcPr>
          <w:p w14:paraId="64A08D5A">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评审分项</w:t>
            </w:r>
          </w:p>
        </w:tc>
        <w:tc>
          <w:tcPr>
            <w:tcW w:w="3180" w:type="dxa"/>
            <w:shd w:val="clear" w:color="auto" w:fill="EEECE1"/>
            <w:vAlign w:val="center"/>
          </w:tcPr>
          <w:p w14:paraId="376CD022">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证明材料对应页码</w:t>
            </w:r>
          </w:p>
        </w:tc>
      </w:tr>
      <w:tr w14:paraId="0AF0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19DC5461">
            <w:pPr>
              <w:jc w:val="center"/>
              <w:rPr>
                <w:rFonts w:ascii="楷体" w:hAnsi="楷体" w:eastAsia="楷体" w:cs="楷体"/>
                <w:color w:val="auto"/>
                <w:sz w:val="24"/>
                <w:highlight w:val="none"/>
              </w:rPr>
            </w:pPr>
            <w:r>
              <w:rPr>
                <w:rFonts w:hint="eastAsia" w:ascii="楷体" w:hAnsi="楷体" w:eastAsia="楷体" w:cs="楷体"/>
                <w:color w:val="auto"/>
                <w:sz w:val="24"/>
                <w:highlight w:val="none"/>
              </w:rPr>
              <w:t>1</w:t>
            </w:r>
          </w:p>
        </w:tc>
        <w:tc>
          <w:tcPr>
            <w:tcW w:w="4560" w:type="dxa"/>
            <w:vAlign w:val="center"/>
          </w:tcPr>
          <w:p w14:paraId="13007BF9">
            <w:pPr>
              <w:rPr>
                <w:rFonts w:ascii="楷体" w:hAnsi="楷体" w:eastAsia="楷体" w:cs="楷体"/>
                <w:color w:val="auto"/>
                <w:sz w:val="24"/>
                <w:highlight w:val="none"/>
              </w:rPr>
            </w:pPr>
          </w:p>
        </w:tc>
        <w:tc>
          <w:tcPr>
            <w:tcW w:w="3180" w:type="dxa"/>
            <w:vAlign w:val="center"/>
          </w:tcPr>
          <w:p w14:paraId="4EDE5E5B">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62D1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3D8E27BF">
            <w:pPr>
              <w:jc w:val="center"/>
              <w:rPr>
                <w:rFonts w:ascii="楷体" w:hAnsi="楷体" w:eastAsia="楷体" w:cs="楷体"/>
                <w:color w:val="auto"/>
                <w:sz w:val="24"/>
                <w:highlight w:val="none"/>
              </w:rPr>
            </w:pPr>
            <w:r>
              <w:rPr>
                <w:rFonts w:hint="eastAsia" w:ascii="楷体" w:hAnsi="楷体" w:eastAsia="楷体" w:cs="楷体"/>
                <w:color w:val="auto"/>
                <w:sz w:val="24"/>
                <w:highlight w:val="none"/>
              </w:rPr>
              <w:t>2</w:t>
            </w:r>
          </w:p>
        </w:tc>
        <w:tc>
          <w:tcPr>
            <w:tcW w:w="4560" w:type="dxa"/>
            <w:vAlign w:val="center"/>
          </w:tcPr>
          <w:p w14:paraId="100C974D">
            <w:pPr>
              <w:rPr>
                <w:rFonts w:ascii="楷体" w:hAnsi="楷体" w:eastAsia="楷体" w:cs="楷体"/>
                <w:color w:val="auto"/>
                <w:sz w:val="24"/>
                <w:highlight w:val="none"/>
              </w:rPr>
            </w:pPr>
          </w:p>
        </w:tc>
        <w:tc>
          <w:tcPr>
            <w:tcW w:w="3180" w:type="dxa"/>
            <w:vAlign w:val="center"/>
          </w:tcPr>
          <w:p w14:paraId="38F0FDAC">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7196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3A02C42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3</w:t>
            </w:r>
          </w:p>
        </w:tc>
        <w:tc>
          <w:tcPr>
            <w:tcW w:w="4560" w:type="dxa"/>
            <w:vAlign w:val="center"/>
          </w:tcPr>
          <w:p w14:paraId="797E4D5E">
            <w:pPr>
              <w:rPr>
                <w:rFonts w:ascii="楷体" w:hAnsi="楷体" w:eastAsia="楷体" w:cs="楷体"/>
                <w:color w:val="auto"/>
                <w:sz w:val="24"/>
                <w:highlight w:val="none"/>
              </w:rPr>
            </w:pPr>
          </w:p>
        </w:tc>
        <w:tc>
          <w:tcPr>
            <w:tcW w:w="3180" w:type="dxa"/>
            <w:vAlign w:val="center"/>
          </w:tcPr>
          <w:p w14:paraId="468D8A73">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3CCC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654EA122">
            <w:pPr>
              <w:jc w:val="center"/>
              <w:rPr>
                <w:rFonts w:ascii="楷体" w:hAnsi="楷体" w:eastAsia="楷体" w:cs="楷体"/>
                <w:color w:val="auto"/>
                <w:sz w:val="24"/>
                <w:highlight w:val="none"/>
              </w:rPr>
            </w:pPr>
            <w:r>
              <w:rPr>
                <w:rFonts w:hint="eastAsia" w:ascii="楷体" w:hAnsi="楷体" w:eastAsia="楷体" w:cs="楷体"/>
                <w:color w:val="auto"/>
                <w:sz w:val="24"/>
                <w:highlight w:val="none"/>
              </w:rPr>
              <w:t>4</w:t>
            </w:r>
          </w:p>
        </w:tc>
        <w:tc>
          <w:tcPr>
            <w:tcW w:w="4560" w:type="dxa"/>
            <w:vAlign w:val="center"/>
          </w:tcPr>
          <w:p w14:paraId="01E3E286">
            <w:pPr>
              <w:rPr>
                <w:rFonts w:ascii="楷体" w:hAnsi="楷体" w:eastAsia="楷体" w:cs="楷体"/>
                <w:color w:val="auto"/>
                <w:sz w:val="24"/>
                <w:highlight w:val="none"/>
              </w:rPr>
            </w:pPr>
          </w:p>
        </w:tc>
        <w:tc>
          <w:tcPr>
            <w:tcW w:w="3180" w:type="dxa"/>
            <w:vAlign w:val="center"/>
          </w:tcPr>
          <w:p w14:paraId="7497383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0050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4E1A3E6D">
            <w:pPr>
              <w:jc w:val="center"/>
              <w:rPr>
                <w:rFonts w:ascii="楷体" w:hAnsi="楷体" w:eastAsia="楷体" w:cs="楷体"/>
                <w:color w:val="auto"/>
                <w:sz w:val="24"/>
                <w:highlight w:val="none"/>
              </w:rPr>
            </w:pPr>
            <w:r>
              <w:rPr>
                <w:rFonts w:hint="eastAsia" w:ascii="楷体" w:hAnsi="楷体" w:eastAsia="楷体" w:cs="楷体"/>
                <w:color w:val="auto"/>
                <w:sz w:val="24"/>
                <w:highlight w:val="none"/>
              </w:rPr>
              <w:t>5</w:t>
            </w:r>
          </w:p>
        </w:tc>
        <w:tc>
          <w:tcPr>
            <w:tcW w:w="4560" w:type="dxa"/>
            <w:vAlign w:val="center"/>
          </w:tcPr>
          <w:p w14:paraId="6946C84E">
            <w:pPr>
              <w:rPr>
                <w:rFonts w:ascii="楷体" w:hAnsi="楷体" w:eastAsia="楷体" w:cs="楷体"/>
                <w:color w:val="auto"/>
                <w:sz w:val="24"/>
                <w:highlight w:val="none"/>
              </w:rPr>
            </w:pPr>
          </w:p>
        </w:tc>
        <w:tc>
          <w:tcPr>
            <w:tcW w:w="3180" w:type="dxa"/>
            <w:vAlign w:val="center"/>
          </w:tcPr>
          <w:p w14:paraId="11DF55E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0FC9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21BC1EF3">
            <w:pPr>
              <w:jc w:val="center"/>
              <w:rPr>
                <w:rFonts w:ascii="楷体" w:hAnsi="楷体" w:eastAsia="楷体" w:cs="楷体"/>
                <w:color w:val="auto"/>
                <w:sz w:val="24"/>
                <w:highlight w:val="none"/>
              </w:rPr>
            </w:pPr>
            <w:r>
              <w:rPr>
                <w:rFonts w:hint="eastAsia" w:ascii="楷体" w:hAnsi="楷体" w:eastAsia="楷体" w:cs="楷体"/>
                <w:color w:val="auto"/>
                <w:sz w:val="24"/>
                <w:highlight w:val="none"/>
              </w:rPr>
              <w:t>6</w:t>
            </w:r>
          </w:p>
        </w:tc>
        <w:tc>
          <w:tcPr>
            <w:tcW w:w="4560" w:type="dxa"/>
            <w:vAlign w:val="center"/>
          </w:tcPr>
          <w:p w14:paraId="7D9AD21D">
            <w:pPr>
              <w:rPr>
                <w:rFonts w:ascii="楷体" w:hAnsi="楷体" w:eastAsia="楷体" w:cs="楷体"/>
                <w:color w:val="auto"/>
                <w:sz w:val="24"/>
                <w:highlight w:val="none"/>
              </w:rPr>
            </w:pPr>
          </w:p>
        </w:tc>
        <w:tc>
          <w:tcPr>
            <w:tcW w:w="3180" w:type="dxa"/>
            <w:vAlign w:val="center"/>
          </w:tcPr>
          <w:p w14:paraId="5CF8610F">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3B71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0FA8E6D3">
            <w:pPr>
              <w:jc w:val="center"/>
              <w:rPr>
                <w:rFonts w:ascii="楷体" w:hAnsi="楷体" w:eastAsia="楷体" w:cs="楷体"/>
                <w:color w:val="auto"/>
                <w:sz w:val="24"/>
                <w:highlight w:val="none"/>
              </w:rPr>
            </w:pPr>
            <w:r>
              <w:rPr>
                <w:rFonts w:hint="eastAsia" w:ascii="楷体" w:hAnsi="楷体" w:eastAsia="楷体" w:cs="楷体"/>
                <w:color w:val="auto"/>
                <w:sz w:val="24"/>
                <w:highlight w:val="none"/>
              </w:rPr>
              <w:t>7</w:t>
            </w:r>
          </w:p>
        </w:tc>
        <w:tc>
          <w:tcPr>
            <w:tcW w:w="4560" w:type="dxa"/>
            <w:vAlign w:val="center"/>
          </w:tcPr>
          <w:p w14:paraId="75E40C9A">
            <w:pPr>
              <w:rPr>
                <w:rFonts w:ascii="楷体" w:hAnsi="楷体" w:eastAsia="楷体" w:cs="楷体"/>
                <w:color w:val="auto"/>
                <w:sz w:val="24"/>
                <w:highlight w:val="none"/>
              </w:rPr>
            </w:pPr>
          </w:p>
        </w:tc>
        <w:tc>
          <w:tcPr>
            <w:tcW w:w="3180" w:type="dxa"/>
            <w:vAlign w:val="center"/>
          </w:tcPr>
          <w:p w14:paraId="4E85B30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22DE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531981CF">
            <w:pPr>
              <w:jc w:val="center"/>
              <w:rPr>
                <w:rFonts w:ascii="楷体" w:hAnsi="楷体" w:eastAsia="楷体" w:cs="楷体"/>
                <w:color w:val="auto"/>
                <w:sz w:val="24"/>
                <w:highlight w:val="none"/>
              </w:rPr>
            </w:pPr>
            <w:r>
              <w:rPr>
                <w:rFonts w:hint="eastAsia" w:ascii="楷体" w:hAnsi="楷体" w:eastAsia="楷体" w:cs="楷体"/>
                <w:color w:val="auto"/>
                <w:sz w:val="24"/>
                <w:highlight w:val="none"/>
              </w:rPr>
              <w:t>8</w:t>
            </w:r>
          </w:p>
        </w:tc>
        <w:tc>
          <w:tcPr>
            <w:tcW w:w="4560" w:type="dxa"/>
            <w:vAlign w:val="center"/>
          </w:tcPr>
          <w:p w14:paraId="04175137">
            <w:pPr>
              <w:rPr>
                <w:rFonts w:ascii="楷体" w:hAnsi="楷体" w:eastAsia="楷体" w:cs="楷体"/>
                <w:color w:val="auto"/>
                <w:sz w:val="24"/>
                <w:highlight w:val="none"/>
              </w:rPr>
            </w:pPr>
          </w:p>
        </w:tc>
        <w:tc>
          <w:tcPr>
            <w:tcW w:w="3180" w:type="dxa"/>
            <w:vAlign w:val="center"/>
          </w:tcPr>
          <w:p w14:paraId="2FD945E9">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728E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7DB95069">
            <w:pPr>
              <w:jc w:val="center"/>
              <w:rPr>
                <w:rFonts w:ascii="楷体" w:hAnsi="楷体" w:eastAsia="楷体" w:cs="楷体"/>
                <w:color w:val="auto"/>
                <w:sz w:val="24"/>
                <w:highlight w:val="none"/>
              </w:rPr>
            </w:pPr>
            <w:r>
              <w:rPr>
                <w:rFonts w:hint="eastAsia" w:ascii="楷体" w:hAnsi="楷体" w:eastAsia="楷体" w:cs="楷体"/>
                <w:color w:val="auto"/>
                <w:sz w:val="24"/>
                <w:highlight w:val="none"/>
              </w:rPr>
              <w:t>9</w:t>
            </w:r>
          </w:p>
        </w:tc>
        <w:tc>
          <w:tcPr>
            <w:tcW w:w="4560" w:type="dxa"/>
            <w:vAlign w:val="center"/>
          </w:tcPr>
          <w:p w14:paraId="3E81BF38">
            <w:pPr>
              <w:rPr>
                <w:rFonts w:ascii="楷体" w:hAnsi="楷体" w:eastAsia="楷体" w:cs="楷体"/>
                <w:color w:val="auto"/>
                <w:sz w:val="24"/>
                <w:highlight w:val="none"/>
              </w:rPr>
            </w:pPr>
          </w:p>
        </w:tc>
        <w:tc>
          <w:tcPr>
            <w:tcW w:w="3180" w:type="dxa"/>
            <w:vAlign w:val="center"/>
          </w:tcPr>
          <w:p w14:paraId="3AFC3F29">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443C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4FCF65D9">
            <w:pPr>
              <w:jc w:val="center"/>
              <w:rPr>
                <w:rFonts w:ascii="楷体" w:hAnsi="楷体" w:eastAsia="楷体" w:cs="楷体"/>
                <w:color w:val="auto"/>
                <w:sz w:val="24"/>
                <w:highlight w:val="none"/>
              </w:rPr>
            </w:pPr>
            <w:r>
              <w:rPr>
                <w:rFonts w:hint="eastAsia" w:ascii="楷体" w:hAnsi="楷体" w:eastAsia="楷体" w:cs="楷体"/>
                <w:color w:val="auto"/>
                <w:sz w:val="24"/>
                <w:highlight w:val="none"/>
              </w:rPr>
              <w:t>…</w:t>
            </w:r>
          </w:p>
        </w:tc>
        <w:tc>
          <w:tcPr>
            <w:tcW w:w="4560" w:type="dxa"/>
            <w:vAlign w:val="center"/>
          </w:tcPr>
          <w:p w14:paraId="070A8486">
            <w:pPr>
              <w:rPr>
                <w:rFonts w:ascii="楷体" w:hAnsi="楷体" w:eastAsia="楷体" w:cs="楷体"/>
                <w:color w:val="auto"/>
                <w:sz w:val="24"/>
                <w:highlight w:val="none"/>
              </w:rPr>
            </w:pPr>
          </w:p>
        </w:tc>
        <w:tc>
          <w:tcPr>
            <w:tcW w:w="3180" w:type="dxa"/>
            <w:vAlign w:val="center"/>
          </w:tcPr>
          <w:p w14:paraId="76D90FA0">
            <w:pPr>
              <w:jc w:val="center"/>
              <w:rPr>
                <w:rFonts w:ascii="楷体" w:hAnsi="楷体" w:eastAsia="楷体" w:cs="楷体"/>
                <w:color w:val="auto"/>
                <w:sz w:val="24"/>
                <w:highlight w:val="none"/>
              </w:rPr>
            </w:pPr>
          </w:p>
        </w:tc>
      </w:tr>
    </w:tbl>
    <w:p w14:paraId="787C8F47">
      <w:pPr>
        <w:spacing w:beforeLines="50"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注：投标人应根据《商务评审表》的各项内容填写此表。</w:t>
      </w:r>
    </w:p>
    <w:p w14:paraId="507422E6">
      <w:pPr>
        <w:rPr>
          <w:rFonts w:ascii="楷体" w:hAnsi="楷体" w:eastAsia="楷体" w:cs="楷体"/>
          <w:color w:val="auto"/>
          <w:highlight w:val="none"/>
        </w:rPr>
      </w:pPr>
    </w:p>
    <w:p w14:paraId="28E49271">
      <w:pPr>
        <w:rPr>
          <w:rFonts w:ascii="楷体" w:hAnsi="楷体" w:eastAsia="楷体" w:cs="楷体"/>
          <w:color w:val="auto"/>
          <w:highlight w:val="none"/>
        </w:rPr>
      </w:pPr>
    </w:p>
    <w:p w14:paraId="0E783D42">
      <w:pPr>
        <w:rPr>
          <w:rFonts w:ascii="楷体" w:hAnsi="楷体" w:eastAsia="楷体" w:cs="楷体"/>
          <w:color w:val="auto"/>
          <w:highlight w:val="none"/>
        </w:rPr>
      </w:pPr>
    </w:p>
    <w:p w14:paraId="3854EDDD">
      <w:pPr>
        <w:rPr>
          <w:rFonts w:ascii="楷体" w:hAnsi="楷体" w:eastAsia="楷体" w:cs="楷体"/>
          <w:color w:val="auto"/>
          <w:highlight w:val="none"/>
        </w:rPr>
      </w:pPr>
    </w:p>
    <w:p w14:paraId="295ED13E">
      <w:pPr>
        <w:rPr>
          <w:rFonts w:ascii="楷体" w:hAnsi="楷体" w:eastAsia="楷体" w:cs="楷体"/>
          <w:color w:val="auto"/>
          <w:highlight w:val="none"/>
        </w:rPr>
      </w:pPr>
    </w:p>
    <w:p w14:paraId="5101446E">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07EA8D4B">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0A9C85A8">
      <w:pPr>
        <w:spacing w:before="72" w:after="72" w:line="400" w:lineRule="exact"/>
        <w:ind w:firstLine="3578" w:firstLineChars="1491"/>
        <w:rPr>
          <w:rFonts w:ascii="楷体" w:hAnsi="楷体" w:eastAsia="楷体" w:cs="楷体"/>
          <w:b/>
          <w:color w:val="auto"/>
          <w:sz w:val="24"/>
          <w:highlight w:val="none"/>
        </w:rPr>
      </w:pPr>
      <w:r>
        <w:rPr>
          <w:rFonts w:hint="eastAsia" w:ascii="楷体" w:hAnsi="楷体" w:eastAsia="楷体" w:cs="楷体"/>
          <w:color w:val="auto"/>
          <w:sz w:val="24"/>
          <w:highlight w:val="none"/>
        </w:rPr>
        <w:t>日期：   年   月   日</w:t>
      </w:r>
    </w:p>
    <w:p w14:paraId="4D13761E">
      <w:pPr>
        <w:spacing w:before="72" w:after="72" w:line="400" w:lineRule="exact"/>
        <w:rPr>
          <w:rFonts w:ascii="楷体" w:hAnsi="楷体" w:eastAsia="楷体" w:cs="楷体"/>
          <w:b/>
          <w:color w:val="auto"/>
          <w:sz w:val="24"/>
          <w:highlight w:val="none"/>
        </w:rPr>
      </w:pPr>
    </w:p>
    <w:p w14:paraId="27E00258">
      <w:pPr>
        <w:rPr>
          <w:rFonts w:ascii="楷体" w:hAnsi="楷体" w:eastAsia="楷体" w:cs="楷体"/>
          <w:color w:val="auto"/>
          <w:highlight w:val="none"/>
        </w:rPr>
        <w:sectPr>
          <w:headerReference r:id="rId13" w:type="default"/>
          <w:footerReference r:id="rId14" w:type="default"/>
          <w:pgSz w:w="11906" w:h="16838"/>
          <w:pgMar w:top="1440" w:right="1800" w:bottom="1440" w:left="1800" w:header="851" w:footer="822" w:gutter="0"/>
          <w:cols w:space="720" w:num="1"/>
          <w:titlePg/>
          <w:docGrid w:linePitch="312" w:charSpace="0"/>
        </w:sectPr>
      </w:pPr>
    </w:p>
    <w:p w14:paraId="3DE1A924">
      <w:pPr>
        <w:pStyle w:val="5"/>
        <w:numPr>
          <w:ilvl w:val="0"/>
          <w:numId w:val="69"/>
        </w:numPr>
        <w:jc w:val="center"/>
        <w:rPr>
          <w:rFonts w:ascii="楷体" w:hAnsi="楷体" w:eastAsia="楷体" w:cs="楷体"/>
          <w:color w:val="auto"/>
          <w:highlight w:val="none"/>
        </w:rPr>
      </w:pPr>
      <w:bookmarkStart w:id="387" w:name="_Toc20215"/>
      <w:bookmarkStart w:id="388" w:name="_Toc27163"/>
      <w:r>
        <w:rPr>
          <w:rFonts w:hint="eastAsia" w:ascii="楷体" w:hAnsi="楷体" w:eastAsia="楷体" w:cs="楷体"/>
          <w:color w:val="auto"/>
          <w:highlight w:val="none"/>
        </w:rPr>
        <w:t>技术评审自查表</w:t>
      </w:r>
      <w:bookmarkEnd w:id="387"/>
      <w:bookmarkEnd w:id="388"/>
    </w:p>
    <w:tbl>
      <w:tblPr>
        <w:tblStyle w:val="44"/>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0AA2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72652180">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序号</w:t>
            </w:r>
          </w:p>
        </w:tc>
        <w:tc>
          <w:tcPr>
            <w:tcW w:w="4560" w:type="dxa"/>
            <w:shd w:val="clear" w:color="auto" w:fill="EEECE1"/>
            <w:vAlign w:val="center"/>
          </w:tcPr>
          <w:p w14:paraId="6DFD652B">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评审分项</w:t>
            </w:r>
          </w:p>
        </w:tc>
        <w:tc>
          <w:tcPr>
            <w:tcW w:w="3180" w:type="dxa"/>
            <w:shd w:val="clear" w:color="auto" w:fill="EEECE1"/>
            <w:vAlign w:val="center"/>
          </w:tcPr>
          <w:p w14:paraId="5A89057B">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证明材料对应页码</w:t>
            </w:r>
          </w:p>
        </w:tc>
      </w:tr>
      <w:tr w14:paraId="671C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4092277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1</w:t>
            </w:r>
          </w:p>
        </w:tc>
        <w:tc>
          <w:tcPr>
            <w:tcW w:w="4560" w:type="dxa"/>
            <w:vAlign w:val="center"/>
          </w:tcPr>
          <w:p w14:paraId="7CA4AC49">
            <w:pPr>
              <w:rPr>
                <w:rFonts w:ascii="楷体" w:hAnsi="楷体" w:eastAsia="楷体" w:cs="楷体"/>
                <w:color w:val="auto"/>
                <w:sz w:val="24"/>
                <w:highlight w:val="none"/>
              </w:rPr>
            </w:pPr>
          </w:p>
        </w:tc>
        <w:tc>
          <w:tcPr>
            <w:tcW w:w="3180" w:type="dxa"/>
            <w:vAlign w:val="center"/>
          </w:tcPr>
          <w:p w14:paraId="03DEB4FF">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4BF9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409001AE">
            <w:pPr>
              <w:jc w:val="center"/>
              <w:rPr>
                <w:rFonts w:ascii="楷体" w:hAnsi="楷体" w:eastAsia="楷体" w:cs="楷体"/>
                <w:color w:val="auto"/>
                <w:sz w:val="24"/>
                <w:highlight w:val="none"/>
              </w:rPr>
            </w:pPr>
            <w:r>
              <w:rPr>
                <w:rFonts w:hint="eastAsia" w:ascii="楷体" w:hAnsi="楷体" w:eastAsia="楷体" w:cs="楷体"/>
                <w:color w:val="auto"/>
                <w:sz w:val="24"/>
                <w:highlight w:val="none"/>
              </w:rPr>
              <w:t>2</w:t>
            </w:r>
          </w:p>
        </w:tc>
        <w:tc>
          <w:tcPr>
            <w:tcW w:w="4560" w:type="dxa"/>
            <w:vAlign w:val="center"/>
          </w:tcPr>
          <w:p w14:paraId="16F8F454">
            <w:pPr>
              <w:rPr>
                <w:rFonts w:ascii="楷体" w:hAnsi="楷体" w:eastAsia="楷体" w:cs="楷体"/>
                <w:color w:val="auto"/>
                <w:sz w:val="24"/>
                <w:highlight w:val="none"/>
              </w:rPr>
            </w:pPr>
          </w:p>
        </w:tc>
        <w:tc>
          <w:tcPr>
            <w:tcW w:w="3180" w:type="dxa"/>
            <w:vAlign w:val="center"/>
          </w:tcPr>
          <w:p w14:paraId="62E26C2B">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2AD3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47D8ACC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3</w:t>
            </w:r>
          </w:p>
        </w:tc>
        <w:tc>
          <w:tcPr>
            <w:tcW w:w="4560" w:type="dxa"/>
            <w:vAlign w:val="center"/>
          </w:tcPr>
          <w:p w14:paraId="418FACA1">
            <w:pPr>
              <w:rPr>
                <w:rFonts w:ascii="楷体" w:hAnsi="楷体" w:eastAsia="楷体" w:cs="楷体"/>
                <w:color w:val="auto"/>
                <w:sz w:val="24"/>
                <w:highlight w:val="none"/>
              </w:rPr>
            </w:pPr>
          </w:p>
        </w:tc>
        <w:tc>
          <w:tcPr>
            <w:tcW w:w="3180" w:type="dxa"/>
            <w:vAlign w:val="center"/>
          </w:tcPr>
          <w:p w14:paraId="4EDA6B8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6CF4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24391B25">
            <w:pPr>
              <w:jc w:val="center"/>
              <w:rPr>
                <w:rFonts w:ascii="楷体" w:hAnsi="楷体" w:eastAsia="楷体" w:cs="楷体"/>
                <w:color w:val="auto"/>
                <w:sz w:val="24"/>
                <w:highlight w:val="none"/>
              </w:rPr>
            </w:pPr>
            <w:r>
              <w:rPr>
                <w:rFonts w:hint="eastAsia" w:ascii="楷体" w:hAnsi="楷体" w:eastAsia="楷体" w:cs="楷体"/>
                <w:color w:val="auto"/>
                <w:sz w:val="24"/>
                <w:highlight w:val="none"/>
              </w:rPr>
              <w:t>4</w:t>
            </w:r>
          </w:p>
        </w:tc>
        <w:tc>
          <w:tcPr>
            <w:tcW w:w="4560" w:type="dxa"/>
            <w:vAlign w:val="center"/>
          </w:tcPr>
          <w:p w14:paraId="238C0A53">
            <w:pPr>
              <w:rPr>
                <w:rFonts w:ascii="楷体" w:hAnsi="楷体" w:eastAsia="楷体" w:cs="楷体"/>
                <w:color w:val="auto"/>
                <w:sz w:val="24"/>
                <w:highlight w:val="none"/>
              </w:rPr>
            </w:pPr>
          </w:p>
        </w:tc>
        <w:tc>
          <w:tcPr>
            <w:tcW w:w="3180" w:type="dxa"/>
            <w:vAlign w:val="center"/>
          </w:tcPr>
          <w:p w14:paraId="13FBDF42">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4847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09E40CDB">
            <w:pPr>
              <w:jc w:val="center"/>
              <w:rPr>
                <w:rFonts w:ascii="楷体" w:hAnsi="楷体" w:eastAsia="楷体" w:cs="楷体"/>
                <w:color w:val="auto"/>
                <w:sz w:val="24"/>
                <w:highlight w:val="none"/>
              </w:rPr>
            </w:pPr>
            <w:r>
              <w:rPr>
                <w:rFonts w:hint="eastAsia" w:ascii="楷体" w:hAnsi="楷体" w:eastAsia="楷体" w:cs="楷体"/>
                <w:color w:val="auto"/>
                <w:sz w:val="24"/>
                <w:highlight w:val="none"/>
              </w:rPr>
              <w:t>5</w:t>
            </w:r>
          </w:p>
        </w:tc>
        <w:tc>
          <w:tcPr>
            <w:tcW w:w="4560" w:type="dxa"/>
            <w:vAlign w:val="center"/>
          </w:tcPr>
          <w:p w14:paraId="20708F1C">
            <w:pPr>
              <w:rPr>
                <w:rFonts w:ascii="楷体" w:hAnsi="楷体" w:eastAsia="楷体" w:cs="楷体"/>
                <w:color w:val="auto"/>
                <w:sz w:val="24"/>
                <w:highlight w:val="none"/>
              </w:rPr>
            </w:pPr>
          </w:p>
        </w:tc>
        <w:tc>
          <w:tcPr>
            <w:tcW w:w="3180" w:type="dxa"/>
            <w:vAlign w:val="center"/>
          </w:tcPr>
          <w:p w14:paraId="3BC24036">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2175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91CF1FE">
            <w:pPr>
              <w:jc w:val="center"/>
              <w:rPr>
                <w:rFonts w:ascii="楷体" w:hAnsi="楷体" w:eastAsia="楷体" w:cs="楷体"/>
                <w:color w:val="auto"/>
                <w:sz w:val="24"/>
                <w:highlight w:val="none"/>
              </w:rPr>
            </w:pPr>
            <w:r>
              <w:rPr>
                <w:rFonts w:hint="eastAsia" w:ascii="楷体" w:hAnsi="楷体" w:eastAsia="楷体" w:cs="楷体"/>
                <w:color w:val="auto"/>
                <w:sz w:val="24"/>
                <w:highlight w:val="none"/>
              </w:rPr>
              <w:t>6</w:t>
            </w:r>
          </w:p>
        </w:tc>
        <w:tc>
          <w:tcPr>
            <w:tcW w:w="4560" w:type="dxa"/>
            <w:vAlign w:val="center"/>
          </w:tcPr>
          <w:p w14:paraId="75CCF437">
            <w:pPr>
              <w:rPr>
                <w:rFonts w:ascii="楷体" w:hAnsi="楷体" w:eastAsia="楷体" w:cs="楷体"/>
                <w:color w:val="auto"/>
                <w:sz w:val="24"/>
                <w:highlight w:val="none"/>
              </w:rPr>
            </w:pPr>
          </w:p>
        </w:tc>
        <w:tc>
          <w:tcPr>
            <w:tcW w:w="3180" w:type="dxa"/>
            <w:vAlign w:val="center"/>
          </w:tcPr>
          <w:p w14:paraId="1797F3B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495A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3C0AC9A6">
            <w:pPr>
              <w:jc w:val="center"/>
              <w:rPr>
                <w:rFonts w:ascii="楷体" w:hAnsi="楷体" w:eastAsia="楷体" w:cs="楷体"/>
                <w:color w:val="auto"/>
                <w:sz w:val="24"/>
                <w:highlight w:val="none"/>
              </w:rPr>
            </w:pPr>
            <w:r>
              <w:rPr>
                <w:rFonts w:hint="eastAsia" w:ascii="楷体" w:hAnsi="楷体" w:eastAsia="楷体" w:cs="楷体"/>
                <w:color w:val="auto"/>
                <w:sz w:val="24"/>
                <w:highlight w:val="none"/>
              </w:rPr>
              <w:t>7</w:t>
            </w:r>
          </w:p>
        </w:tc>
        <w:tc>
          <w:tcPr>
            <w:tcW w:w="4560" w:type="dxa"/>
            <w:vAlign w:val="center"/>
          </w:tcPr>
          <w:p w14:paraId="23057E2F">
            <w:pPr>
              <w:rPr>
                <w:rFonts w:ascii="楷体" w:hAnsi="楷体" w:eastAsia="楷体" w:cs="楷体"/>
                <w:color w:val="auto"/>
                <w:sz w:val="24"/>
                <w:highlight w:val="none"/>
              </w:rPr>
            </w:pPr>
          </w:p>
        </w:tc>
        <w:tc>
          <w:tcPr>
            <w:tcW w:w="3180" w:type="dxa"/>
            <w:vAlign w:val="center"/>
          </w:tcPr>
          <w:p w14:paraId="69B53801">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3DBE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5BBC33E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8</w:t>
            </w:r>
          </w:p>
        </w:tc>
        <w:tc>
          <w:tcPr>
            <w:tcW w:w="4560" w:type="dxa"/>
            <w:vAlign w:val="center"/>
          </w:tcPr>
          <w:p w14:paraId="0A6E4B24">
            <w:pPr>
              <w:rPr>
                <w:rFonts w:ascii="楷体" w:hAnsi="楷体" w:eastAsia="楷体" w:cs="楷体"/>
                <w:color w:val="auto"/>
                <w:sz w:val="24"/>
                <w:highlight w:val="none"/>
              </w:rPr>
            </w:pPr>
          </w:p>
        </w:tc>
        <w:tc>
          <w:tcPr>
            <w:tcW w:w="3180" w:type="dxa"/>
            <w:vAlign w:val="center"/>
          </w:tcPr>
          <w:p w14:paraId="74692FC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7CB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078EC548">
            <w:pPr>
              <w:jc w:val="center"/>
              <w:rPr>
                <w:rFonts w:ascii="楷体" w:hAnsi="楷体" w:eastAsia="楷体" w:cs="楷体"/>
                <w:color w:val="auto"/>
                <w:sz w:val="24"/>
                <w:highlight w:val="none"/>
              </w:rPr>
            </w:pPr>
            <w:r>
              <w:rPr>
                <w:rFonts w:hint="eastAsia" w:ascii="楷体" w:hAnsi="楷体" w:eastAsia="楷体" w:cs="楷体"/>
                <w:color w:val="auto"/>
                <w:sz w:val="24"/>
                <w:highlight w:val="none"/>
              </w:rPr>
              <w:t>9</w:t>
            </w:r>
          </w:p>
        </w:tc>
        <w:tc>
          <w:tcPr>
            <w:tcW w:w="4560" w:type="dxa"/>
            <w:vAlign w:val="center"/>
          </w:tcPr>
          <w:p w14:paraId="0958458A">
            <w:pPr>
              <w:rPr>
                <w:rFonts w:ascii="楷体" w:hAnsi="楷体" w:eastAsia="楷体" w:cs="楷体"/>
                <w:color w:val="auto"/>
                <w:sz w:val="24"/>
                <w:highlight w:val="none"/>
              </w:rPr>
            </w:pPr>
          </w:p>
        </w:tc>
        <w:tc>
          <w:tcPr>
            <w:tcW w:w="3180" w:type="dxa"/>
            <w:vAlign w:val="center"/>
          </w:tcPr>
          <w:p w14:paraId="3C91C18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见投标文件（）页</w:t>
            </w:r>
          </w:p>
        </w:tc>
      </w:tr>
      <w:tr w14:paraId="5F4B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30114B00">
            <w:pPr>
              <w:jc w:val="center"/>
              <w:rPr>
                <w:rFonts w:ascii="楷体" w:hAnsi="楷体" w:eastAsia="楷体" w:cs="楷体"/>
                <w:color w:val="auto"/>
                <w:sz w:val="24"/>
                <w:highlight w:val="none"/>
              </w:rPr>
            </w:pPr>
            <w:r>
              <w:rPr>
                <w:rFonts w:hint="eastAsia" w:ascii="楷体" w:hAnsi="楷体" w:eastAsia="楷体" w:cs="楷体"/>
                <w:color w:val="auto"/>
                <w:sz w:val="24"/>
                <w:highlight w:val="none"/>
              </w:rPr>
              <w:t>…</w:t>
            </w:r>
          </w:p>
        </w:tc>
        <w:tc>
          <w:tcPr>
            <w:tcW w:w="4560" w:type="dxa"/>
            <w:vAlign w:val="center"/>
          </w:tcPr>
          <w:p w14:paraId="3E5F5877">
            <w:pPr>
              <w:rPr>
                <w:rFonts w:ascii="楷体" w:hAnsi="楷体" w:eastAsia="楷体" w:cs="楷体"/>
                <w:color w:val="auto"/>
                <w:sz w:val="24"/>
                <w:highlight w:val="none"/>
              </w:rPr>
            </w:pPr>
          </w:p>
        </w:tc>
        <w:tc>
          <w:tcPr>
            <w:tcW w:w="3180" w:type="dxa"/>
            <w:vAlign w:val="center"/>
          </w:tcPr>
          <w:p w14:paraId="6590A6DC">
            <w:pPr>
              <w:jc w:val="center"/>
              <w:rPr>
                <w:rFonts w:ascii="楷体" w:hAnsi="楷体" w:eastAsia="楷体" w:cs="楷体"/>
                <w:color w:val="auto"/>
                <w:sz w:val="24"/>
                <w:highlight w:val="none"/>
              </w:rPr>
            </w:pPr>
          </w:p>
        </w:tc>
      </w:tr>
    </w:tbl>
    <w:p w14:paraId="14D5D434">
      <w:pPr>
        <w:spacing w:beforeLines="50"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注：投标人应根据《技术评审表》的各项内容填写此表。</w:t>
      </w:r>
    </w:p>
    <w:p w14:paraId="2A18B772">
      <w:pPr>
        <w:rPr>
          <w:rFonts w:ascii="楷体" w:hAnsi="楷体" w:eastAsia="楷体" w:cs="楷体"/>
          <w:color w:val="auto"/>
          <w:highlight w:val="none"/>
        </w:rPr>
      </w:pPr>
    </w:p>
    <w:p w14:paraId="28104FBC">
      <w:pPr>
        <w:rPr>
          <w:rFonts w:ascii="楷体" w:hAnsi="楷体" w:eastAsia="楷体" w:cs="楷体"/>
          <w:color w:val="auto"/>
          <w:highlight w:val="none"/>
        </w:rPr>
      </w:pPr>
    </w:p>
    <w:p w14:paraId="3991931D">
      <w:pPr>
        <w:rPr>
          <w:rFonts w:ascii="楷体" w:hAnsi="楷体" w:eastAsia="楷体" w:cs="楷体"/>
          <w:color w:val="auto"/>
          <w:highlight w:val="none"/>
        </w:rPr>
      </w:pPr>
    </w:p>
    <w:p w14:paraId="6D2F627D">
      <w:pPr>
        <w:rPr>
          <w:rFonts w:ascii="楷体" w:hAnsi="楷体" w:eastAsia="楷体" w:cs="楷体"/>
          <w:color w:val="auto"/>
          <w:highlight w:val="none"/>
        </w:rPr>
      </w:pPr>
    </w:p>
    <w:p w14:paraId="1413E7F6">
      <w:pPr>
        <w:rPr>
          <w:rFonts w:ascii="楷体" w:hAnsi="楷体" w:eastAsia="楷体" w:cs="楷体"/>
          <w:color w:val="auto"/>
          <w:highlight w:val="none"/>
        </w:rPr>
      </w:pPr>
    </w:p>
    <w:p w14:paraId="56F5FE50">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24E713B7">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0B73711">
      <w:pPr>
        <w:spacing w:before="72" w:after="72" w:line="400" w:lineRule="exact"/>
        <w:ind w:firstLine="3578" w:firstLineChars="1491"/>
        <w:rPr>
          <w:rFonts w:ascii="楷体" w:hAnsi="楷体" w:eastAsia="楷体" w:cs="楷体"/>
          <w:b/>
          <w:color w:val="auto"/>
          <w:sz w:val="24"/>
          <w:highlight w:val="none"/>
        </w:rPr>
      </w:pPr>
      <w:r>
        <w:rPr>
          <w:rFonts w:hint="eastAsia" w:ascii="楷体" w:hAnsi="楷体" w:eastAsia="楷体" w:cs="楷体"/>
          <w:color w:val="auto"/>
          <w:sz w:val="24"/>
          <w:highlight w:val="none"/>
        </w:rPr>
        <w:t>日期：   年   月   日</w:t>
      </w:r>
    </w:p>
    <w:p w14:paraId="74609FAC">
      <w:pPr>
        <w:spacing w:before="72" w:after="72" w:line="400" w:lineRule="exact"/>
        <w:rPr>
          <w:rFonts w:ascii="楷体" w:hAnsi="楷体" w:eastAsia="楷体" w:cs="楷体"/>
          <w:b/>
          <w:color w:val="auto"/>
          <w:sz w:val="24"/>
          <w:highlight w:val="none"/>
        </w:rPr>
      </w:pPr>
    </w:p>
    <w:p w14:paraId="00C69B64">
      <w:pPr>
        <w:spacing w:before="72" w:after="72" w:line="400" w:lineRule="exact"/>
        <w:rPr>
          <w:rFonts w:ascii="楷体" w:hAnsi="楷体" w:eastAsia="楷体" w:cs="楷体"/>
          <w:b/>
          <w:color w:val="auto"/>
          <w:sz w:val="24"/>
          <w:highlight w:val="none"/>
        </w:rPr>
      </w:pPr>
    </w:p>
    <w:p w14:paraId="76E78E02">
      <w:pPr>
        <w:spacing w:before="72" w:after="72" w:line="400" w:lineRule="exact"/>
        <w:rPr>
          <w:rFonts w:ascii="楷体" w:hAnsi="楷体" w:eastAsia="楷体" w:cs="楷体"/>
          <w:b/>
          <w:color w:val="auto"/>
          <w:sz w:val="24"/>
          <w:highlight w:val="none"/>
        </w:rPr>
      </w:pPr>
    </w:p>
    <w:p w14:paraId="3897CE73">
      <w:pPr>
        <w:spacing w:before="72" w:after="72" w:line="400" w:lineRule="exact"/>
        <w:rPr>
          <w:rFonts w:ascii="楷体" w:hAnsi="楷体" w:eastAsia="楷体" w:cs="楷体"/>
          <w:b/>
          <w:color w:val="auto"/>
          <w:sz w:val="24"/>
          <w:highlight w:val="none"/>
        </w:rPr>
      </w:pPr>
    </w:p>
    <w:p w14:paraId="7229EA5E">
      <w:pPr>
        <w:spacing w:before="72" w:after="72" w:line="400" w:lineRule="exact"/>
        <w:rPr>
          <w:rFonts w:ascii="楷体" w:hAnsi="楷体" w:eastAsia="楷体" w:cs="楷体"/>
          <w:b/>
          <w:color w:val="auto"/>
          <w:sz w:val="24"/>
          <w:highlight w:val="none"/>
        </w:rPr>
      </w:pPr>
    </w:p>
    <w:p w14:paraId="1BCDDAFE">
      <w:pPr>
        <w:spacing w:before="72" w:after="72" w:line="400" w:lineRule="exact"/>
        <w:rPr>
          <w:rFonts w:ascii="楷体" w:hAnsi="楷体" w:eastAsia="楷体" w:cs="楷体"/>
          <w:b/>
          <w:color w:val="auto"/>
          <w:sz w:val="24"/>
          <w:highlight w:val="none"/>
        </w:rPr>
      </w:pPr>
    </w:p>
    <w:p w14:paraId="10F69DEE">
      <w:pPr>
        <w:spacing w:before="72" w:after="72" w:line="400" w:lineRule="exact"/>
        <w:rPr>
          <w:rFonts w:ascii="楷体" w:hAnsi="楷体" w:eastAsia="楷体" w:cs="楷体"/>
          <w:b/>
          <w:color w:val="auto"/>
          <w:sz w:val="24"/>
          <w:highlight w:val="none"/>
        </w:rPr>
      </w:pPr>
    </w:p>
    <w:p w14:paraId="5594BA14">
      <w:pPr>
        <w:spacing w:before="72" w:after="72" w:line="400" w:lineRule="exact"/>
        <w:rPr>
          <w:rFonts w:ascii="楷体" w:hAnsi="楷体" w:eastAsia="楷体" w:cs="楷体"/>
          <w:b/>
          <w:color w:val="auto"/>
          <w:sz w:val="24"/>
          <w:highlight w:val="none"/>
        </w:rPr>
      </w:pPr>
    </w:p>
    <w:p w14:paraId="2810E173">
      <w:pPr>
        <w:spacing w:before="72" w:after="72" w:line="400" w:lineRule="exact"/>
        <w:rPr>
          <w:rFonts w:ascii="楷体" w:hAnsi="楷体" w:eastAsia="楷体" w:cs="楷体"/>
          <w:b/>
          <w:color w:val="auto"/>
          <w:sz w:val="24"/>
          <w:highlight w:val="none"/>
        </w:rPr>
      </w:pPr>
    </w:p>
    <w:p w14:paraId="09FA34BC">
      <w:pPr>
        <w:spacing w:before="72" w:after="72" w:line="400" w:lineRule="exact"/>
        <w:rPr>
          <w:rFonts w:ascii="楷体" w:hAnsi="楷体" w:eastAsia="楷体" w:cs="楷体"/>
          <w:b/>
          <w:color w:val="auto"/>
          <w:sz w:val="24"/>
          <w:highlight w:val="none"/>
        </w:rPr>
      </w:pPr>
    </w:p>
    <w:p w14:paraId="429E7AE8">
      <w:pPr>
        <w:spacing w:before="72" w:after="72" w:line="400" w:lineRule="exact"/>
        <w:rPr>
          <w:rFonts w:ascii="楷体" w:hAnsi="楷体" w:eastAsia="楷体" w:cs="楷体"/>
          <w:b/>
          <w:color w:val="auto"/>
          <w:sz w:val="24"/>
          <w:highlight w:val="none"/>
        </w:rPr>
      </w:pPr>
    </w:p>
    <w:p w14:paraId="3ADABB5B">
      <w:pPr>
        <w:rPr>
          <w:rFonts w:ascii="楷体" w:hAnsi="楷体" w:eastAsia="楷体" w:cs="楷体"/>
          <w:color w:val="auto"/>
          <w:highlight w:val="none"/>
        </w:rPr>
      </w:pPr>
    </w:p>
    <w:p w14:paraId="25CE9FF6">
      <w:pPr>
        <w:rPr>
          <w:rFonts w:ascii="楷体" w:hAnsi="楷体" w:eastAsia="楷体" w:cs="楷体"/>
          <w:color w:val="auto"/>
          <w:highlight w:val="none"/>
        </w:rPr>
      </w:pPr>
    </w:p>
    <w:p w14:paraId="74FFFA22">
      <w:pPr>
        <w:pStyle w:val="4"/>
        <w:jc w:val="center"/>
        <w:rPr>
          <w:rFonts w:ascii="楷体" w:hAnsi="楷体" w:eastAsia="楷体" w:cs="楷体"/>
          <w:color w:val="auto"/>
          <w:sz w:val="44"/>
          <w:szCs w:val="44"/>
          <w:highlight w:val="none"/>
        </w:rPr>
      </w:pPr>
      <w:bookmarkStart w:id="389" w:name="_Toc2445"/>
      <w:bookmarkStart w:id="390" w:name="_Toc11631"/>
      <w:bookmarkStart w:id="391" w:name="_Toc30397"/>
      <w:bookmarkStart w:id="392" w:name="_Toc381489424"/>
      <w:bookmarkStart w:id="393" w:name="_Toc423021954"/>
      <w:bookmarkStart w:id="394" w:name="_Toc17737"/>
      <w:bookmarkStart w:id="395" w:name="_Toc9365"/>
    </w:p>
    <w:p w14:paraId="2D1CA477">
      <w:pPr>
        <w:pStyle w:val="4"/>
        <w:jc w:val="center"/>
        <w:rPr>
          <w:rFonts w:ascii="楷体" w:hAnsi="楷体" w:eastAsia="楷体" w:cs="楷体"/>
          <w:color w:val="auto"/>
          <w:sz w:val="44"/>
          <w:szCs w:val="44"/>
          <w:highlight w:val="none"/>
        </w:rPr>
      </w:pPr>
    </w:p>
    <w:p w14:paraId="6CD021DB">
      <w:pPr>
        <w:pStyle w:val="4"/>
        <w:jc w:val="center"/>
        <w:rPr>
          <w:rFonts w:ascii="楷体" w:hAnsi="楷体" w:eastAsia="楷体" w:cs="楷体"/>
          <w:color w:val="auto"/>
          <w:sz w:val="44"/>
          <w:szCs w:val="44"/>
          <w:highlight w:val="none"/>
        </w:rPr>
      </w:pPr>
      <w:bookmarkStart w:id="396" w:name="_Toc18267"/>
      <w:bookmarkStart w:id="397" w:name="_Toc17572"/>
      <w:r>
        <w:rPr>
          <w:rFonts w:hint="eastAsia" w:ascii="楷体" w:hAnsi="楷体" w:eastAsia="楷体" w:cs="楷体"/>
          <w:color w:val="auto"/>
          <w:sz w:val="44"/>
          <w:szCs w:val="44"/>
          <w:highlight w:val="none"/>
        </w:rPr>
        <w:t>第二部分初审文件</w:t>
      </w:r>
      <w:bookmarkEnd w:id="389"/>
      <w:bookmarkEnd w:id="390"/>
      <w:bookmarkEnd w:id="391"/>
      <w:bookmarkEnd w:id="392"/>
      <w:bookmarkEnd w:id="393"/>
      <w:bookmarkEnd w:id="394"/>
      <w:bookmarkEnd w:id="395"/>
      <w:bookmarkEnd w:id="396"/>
      <w:bookmarkEnd w:id="397"/>
    </w:p>
    <w:p w14:paraId="20AD87CB">
      <w:pPr>
        <w:pStyle w:val="5"/>
        <w:numPr>
          <w:ilvl w:val="0"/>
          <w:numId w:val="70"/>
        </w:numPr>
        <w:jc w:val="center"/>
        <w:rPr>
          <w:rFonts w:ascii="楷体" w:hAnsi="楷体" w:eastAsia="楷体" w:cs="楷体"/>
          <w:color w:val="auto"/>
          <w:highlight w:val="none"/>
        </w:rPr>
      </w:pPr>
      <w:bookmarkStart w:id="398" w:name="_Toc183316725"/>
      <w:bookmarkStart w:id="399" w:name="_Toc182886665"/>
      <w:bookmarkStart w:id="400" w:name="_Toc168730817"/>
      <w:bookmarkStart w:id="401" w:name="_Toc196294644"/>
      <w:bookmarkStart w:id="402" w:name="_Toc169318447"/>
      <w:r>
        <w:rPr>
          <w:rFonts w:hint="eastAsia" w:ascii="楷体" w:hAnsi="楷体" w:eastAsia="楷体" w:cs="楷体"/>
          <w:color w:val="auto"/>
          <w:highlight w:val="none"/>
        </w:rPr>
        <w:br w:type="page"/>
      </w:r>
      <w:bookmarkStart w:id="403" w:name="_Toc4775"/>
      <w:bookmarkStart w:id="404" w:name="_Toc381489425"/>
      <w:bookmarkStart w:id="405" w:name="_Toc28273"/>
      <w:bookmarkStart w:id="406" w:name="_Toc29188"/>
      <w:bookmarkStart w:id="407" w:name="_Toc28985"/>
      <w:bookmarkStart w:id="408" w:name="_Toc423021955"/>
      <w:bookmarkStart w:id="409" w:name="_Toc6293"/>
      <w:bookmarkStart w:id="410" w:name="_Toc10695"/>
      <w:bookmarkStart w:id="411" w:name="_Toc7618"/>
      <w:r>
        <w:rPr>
          <w:rFonts w:hint="eastAsia" w:ascii="楷体" w:hAnsi="楷体" w:eastAsia="楷体" w:cs="楷体"/>
          <w:color w:val="auto"/>
          <w:highlight w:val="none"/>
        </w:rPr>
        <w:t>投标函</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29976C8">
      <w:pPr>
        <w:adjustRightInd w:val="0"/>
        <w:snapToGrid w:val="0"/>
        <w:spacing w:beforeLines="50" w:afterLines="50" w:line="360" w:lineRule="auto"/>
        <w:rPr>
          <w:rFonts w:ascii="楷体" w:hAnsi="楷体" w:eastAsia="楷体" w:cs="楷体"/>
          <w:b/>
          <w:color w:val="auto"/>
          <w:sz w:val="24"/>
          <w:highlight w:val="none"/>
        </w:rPr>
      </w:pPr>
      <w:r>
        <w:rPr>
          <w:rFonts w:hint="eastAsia" w:ascii="楷体" w:hAnsi="楷体" w:eastAsia="楷体" w:cs="楷体"/>
          <w:b/>
          <w:color w:val="auto"/>
          <w:sz w:val="24"/>
          <w:highlight w:val="none"/>
        </w:rPr>
        <w:t>致：广东鼎信招标采购有限公司</w:t>
      </w:r>
    </w:p>
    <w:p w14:paraId="7B42C5F4">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highlight w:val="none"/>
        </w:rPr>
      </w:pPr>
      <w:bookmarkStart w:id="412" w:name="_Toc182886666"/>
      <w:bookmarkStart w:id="413" w:name="_Toc196294645"/>
      <w:bookmarkStart w:id="414" w:name="_Toc124256789"/>
      <w:bookmarkStart w:id="415" w:name="_Toc183316726"/>
      <w:bookmarkStart w:id="416" w:name="_Toc159221038"/>
      <w:r>
        <w:rPr>
          <w:rFonts w:hint="eastAsia" w:ascii="楷体" w:hAnsi="楷体" w:eastAsia="楷体" w:cs="楷体"/>
          <w:color w:val="auto"/>
          <w:kern w:val="0"/>
          <w:sz w:val="24"/>
          <w:highlight w:val="none"/>
        </w:rPr>
        <w:t>依据贵方</w:t>
      </w:r>
      <w:r>
        <w:rPr>
          <w:rFonts w:hint="eastAsia" w:ascii="楷体" w:hAnsi="楷体" w:eastAsia="楷体" w:cs="楷体"/>
          <w:color w:val="auto"/>
          <w:sz w:val="24"/>
          <w:highlight w:val="none"/>
        </w:rPr>
        <w:t>招标项目</w:t>
      </w:r>
      <w:r>
        <w:rPr>
          <w:rFonts w:hint="eastAsia" w:ascii="楷体" w:hAnsi="楷体" w:eastAsia="楷体" w:cs="楷体"/>
          <w:color w:val="auto"/>
          <w:sz w:val="24"/>
          <w:highlight w:val="none"/>
          <w:u w:val="single"/>
        </w:rPr>
        <w:t>名称     （项目编号：)</w:t>
      </w:r>
      <w:r>
        <w:rPr>
          <w:rFonts w:hint="eastAsia" w:ascii="楷体" w:hAnsi="楷体" w:eastAsia="楷体" w:cs="楷体"/>
          <w:color w:val="auto"/>
          <w:kern w:val="0"/>
          <w:sz w:val="24"/>
          <w:highlight w:val="none"/>
        </w:rPr>
        <w:t>的投标邀请，我方代表</w:t>
      </w:r>
      <w:r>
        <w:rPr>
          <w:rFonts w:hint="eastAsia" w:ascii="楷体" w:hAnsi="楷体" w:eastAsia="楷体" w:cs="楷体"/>
          <w:color w:val="auto"/>
          <w:sz w:val="24"/>
          <w:highlight w:val="none"/>
          <w:u w:val="single"/>
        </w:rPr>
        <w:t>（姓名、职务）</w:t>
      </w:r>
      <w:r>
        <w:rPr>
          <w:rFonts w:hint="eastAsia" w:ascii="楷体" w:hAnsi="楷体" w:eastAsia="楷体" w:cs="楷体"/>
          <w:color w:val="auto"/>
          <w:kern w:val="0"/>
          <w:sz w:val="24"/>
          <w:highlight w:val="none"/>
        </w:rPr>
        <w:t>经正式授权并代表</w:t>
      </w:r>
      <w:r>
        <w:rPr>
          <w:rFonts w:hint="eastAsia" w:ascii="楷体" w:hAnsi="楷体" w:eastAsia="楷体" w:cs="楷体"/>
          <w:color w:val="auto"/>
          <w:sz w:val="24"/>
          <w:highlight w:val="none"/>
          <w:u w:val="single"/>
        </w:rPr>
        <w:t>（投标人名称、地址）</w:t>
      </w:r>
      <w:r>
        <w:rPr>
          <w:rFonts w:hint="eastAsia" w:ascii="楷体" w:hAnsi="楷体" w:eastAsia="楷体" w:cs="楷体"/>
          <w:color w:val="auto"/>
          <w:kern w:val="0"/>
          <w:sz w:val="24"/>
          <w:highlight w:val="none"/>
        </w:rPr>
        <w:t>提交下述文件正本</w:t>
      </w:r>
      <w:r>
        <w:rPr>
          <w:rFonts w:hint="eastAsia" w:ascii="楷体" w:hAnsi="楷体" w:eastAsia="楷体" w:cs="楷体"/>
          <w:color w:val="auto"/>
          <w:kern w:val="0"/>
          <w:sz w:val="24"/>
          <w:highlight w:val="none"/>
          <w:u w:val="single"/>
        </w:rPr>
        <w:t>1</w:t>
      </w:r>
      <w:r>
        <w:rPr>
          <w:rFonts w:hint="eastAsia" w:ascii="楷体" w:hAnsi="楷体" w:eastAsia="楷体" w:cs="楷体"/>
          <w:color w:val="auto"/>
          <w:kern w:val="0"/>
          <w:sz w:val="24"/>
          <w:highlight w:val="none"/>
        </w:rPr>
        <w:t>份。</w:t>
      </w:r>
    </w:p>
    <w:p w14:paraId="470E6642">
      <w:pPr>
        <w:numPr>
          <w:ilvl w:val="0"/>
          <w:numId w:val="71"/>
        </w:numPr>
        <w:tabs>
          <w:tab w:val="left" w:pos="7740"/>
        </w:tabs>
        <w:autoSpaceDE w:val="0"/>
        <w:autoSpaceDN w:val="0"/>
        <w:adjustRightInd w:val="0"/>
        <w:snapToGrid w:val="0"/>
        <w:spacing w:line="360" w:lineRule="auto"/>
        <w:ind w:right="246"/>
        <w:rPr>
          <w:rFonts w:ascii="楷体" w:hAnsi="楷体" w:eastAsia="楷体" w:cs="楷体"/>
          <w:color w:val="auto"/>
          <w:kern w:val="0"/>
          <w:sz w:val="24"/>
          <w:highlight w:val="none"/>
        </w:rPr>
      </w:pPr>
      <w:r>
        <w:rPr>
          <w:rFonts w:hint="eastAsia" w:ascii="楷体" w:hAnsi="楷体" w:eastAsia="楷体" w:cs="楷体"/>
          <w:color w:val="auto"/>
          <w:sz w:val="24"/>
          <w:highlight w:val="none"/>
        </w:rPr>
        <w:t>自查表</w:t>
      </w:r>
    </w:p>
    <w:p w14:paraId="39514A33">
      <w:pPr>
        <w:numPr>
          <w:ilvl w:val="0"/>
          <w:numId w:val="71"/>
        </w:numPr>
        <w:tabs>
          <w:tab w:val="left" w:pos="7740"/>
        </w:tabs>
        <w:autoSpaceDE w:val="0"/>
        <w:autoSpaceDN w:val="0"/>
        <w:adjustRightInd w:val="0"/>
        <w:snapToGrid w:val="0"/>
        <w:spacing w:line="360" w:lineRule="auto"/>
        <w:ind w:right="246"/>
        <w:rPr>
          <w:rFonts w:ascii="楷体" w:hAnsi="楷体" w:eastAsia="楷体" w:cs="楷体"/>
          <w:color w:val="auto"/>
          <w:kern w:val="0"/>
          <w:sz w:val="24"/>
          <w:highlight w:val="none"/>
        </w:rPr>
      </w:pPr>
      <w:r>
        <w:rPr>
          <w:rFonts w:hint="eastAsia" w:ascii="楷体" w:hAnsi="楷体" w:eastAsia="楷体" w:cs="楷体"/>
          <w:color w:val="auto"/>
          <w:sz w:val="24"/>
          <w:highlight w:val="none"/>
        </w:rPr>
        <w:t>初审文件</w:t>
      </w:r>
    </w:p>
    <w:p w14:paraId="55C3EBDB">
      <w:pPr>
        <w:numPr>
          <w:ilvl w:val="0"/>
          <w:numId w:val="71"/>
        </w:numPr>
        <w:tabs>
          <w:tab w:val="left" w:pos="7740"/>
        </w:tabs>
        <w:autoSpaceDE w:val="0"/>
        <w:autoSpaceDN w:val="0"/>
        <w:adjustRightInd w:val="0"/>
        <w:snapToGrid w:val="0"/>
        <w:spacing w:line="360" w:lineRule="auto"/>
        <w:ind w:right="246"/>
        <w:rPr>
          <w:rFonts w:ascii="楷体" w:hAnsi="楷体" w:eastAsia="楷体" w:cs="楷体"/>
          <w:color w:val="auto"/>
          <w:kern w:val="0"/>
          <w:sz w:val="24"/>
          <w:highlight w:val="none"/>
        </w:rPr>
      </w:pPr>
      <w:r>
        <w:rPr>
          <w:rFonts w:hint="eastAsia" w:ascii="楷体" w:hAnsi="楷体" w:eastAsia="楷体" w:cs="楷体"/>
          <w:color w:val="auto"/>
          <w:sz w:val="24"/>
          <w:highlight w:val="none"/>
        </w:rPr>
        <w:t>商务文件</w:t>
      </w:r>
    </w:p>
    <w:p w14:paraId="731271D4">
      <w:pPr>
        <w:numPr>
          <w:ilvl w:val="0"/>
          <w:numId w:val="71"/>
        </w:numPr>
        <w:tabs>
          <w:tab w:val="left" w:pos="7740"/>
        </w:tabs>
        <w:autoSpaceDE w:val="0"/>
        <w:autoSpaceDN w:val="0"/>
        <w:adjustRightInd w:val="0"/>
        <w:snapToGrid w:val="0"/>
        <w:spacing w:line="360" w:lineRule="auto"/>
        <w:ind w:right="246"/>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技术</w:t>
      </w:r>
      <w:r>
        <w:rPr>
          <w:rFonts w:hint="eastAsia" w:ascii="楷体" w:hAnsi="楷体" w:eastAsia="楷体" w:cs="楷体"/>
          <w:color w:val="auto"/>
          <w:sz w:val="24"/>
          <w:highlight w:val="none"/>
        </w:rPr>
        <w:t>文件</w:t>
      </w:r>
    </w:p>
    <w:p w14:paraId="099F11F1">
      <w:pPr>
        <w:numPr>
          <w:ilvl w:val="0"/>
          <w:numId w:val="71"/>
        </w:numPr>
        <w:tabs>
          <w:tab w:val="left" w:pos="7740"/>
        </w:tabs>
        <w:autoSpaceDE w:val="0"/>
        <w:autoSpaceDN w:val="0"/>
        <w:adjustRightInd w:val="0"/>
        <w:snapToGrid w:val="0"/>
        <w:spacing w:line="360" w:lineRule="auto"/>
        <w:ind w:right="32"/>
        <w:rPr>
          <w:rFonts w:ascii="楷体" w:hAnsi="楷体" w:eastAsia="楷体" w:cs="楷体"/>
          <w:color w:val="auto"/>
          <w:kern w:val="0"/>
          <w:sz w:val="24"/>
          <w:highlight w:val="none"/>
        </w:rPr>
      </w:pPr>
      <w:r>
        <w:rPr>
          <w:rFonts w:hint="eastAsia" w:ascii="楷体" w:hAnsi="楷体" w:eastAsia="楷体" w:cs="楷体"/>
          <w:color w:val="auto"/>
          <w:sz w:val="24"/>
          <w:highlight w:val="none"/>
        </w:rPr>
        <w:t>报价文件</w:t>
      </w:r>
    </w:p>
    <w:p w14:paraId="3A9C332C">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在此，我方声明如下：</w:t>
      </w:r>
    </w:p>
    <w:p w14:paraId="09F98E8E">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同意并接受招标文件的各项要求，遵守招标文件中的各项规定，按招标文件的要求提供报价。</w:t>
      </w:r>
    </w:p>
    <w:p w14:paraId="71E19099">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投标有效期为递交投标文件之日起</w:t>
      </w:r>
      <w:r>
        <w:rPr>
          <w:rFonts w:hint="eastAsia" w:ascii="楷体" w:hAnsi="楷体" w:eastAsia="楷体" w:cs="楷体"/>
          <w:color w:val="auto"/>
          <w:sz w:val="24"/>
          <w:highlight w:val="none"/>
          <w:u w:val="single"/>
        </w:rPr>
        <w:t>90</w:t>
      </w:r>
      <w:r>
        <w:rPr>
          <w:rFonts w:hint="eastAsia" w:ascii="楷体" w:hAnsi="楷体" w:eastAsia="楷体" w:cs="楷体"/>
          <w:color w:val="auto"/>
          <w:sz w:val="24"/>
          <w:highlight w:val="none"/>
        </w:rPr>
        <w:t>天，中标人投标有效期延至合同验收之日。</w:t>
      </w:r>
    </w:p>
    <w:p w14:paraId="0592B78D">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2079DE45">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我方是依法注册的法人，在法律、财务及运作上完全独立于招标人或招标代理机构。</w:t>
      </w:r>
    </w:p>
    <w:p w14:paraId="1DAF02E6">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我方已毫无保留地向贵方提供一切所需的证明材料。</w:t>
      </w:r>
    </w:p>
    <w:p w14:paraId="28005565">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我方承诺在本次投标中提供的一切文件，无论是原件还是复印件均为真实和准确的，绝无任何虚假、伪造和夸大的成份，否则，愿承担相应的后果和法律责任。</w:t>
      </w:r>
    </w:p>
    <w:p w14:paraId="2E11ED28">
      <w:pPr>
        <w:numPr>
          <w:ilvl w:val="0"/>
          <w:numId w:val="72"/>
        </w:numPr>
        <w:tabs>
          <w:tab w:val="left" w:pos="7740"/>
        </w:tabs>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我方完全服从和尊重评标委员会所作的评定结果，同时清楚理解到报价最低并非意味着必定获得中标资格。</w:t>
      </w:r>
    </w:p>
    <w:p w14:paraId="7D589323">
      <w:pPr>
        <w:tabs>
          <w:tab w:val="left" w:pos="7740"/>
        </w:tabs>
        <w:adjustRightInd w:val="0"/>
        <w:snapToGrid w:val="0"/>
        <w:spacing w:line="360" w:lineRule="auto"/>
        <w:ind w:left="420"/>
        <w:rPr>
          <w:rFonts w:ascii="楷体" w:hAnsi="楷体" w:eastAsia="楷体" w:cs="楷体"/>
          <w:color w:val="auto"/>
          <w:sz w:val="24"/>
          <w:highlight w:val="none"/>
        </w:rPr>
      </w:pPr>
      <w:r>
        <w:rPr>
          <w:rFonts w:hint="eastAsia" w:ascii="楷体" w:hAnsi="楷体" w:eastAsia="楷体" w:cs="楷体"/>
          <w:color w:val="auto"/>
          <w:sz w:val="24"/>
          <w:highlight w:val="none"/>
        </w:rPr>
        <w:t>8、我方同意按招标文件规定向招标代理机构缴纳</w:t>
      </w:r>
      <w:r>
        <w:rPr>
          <w:rFonts w:hint="eastAsia" w:ascii="楷体" w:hAnsi="楷体" w:eastAsia="楷体" w:cs="楷体"/>
          <w:color w:val="auto"/>
          <w:sz w:val="24"/>
          <w:highlight w:val="none"/>
          <w:lang w:val="en-GB"/>
        </w:rPr>
        <w:t>招标代理</w:t>
      </w:r>
      <w:r>
        <w:rPr>
          <w:rFonts w:hint="eastAsia" w:ascii="楷体" w:hAnsi="楷体" w:eastAsia="楷体" w:cs="楷体"/>
          <w:color w:val="auto"/>
          <w:sz w:val="24"/>
          <w:highlight w:val="none"/>
        </w:rPr>
        <w:t>服务费。</w:t>
      </w:r>
    </w:p>
    <w:p w14:paraId="399CC11D">
      <w:pPr>
        <w:adjustRightInd w:val="0"/>
        <w:snapToGrid w:val="0"/>
        <w:spacing w:line="360" w:lineRule="auto"/>
        <w:ind w:firstLine="482" w:firstLineChars="200"/>
        <w:rPr>
          <w:rFonts w:ascii="楷体" w:hAnsi="楷体" w:eastAsia="楷体" w:cs="楷体"/>
          <w:b/>
          <w:bCs/>
          <w:color w:val="auto"/>
          <w:sz w:val="24"/>
          <w:highlight w:val="none"/>
        </w:rPr>
      </w:pPr>
      <w:r>
        <w:rPr>
          <w:rFonts w:hint="eastAsia" w:ascii="楷体" w:hAnsi="楷体" w:eastAsia="楷体" w:cs="楷体"/>
          <w:b/>
          <w:bCs/>
          <w:color w:val="auto"/>
          <w:sz w:val="24"/>
          <w:highlight w:val="none"/>
        </w:rPr>
        <w:t>备注：本投标函内容不得擅自删改，否则视为无效投标。</w:t>
      </w:r>
    </w:p>
    <w:p w14:paraId="57B6D1B6">
      <w:pPr>
        <w:tabs>
          <w:tab w:val="left" w:pos="7740"/>
        </w:tabs>
        <w:adjustRightInd w:val="0"/>
        <w:snapToGrid w:val="0"/>
        <w:spacing w:line="360" w:lineRule="auto"/>
        <w:ind w:left="420"/>
        <w:rPr>
          <w:rFonts w:ascii="楷体" w:hAnsi="楷体" w:eastAsia="楷体" w:cs="楷体"/>
          <w:color w:val="auto"/>
          <w:sz w:val="24"/>
          <w:highlight w:val="none"/>
        </w:rPr>
      </w:pPr>
    </w:p>
    <w:p w14:paraId="24EFC4EF">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地址：                       电话：     </w:t>
      </w:r>
    </w:p>
    <w:p w14:paraId="2F0BB109">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传真：                       电子邮箱：</w:t>
      </w:r>
    </w:p>
    <w:p w14:paraId="606B9FBE">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开户银行：                           </w:t>
      </w:r>
    </w:p>
    <w:p w14:paraId="16691CF9">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账号：                                    </w:t>
      </w:r>
    </w:p>
    <w:p w14:paraId="5C3E3375">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p>
    <w:p w14:paraId="32674CCD">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投标人名称（加盖公章）：</w:t>
      </w:r>
    </w:p>
    <w:p w14:paraId="04924737">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投标人法定代表人或其授权代表（签字）：                                </w:t>
      </w:r>
    </w:p>
    <w:p w14:paraId="09BC6E51">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日期：                                   </w:t>
      </w:r>
    </w:p>
    <w:p w14:paraId="6A96B638">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highlight w:val="none"/>
        </w:rPr>
      </w:pPr>
    </w:p>
    <w:p w14:paraId="15483F73">
      <w:pPr>
        <w:adjustRightInd w:val="0"/>
        <w:snapToGrid w:val="0"/>
        <w:spacing w:line="360" w:lineRule="auto"/>
        <w:ind w:firstLine="480" w:firstLineChars="200"/>
        <w:rPr>
          <w:rFonts w:ascii="楷体" w:hAnsi="楷体" w:eastAsia="楷体" w:cs="楷体"/>
          <w:color w:val="auto"/>
          <w:sz w:val="24"/>
          <w:highlight w:val="none"/>
        </w:rPr>
      </w:pPr>
    </w:p>
    <w:p w14:paraId="2D5D18AC">
      <w:pPr>
        <w:adjustRightInd w:val="0"/>
        <w:snapToGrid w:val="0"/>
        <w:spacing w:line="360" w:lineRule="auto"/>
        <w:ind w:firstLine="480" w:firstLineChars="200"/>
        <w:rPr>
          <w:rFonts w:ascii="楷体" w:hAnsi="楷体" w:eastAsia="楷体" w:cs="楷体"/>
          <w:color w:val="auto"/>
          <w:sz w:val="24"/>
          <w:highlight w:val="none"/>
        </w:rPr>
      </w:pPr>
    </w:p>
    <w:p w14:paraId="0D0B82DC">
      <w:pPr>
        <w:adjustRightInd w:val="0"/>
        <w:snapToGrid w:val="0"/>
        <w:spacing w:line="360" w:lineRule="auto"/>
        <w:ind w:firstLine="480" w:firstLineChars="200"/>
        <w:rPr>
          <w:rFonts w:ascii="楷体" w:hAnsi="楷体" w:eastAsia="楷体" w:cs="楷体"/>
          <w:color w:val="auto"/>
          <w:sz w:val="24"/>
          <w:highlight w:val="none"/>
        </w:rPr>
      </w:pPr>
    </w:p>
    <w:p w14:paraId="4660907C">
      <w:pPr>
        <w:adjustRightInd w:val="0"/>
        <w:snapToGrid w:val="0"/>
        <w:spacing w:line="360" w:lineRule="auto"/>
        <w:ind w:firstLine="480" w:firstLineChars="200"/>
        <w:rPr>
          <w:rFonts w:ascii="楷体" w:hAnsi="楷体" w:eastAsia="楷体" w:cs="楷体"/>
          <w:color w:val="auto"/>
          <w:sz w:val="24"/>
          <w:highlight w:val="none"/>
        </w:rPr>
      </w:pPr>
    </w:p>
    <w:p w14:paraId="730BE8CD">
      <w:pPr>
        <w:rPr>
          <w:rFonts w:ascii="楷体" w:hAnsi="楷体" w:eastAsia="楷体" w:cs="楷体"/>
          <w:color w:val="auto"/>
          <w:sz w:val="24"/>
          <w:highlight w:val="none"/>
        </w:rPr>
      </w:pPr>
      <w:bookmarkStart w:id="417" w:name="_Toc417739816"/>
      <w:bookmarkEnd w:id="417"/>
    </w:p>
    <w:bookmarkEnd w:id="412"/>
    <w:bookmarkEnd w:id="413"/>
    <w:bookmarkEnd w:id="414"/>
    <w:bookmarkEnd w:id="415"/>
    <w:bookmarkEnd w:id="416"/>
    <w:p w14:paraId="34528E70">
      <w:pPr>
        <w:pStyle w:val="5"/>
        <w:jc w:val="center"/>
        <w:rPr>
          <w:rFonts w:ascii="楷体" w:hAnsi="楷体" w:eastAsia="楷体" w:cs="楷体"/>
          <w:color w:val="auto"/>
          <w:highlight w:val="none"/>
        </w:rPr>
        <w:sectPr>
          <w:pgSz w:w="11906" w:h="16838"/>
          <w:pgMar w:top="1440" w:right="1800" w:bottom="1440" w:left="1800" w:header="851" w:footer="822" w:gutter="0"/>
          <w:cols w:space="720" w:num="1"/>
          <w:docGrid w:linePitch="312" w:charSpace="0"/>
        </w:sectPr>
      </w:pPr>
      <w:bookmarkStart w:id="418" w:name="_Toc381489426"/>
      <w:bookmarkStart w:id="419" w:name="_Toc423021956"/>
    </w:p>
    <w:p w14:paraId="6637A955">
      <w:pPr>
        <w:pStyle w:val="5"/>
        <w:numPr>
          <w:ilvl w:val="0"/>
          <w:numId w:val="70"/>
        </w:numPr>
        <w:jc w:val="center"/>
        <w:rPr>
          <w:rFonts w:ascii="楷体" w:hAnsi="楷体" w:eastAsia="楷体" w:cs="楷体"/>
          <w:color w:val="auto"/>
          <w:highlight w:val="none"/>
        </w:rPr>
      </w:pPr>
      <w:bookmarkStart w:id="420" w:name="_Toc13049"/>
      <w:bookmarkStart w:id="421" w:name="_Toc32599"/>
      <w:bookmarkStart w:id="422" w:name="_Toc25843"/>
      <w:bookmarkStart w:id="423" w:name="_Toc18760"/>
      <w:bookmarkStart w:id="424" w:name="_Toc27927"/>
      <w:bookmarkStart w:id="425" w:name="_Toc7592"/>
      <w:bookmarkStart w:id="426" w:name="_Toc27842"/>
      <w:r>
        <w:rPr>
          <w:rFonts w:hint="eastAsia" w:ascii="楷体" w:hAnsi="楷体" w:eastAsia="楷体" w:cs="楷体"/>
          <w:color w:val="auto"/>
          <w:highlight w:val="none"/>
        </w:rPr>
        <w:t>关于资格的声明函</w:t>
      </w:r>
      <w:bookmarkEnd w:id="418"/>
      <w:bookmarkEnd w:id="419"/>
      <w:bookmarkEnd w:id="420"/>
      <w:bookmarkEnd w:id="421"/>
      <w:bookmarkEnd w:id="422"/>
      <w:bookmarkEnd w:id="423"/>
      <w:bookmarkEnd w:id="424"/>
      <w:bookmarkEnd w:id="425"/>
      <w:bookmarkEnd w:id="426"/>
    </w:p>
    <w:p w14:paraId="0A548942">
      <w:pPr>
        <w:spacing w:beforeLines="50" w:afterLines="50" w:line="360" w:lineRule="auto"/>
        <w:rPr>
          <w:rFonts w:ascii="楷体" w:hAnsi="楷体" w:eastAsia="楷体" w:cs="楷体"/>
          <w:b/>
          <w:color w:val="auto"/>
          <w:sz w:val="24"/>
          <w:highlight w:val="none"/>
        </w:rPr>
      </w:pPr>
      <w:r>
        <w:rPr>
          <w:rFonts w:hint="eastAsia" w:ascii="楷体" w:hAnsi="楷体" w:eastAsia="楷体" w:cs="楷体"/>
          <w:b/>
          <w:color w:val="auto"/>
          <w:sz w:val="24"/>
          <w:highlight w:val="none"/>
        </w:rPr>
        <w:t>致：广东鼎信招标采购有限公司</w:t>
      </w:r>
    </w:p>
    <w:p w14:paraId="404BA115">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关于贵方采购</w:t>
      </w:r>
      <w:r>
        <w:rPr>
          <w:rFonts w:hint="eastAsia" w:ascii="楷体" w:hAnsi="楷体" w:eastAsia="楷体" w:cs="楷体"/>
          <w:color w:val="auto"/>
          <w:sz w:val="24"/>
          <w:highlight w:val="none"/>
          <w:u w:val="single"/>
        </w:rPr>
        <w:t>（项目名称）（项目编号：      ）</w:t>
      </w:r>
      <w:r>
        <w:rPr>
          <w:rFonts w:hint="eastAsia" w:ascii="楷体" w:hAnsi="楷体" w:eastAsia="楷体" w:cs="楷体"/>
          <w:color w:val="auto"/>
          <w:sz w:val="24"/>
          <w:highlight w:val="none"/>
        </w:rPr>
        <w:t>，本单位愿意提交投标文件，并证明提交的下列文件和说明是准确的和真实的。</w:t>
      </w:r>
    </w:p>
    <w:p w14:paraId="5B617255">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bCs/>
          <w:color w:val="auto"/>
          <w:sz w:val="24"/>
          <w:highlight w:val="none"/>
        </w:rPr>
        <w:t>符合《招标文件》资格条件，提供以下资料：</w:t>
      </w:r>
    </w:p>
    <w:p w14:paraId="01FA5B3E">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1.投标人</w:t>
      </w:r>
      <w:r>
        <w:rPr>
          <w:rFonts w:hint="eastAsia" w:ascii="楷体" w:hAnsi="楷体" w:eastAsia="楷体" w:cs="楷体"/>
          <w:color w:val="auto"/>
          <w:sz w:val="24"/>
          <w:highlight w:val="none"/>
          <w:lang w:eastAsia="zh-CN"/>
        </w:rPr>
        <w:t>是具有独立承担民事责任能力的在中华人民共和国境内注册的法人或其他组织或自然人（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r>
        <w:rPr>
          <w:rFonts w:hint="eastAsia" w:ascii="楷体" w:hAnsi="楷体" w:eastAsia="楷体" w:cs="楷体"/>
          <w:color w:val="auto"/>
          <w:sz w:val="24"/>
          <w:highlight w:val="none"/>
        </w:rPr>
        <w:t>。</w:t>
      </w:r>
    </w:p>
    <w:p w14:paraId="024BB08A">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2.投标人具备履行合同所必需的专业技术能力。</w:t>
      </w:r>
    </w:p>
    <w:p w14:paraId="66FC8982">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3.投标人参加招标活动前3年内，在经营活动中没有重大违法记录。</w:t>
      </w:r>
    </w:p>
    <w:p w14:paraId="2EDEE647">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4.符合法律、行政法规规定的其他条件。</w:t>
      </w:r>
    </w:p>
    <w:p w14:paraId="42AA1440">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5.投标人未被列入“中国执行信息公开网”（zxgk.court.gov.cn）、“信用中国”网站(www.creditchina.gov.cn)“记录失信被执行人、重大税收违法失信主体、政府采购严重违法失信行为”记录名单；未被列入国家企业信用信息公示系统(http://www.gsxt.gov.cn/index.html)“严重违法失信企业名单”以及相关行政处罚信息（以招标代理机构于投标截止日当天在“中国执行信息公开网”、“信用中国”网站及国家企业信用信息公示系统查询结果为准，如相关失信记录已失效，投标人需提供相关证明资料。提供网上查询结果打印件；如查询无记录则提供查询无记录页面打印件)</w:t>
      </w:r>
    </w:p>
    <w:p w14:paraId="35B3F802">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6.投标人及其法定代表人、主要负责人或实际控制人、拟委任的项目负责人参加本次招投标活动前3年内（公司成立不足三年的从成立起计算）不得有行贿行为记录，提供无行贿行为记录的书面承诺（加盖公章）。投标人须通过“中国裁判文书网”（网址：http://wenshu.court.gov.cn/）查询相关刑事判决书、刑事裁定书等。如投标人提供虚假材料，招标人有权拒绝其投标、取消其中标资格、解除已签订的合同并追究相关责任。（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以招标代理机构于投标截止日当天查询为准）。</w:t>
      </w:r>
    </w:p>
    <w:p w14:paraId="5C7EA5C5">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7.根据烟草行业对存在行贿行为供应商的管理要求，向行业内干部职工行贿，被列入存在行贿行为供应商名单且在禁入期内的投标人，不得参加本次投标（以招标人提供的名单为准）。</w:t>
      </w:r>
    </w:p>
    <w:p w14:paraId="485243A2">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8. 单位负责人为同一人或者存在直接控股、管理关系的不同供应商，不得参加同一合同项下的采购活动。</w:t>
      </w:r>
    </w:p>
    <w:p w14:paraId="62422685">
      <w:pPr>
        <w:adjustRightInd w:val="0"/>
        <w:snapToGrid w:val="0"/>
        <w:spacing w:line="360" w:lineRule="auto"/>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9. 本项目不接受联合体投标。</w:t>
      </w:r>
    </w:p>
    <w:p w14:paraId="7820DDD4">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10. 已成功获取本次招标文件。</w:t>
      </w:r>
    </w:p>
    <w:p w14:paraId="0F024285">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本单位保证全部投标文件和问题的回答是真实和有效的，并对所提供资料的真实性负责。</w:t>
      </w:r>
    </w:p>
    <w:p w14:paraId="3C6D9F86">
      <w:pPr>
        <w:spacing w:before="72" w:after="72" w:line="360" w:lineRule="auto"/>
        <w:ind w:firstLine="480" w:firstLineChars="200"/>
        <w:rPr>
          <w:rFonts w:ascii="楷体" w:hAnsi="楷体" w:eastAsia="楷体" w:cs="楷体"/>
          <w:color w:val="auto"/>
          <w:sz w:val="24"/>
          <w:highlight w:val="none"/>
        </w:rPr>
      </w:pPr>
    </w:p>
    <w:p w14:paraId="69998215">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574DDAA5">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01A9F2E7">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71EE8A4D">
      <w:pPr>
        <w:spacing w:line="360" w:lineRule="auto"/>
        <w:rPr>
          <w:rFonts w:ascii="楷体" w:hAnsi="楷体" w:eastAsia="楷体" w:cs="楷体"/>
          <w:color w:val="auto"/>
          <w:sz w:val="24"/>
          <w:highlight w:val="none"/>
        </w:rPr>
      </w:pPr>
      <w:r>
        <w:rPr>
          <w:rFonts w:hint="eastAsia" w:ascii="楷体" w:hAnsi="楷体" w:eastAsia="楷体" w:cs="楷体"/>
          <w:color w:val="auto"/>
          <w:highlight w:val="none"/>
        </w:rPr>
        <w:br w:type="page"/>
      </w:r>
    </w:p>
    <w:p w14:paraId="2940A1B4">
      <w:pPr>
        <w:pStyle w:val="5"/>
        <w:numPr>
          <w:ilvl w:val="0"/>
          <w:numId w:val="70"/>
        </w:numPr>
        <w:jc w:val="center"/>
        <w:rPr>
          <w:rFonts w:ascii="楷体" w:hAnsi="楷体" w:eastAsia="楷体" w:cs="楷体"/>
          <w:color w:val="auto"/>
          <w:highlight w:val="none"/>
        </w:rPr>
      </w:pPr>
      <w:bookmarkStart w:id="427" w:name="_Toc14407"/>
      <w:bookmarkStart w:id="428" w:name="_Toc22784"/>
      <w:bookmarkStart w:id="429" w:name="_Toc1677"/>
      <w:bookmarkStart w:id="430" w:name="_Toc11350"/>
      <w:bookmarkStart w:id="431" w:name="_Toc8104"/>
      <w:bookmarkStart w:id="432" w:name="_Toc423021960"/>
      <w:bookmarkStart w:id="433" w:name="_Toc4850"/>
      <w:bookmarkStart w:id="434" w:name="_Toc27480"/>
      <w:bookmarkStart w:id="435" w:name="_Toc197799988"/>
      <w:bookmarkStart w:id="436" w:name="_Toc196294648"/>
      <w:bookmarkStart w:id="437" w:name="_Toc381489429"/>
      <w:r>
        <w:rPr>
          <w:rFonts w:hint="eastAsia" w:ascii="楷体" w:hAnsi="楷体" w:eastAsia="楷体" w:cs="楷体"/>
          <w:color w:val="auto"/>
          <w:highlight w:val="none"/>
        </w:rPr>
        <w:t>法定代表人证明书和法定代表人授权委托书</w:t>
      </w:r>
      <w:bookmarkEnd w:id="427"/>
      <w:bookmarkEnd w:id="428"/>
      <w:bookmarkEnd w:id="429"/>
      <w:bookmarkEnd w:id="430"/>
      <w:bookmarkEnd w:id="431"/>
      <w:bookmarkEnd w:id="432"/>
      <w:bookmarkEnd w:id="433"/>
      <w:bookmarkEnd w:id="434"/>
    </w:p>
    <w:p w14:paraId="7C70D3B4">
      <w:pPr>
        <w:numPr>
          <w:ilvl w:val="0"/>
          <w:numId w:val="73"/>
        </w:numPr>
        <w:spacing w:before="72" w:after="72" w:line="360" w:lineRule="auto"/>
        <w:jc w:val="center"/>
        <w:rPr>
          <w:rFonts w:ascii="楷体" w:hAnsi="楷体" w:eastAsia="楷体" w:cs="楷体"/>
          <w:color w:val="auto"/>
          <w:sz w:val="30"/>
          <w:szCs w:val="30"/>
          <w:highlight w:val="none"/>
        </w:rPr>
      </w:pPr>
      <w:r>
        <w:rPr>
          <w:rFonts w:hint="eastAsia" w:ascii="楷体" w:hAnsi="楷体" w:eastAsia="楷体" w:cs="楷体"/>
          <w:b/>
          <w:color w:val="auto"/>
          <w:kern w:val="44"/>
          <w:sz w:val="30"/>
          <w:szCs w:val="30"/>
          <w:highlight w:val="none"/>
        </w:rPr>
        <w:t>法定代表人证明书</w:t>
      </w:r>
    </w:p>
    <w:p w14:paraId="6D412B61">
      <w:pPr>
        <w:adjustRightInd w:val="0"/>
        <w:snapToGrid w:val="0"/>
        <w:spacing w:beforeLines="50" w:afterLines="50" w:line="360" w:lineRule="auto"/>
        <w:rPr>
          <w:rFonts w:ascii="楷体" w:hAnsi="楷体" w:eastAsia="楷体" w:cs="楷体"/>
          <w:b/>
          <w:color w:val="auto"/>
          <w:sz w:val="24"/>
          <w:highlight w:val="none"/>
        </w:rPr>
      </w:pPr>
      <w:r>
        <w:rPr>
          <w:rFonts w:hint="eastAsia" w:ascii="楷体" w:hAnsi="楷体" w:eastAsia="楷体" w:cs="楷体"/>
          <w:b/>
          <w:color w:val="auto"/>
          <w:sz w:val="24"/>
          <w:highlight w:val="none"/>
        </w:rPr>
        <w:t>致：广东鼎信招标采购有限公司</w:t>
      </w:r>
    </w:p>
    <w:p w14:paraId="2EA70359">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u w:val="single"/>
        </w:rPr>
        <w:t>　　　　</w:t>
      </w:r>
      <w:r>
        <w:rPr>
          <w:rFonts w:hint="eastAsia" w:ascii="楷体" w:hAnsi="楷体" w:eastAsia="楷体" w:cs="楷体"/>
          <w:color w:val="auto"/>
          <w:sz w:val="24"/>
          <w:highlight w:val="none"/>
        </w:rPr>
        <w:t>同志，现任我单位</w:t>
      </w:r>
      <w:r>
        <w:rPr>
          <w:rFonts w:hint="eastAsia" w:ascii="楷体" w:hAnsi="楷体" w:eastAsia="楷体" w:cs="楷体"/>
          <w:color w:val="auto"/>
          <w:sz w:val="24"/>
          <w:highlight w:val="none"/>
          <w:u w:val="single"/>
        </w:rPr>
        <w:t>　　　　　　　</w:t>
      </w:r>
      <w:r>
        <w:rPr>
          <w:rFonts w:hint="eastAsia" w:ascii="楷体" w:hAnsi="楷体" w:eastAsia="楷体" w:cs="楷体"/>
          <w:color w:val="auto"/>
          <w:sz w:val="24"/>
          <w:highlight w:val="none"/>
        </w:rPr>
        <w:t>职务，为法定代表人，特此证明。</w:t>
      </w:r>
    </w:p>
    <w:p w14:paraId="19BC5BC5">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本证明书有效期与本公司投标文件中标注的投标有效期相同。</w:t>
      </w:r>
    </w:p>
    <w:p w14:paraId="7B268DCB">
      <w:pPr>
        <w:spacing w:before="72" w:after="72" w:line="360" w:lineRule="auto"/>
        <w:ind w:firstLine="482" w:firstLineChars="200"/>
        <w:rPr>
          <w:rFonts w:ascii="楷体" w:hAnsi="楷体" w:eastAsia="楷体" w:cs="楷体"/>
          <w:b/>
          <w:color w:val="auto"/>
          <w:sz w:val="24"/>
          <w:highlight w:val="none"/>
        </w:rPr>
      </w:pPr>
    </w:p>
    <w:p w14:paraId="6B0D0BBF">
      <w:pPr>
        <w:spacing w:before="72" w:after="72" w:line="360" w:lineRule="auto"/>
        <w:ind w:firstLine="420" w:firstLineChars="200"/>
        <w:rPr>
          <w:rFonts w:ascii="楷体" w:hAnsi="楷体" w:eastAsia="楷体" w:cs="楷体"/>
          <w:color w:val="auto"/>
          <w:szCs w:val="21"/>
          <w:highlight w:val="none"/>
        </w:rPr>
      </w:pPr>
    </w:p>
    <w:p w14:paraId="607D9D64">
      <w:pPr>
        <w:spacing w:before="72" w:after="72"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投标人名称（加盖公章）：</w:t>
      </w:r>
    </w:p>
    <w:p w14:paraId="51B443BD">
      <w:pPr>
        <w:spacing w:beforeLines="100"/>
        <w:rPr>
          <w:rFonts w:ascii="楷体" w:hAnsi="楷体" w:eastAsia="楷体" w:cs="楷体"/>
          <w:b/>
          <w:bCs/>
          <w:color w:val="auto"/>
          <w:sz w:val="28"/>
          <w:szCs w:val="28"/>
          <w:highlight w:val="none"/>
        </w:rPr>
      </w:pPr>
      <w:r>
        <w:rPr>
          <w:rFonts w:hint="eastAsia" w:ascii="楷体" w:hAnsi="楷体" w:eastAsia="楷体" w:cs="楷体"/>
          <w:color w:val="auto"/>
          <w:sz w:val="24"/>
          <w:highlight w:val="none"/>
        </w:rPr>
        <w:t>日期：</w:t>
      </w:r>
      <w:r>
        <w:rPr>
          <w:rFonts w:hint="eastAsia" w:ascii="楷体" w:hAnsi="楷体" w:eastAsia="楷体" w:cs="楷体"/>
          <w:bCs/>
          <w:color w:val="auto"/>
          <w:sz w:val="24"/>
          <w:highlight w:val="none"/>
        </w:rPr>
        <w:t xml:space="preserve">    年    月    日</w:t>
      </w:r>
    </w:p>
    <w:p w14:paraId="67E87068">
      <w:pPr>
        <w:spacing w:before="72" w:after="72" w:line="360" w:lineRule="auto"/>
        <w:ind w:firstLine="480" w:firstLineChars="200"/>
        <w:rPr>
          <w:rFonts w:ascii="楷体" w:hAnsi="楷体" w:eastAsia="楷体" w:cs="楷体"/>
          <w:color w:val="auto"/>
          <w:sz w:val="24"/>
          <w:highlight w:val="none"/>
        </w:rPr>
      </w:pPr>
    </w:p>
    <w:p w14:paraId="5EA33512">
      <w:pPr>
        <w:spacing w:before="72" w:after="72" w:line="360" w:lineRule="auto"/>
        <w:ind w:firstLine="480" w:firstLineChars="200"/>
        <w:rPr>
          <w:rFonts w:ascii="楷体" w:hAnsi="楷体" w:eastAsia="楷体" w:cs="楷体"/>
          <w:color w:val="auto"/>
          <w:sz w:val="24"/>
          <w:highlight w:val="none"/>
        </w:rPr>
      </w:pPr>
    </w:p>
    <w:p w14:paraId="3376FA80">
      <w:pPr>
        <w:pStyle w:val="22"/>
        <w:spacing w:before="72" w:after="72" w:line="360" w:lineRule="auto"/>
        <w:rPr>
          <w:rFonts w:ascii="楷体" w:hAnsi="楷体" w:eastAsia="楷体" w:cs="楷体"/>
          <w:b/>
          <w:color w:val="auto"/>
          <w:sz w:val="24"/>
          <w:highlight w:val="none"/>
        </w:rPr>
      </w:pPr>
      <w:r>
        <w:rPr>
          <w:rFonts w:ascii="楷体" w:hAnsi="楷体" w:eastAsia="楷体" w:cs="楷体"/>
          <w:b/>
          <w:bCs/>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2893060</wp:posOffset>
                </wp:positionH>
                <wp:positionV relativeFrom="paragraph">
                  <wp:posOffset>329565</wp:posOffset>
                </wp:positionV>
                <wp:extent cx="2628900" cy="1755140"/>
                <wp:effectExtent l="4445" t="4445" r="14605" b="12065"/>
                <wp:wrapNone/>
                <wp:docPr id="7"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209A2C">
                            <w:pPr>
                              <w:spacing w:before="72" w:after="72"/>
                              <w:rPr>
                                <w:rFonts w:eastAsia="黑体"/>
                                <w:b/>
                                <w:sz w:val="30"/>
                              </w:rPr>
                            </w:pPr>
                          </w:p>
                          <w:p w14:paraId="0569A9ED">
                            <w:pPr>
                              <w:spacing w:before="72" w:after="72"/>
                              <w:rPr>
                                <w:rFonts w:eastAsia="黑体"/>
                                <w:b/>
                                <w:sz w:val="30"/>
                              </w:rPr>
                            </w:pPr>
                          </w:p>
                          <w:p w14:paraId="484899AD">
                            <w:pPr>
                              <w:spacing w:before="72" w:after="72"/>
                              <w:jc w:val="center"/>
                              <w:rPr>
                                <w:rFonts w:ascii="楷体" w:hAnsi="楷体" w:eastAsia="楷体" w:cs="楷体"/>
                                <w:sz w:val="24"/>
                              </w:rPr>
                            </w:pPr>
                            <w:r>
                              <w:rPr>
                                <w:rFonts w:hint="eastAsia" w:ascii="楷体" w:hAnsi="楷体" w:eastAsia="楷体" w:cs="楷体"/>
                                <w:sz w:val="24"/>
                              </w:rPr>
                              <w:t>法定代表人</w:t>
                            </w:r>
                          </w:p>
                          <w:p w14:paraId="34DD9029">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948F11C">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Rectangle 103" o:spid="_x0000_s1026" o:spt="1" style="position:absolute;left:0pt;margin-left:227.8pt;margin-top:25.95pt;height:138.2pt;width:207pt;z-index:251663360;mso-width-relative:page;mso-height-relative:page;" fillcolor="#FFFFFF" filled="t" stroked="t"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N4Iqd4YAgAA&#10;ZAQAAA4AAAAAAAAAAQAgAAAAKAEAAGRycy9lMm9Eb2MueG1sUEsFBgAAAAAGAAYAWQEAALIFAAAA&#10;AA==&#10;">
                <v:fill on="t" focussize="0,0"/>
                <v:stroke color="#000000" joinstyle="miter"/>
                <v:imagedata o:title=""/>
                <o:lock v:ext="edit" aspectratio="f"/>
                <v:textbox>
                  <w:txbxContent>
                    <w:p w14:paraId="69209A2C">
                      <w:pPr>
                        <w:spacing w:before="72" w:after="72"/>
                        <w:rPr>
                          <w:rFonts w:eastAsia="黑体"/>
                          <w:b/>
                          <w:sz w:val="30"/>
                        </w:rPr>
                      </w:pPr>
                    </w:p>
                    <w:p w14:paraId="0569A9ED">
                      <w:pPr>
                        <w:spacing w:before="72" w:after="72"/>
                        <w:rPr>
                          <w:rFonts w:eastAsia="黑体"/>
                          <w:b/>
                          <w:sz w:val="30"/>
                        </w:rPr>
                      </w:pPr>
                    </w:p>
                    <w:p w14:paraId="484899AD">
                      <w:pPr>
                        <w:spacing w:before="72" w:after="72"/>
                        <w:jc w:val="center"/>
                        <w:rPr>
                          <w:rFonts w:ascii="楷体" w:hAnsi="楷体" w:eastAsia="楷体" w:cs="楷体"/>
                          <w:sz w:val="24"/>
                        </w:rPr>
                      </w:pPr>
                      <w:r>
                        <w:rPr>
                          <w:rFonts w:hint="eastAsia" w:ascii="楷体" w:hAnsi="楷体" w:eastAsia="楷体" w:cs="楷体"/>
                          <w:sz w:val="24"/>
                        </w:rPr>
                        <w:t>法定代表人</w:t>
                      </w:r>
                    </w:p>
                    <w:p w14:paraId="34DD9029">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948F11C">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ascii="楷体" w:hAnsi="楷体" w:eastAsia="楷体" w:cs="楷体"/>
          <w:b/>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315595</wp:posOffset>
                </wp:positionV>
                <wp:extent cx="2628900" cy="1755140"/>
                <wp:effectExtent l="4445" t="4445" r="14605" b="12065"/>
                <wp:wrapNone/>
                <wp:docPr id="9" name="Rectangle 104"/>
                <wp:cNvGraphicFramePr/>
                <a:graphic xmlns:a="http://schemas.openxmlformats.org/drawingml/2006/main">
                  <a:graphicData uri="http://schemas.microsoft.com/office/word/2010/wordprocessingShape">
                    <wps:wsp>
                      <wps:cNvSpPr/>
                      <wps:spPr>
                        <a:xfrm>
                          <a:off x="0" y="0"/>
                          <a:ext cx="2628900" cy="1755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DDA7C8">
                            <w:pPr>
                              <w:spacing w:before="72" w:after="72"/>
                              <w:rPr>
                                <w:rFonts w:eastAsia="黑体"/>
                                <w:b/>
                                <w:sz w:val="30"/>
                              </w:rPr>
                            </w:pPr>
                          </w:p>
                          <w:p w14:paraId="2FE86986">
                            <w:pPr>
                              <w:spacing w:before="72" w:after="72"/>
                              <w:rPr>
                                <w:rFonts w:eastAsia="黑体"/>
                                <w:b/>
                                <w:sz w:val="30"/>
                              </w:rPr>
                            </w:pPr>
                          </w:p>
                          <w:p w14:paraId="185C9F9A">
                            <w:pPr>
                              <w:spacing w:before="72" w:after="72"/>
                              <w:jc w:val="center"/>
                              <w:rPr>
                                <w:rFonts w:ascii="楷体" w:hAnsi="楷体" w:eastAsia="楷体" w:cs="楷体"/>
                                <w:sz w:val="24"/>
                              </w:rPr>
                            </w:pPr>
                            <w:r>
                              <w:rPr>
                                <w:rFonts w:hint="eastAsia" w:ascii="楷体" w:hAnsi="楷体" w:eastAsia="楷体" w:cs="楷体"/>
                                <w:sz w:val="24"/>
                              </w:rPr>
                              <w:t>法定代表人</w:t>
                            </w:r>
                          </w:p>
                          <w:p w14:paraId="3BCDDF1C">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983E3D4">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Rectangle 104" o:spid="_x0000_s1026" o:spt="1" style="position:absolute;left:0pt;margin-left:-0.85pt;margin-top:24.85pt;height:138.2pt;width:207pt;z-index:251664384;mso-width-relative:page;mso-height-relative:page;" fillcolor="#FFFFFF" filled="t" stroked="t"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fill on="t" focussize="0,0"/>
                <v:stroke color="#000000" joinstyle="miter"/>
                <v:imagedata o:title=""/>
                <o:lock v:ext="edit" aspectratio="f"/>
                <v:textbox>
                  <w:txbxContent>
                    <w:p w14:paraId="75DDA7C8">
                      <w:pPr>
                        <w:spacing w:before="72" w:after="72"/>
                        <w:rPr>
                          <w:rFonts w:eastAsia="黑体"/>
                          <w:b/>
                          <w:sz w:val="30"/>
                        </w:rPr>
                      </w:pPr>
                    </w:p>
                    <w:p w14:paraId="2FE86986">
                      <w:pPr>
                        <w:spacing w:before="72" w:after="72"/>
                        <w:rPr>
                          <w:rFonts w:eastAsia="黑体"/>
                          <w:b/>
                          <w:sz w:val="30"/>
                        </w:rPr>
                      </w:pPr>
                    </w:p>
                    <w:p w14:paraId="185C9F9A">
                      <w:pPr>
                        <w:spacing w:before="72" w:after="72"/>
                        <w:jc w:val="center"/>
                        <w:rPr>
                          <w:rFonts w:ascii="楷体" w:hAnsi="楷体" w:eastAsia="楷体" w:cs="楷体"/>
                          <w:sz w:val="24"/>
                        </w:rPr>
                      </w:pPr>
                      <w:r>
                        <w:rPr>
                          <w:rFonts w:hint="eastAsia" w:ascii="楷体" w:hAnsi="楷体" w:eastAsia="楷体" w:cs="楷体"/>
                          <w:sz w:val="24"/>
                        </w:rPr>
                        <w:t>法定代表人</w:t>
                      </w:r>
                    </w:p>
                    <w:p w14:paraId="3BCDDF1C">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983E3D4">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r>
        <w:rPr>
          <w:rFonts w:hint="eastAsia" w:ascii="楷体" w:hAnsi="楷体" w:eastAsia="楷体" w:cs="楷体"/>
          <w:b/>
          <w:color w:val="auto"/>
          <w:sz w:val="24"/>
          <w:highlight w:val="none"/>
        </w:rPr>
        <w:t>附法人身份证粘贴处（正反面）</w:t>
      </w:r>
    </w:p>
    <w:p w14:paraId="432C97F8">
      <w:pPr>
        <w:spacing w:before="72" w:after="72" w:line="360" w:lineRule="auto"/>
        <w:rPr>
          <w:rFonts w:ascii="楷体" w:hAnsi="楷体" w:eastAsia="楷体" w:cs="楷体"/>
          <w:b/>
          <w:bCs/>
          <w:color w:val="auto"/>
          <w:sz w:val="24"/>
          <w:highlight w:val="none"/>
        </w:rPr>
      </w:pPr>
    </w:p>
    <w:p w14:paraId="5B104072">
      <w:pPr>
        <w:spacing w:before="72" w:after="72" w:line="360" w:lineRule="auto"/>
        <w:rPr>
          <w:rFonts w:ascii="楷体" w:hAnsi="楷体" w:eastAsia="楷体" w:cs="楷体"/>
          <w:b/>
          <w:bCs/>
          <w:color w:val="auto"/>
          <w:sz w:val="24"/>
          <w:highlight w:val="none"/>
        </w:rPr>
      </w:pPr>
    </w:p>
    <w:p w14:paraId="05305F96">
      <w:pPr>
        <w:spacing w:before="72" w:after="72" w:line="360" w:lineRule="auto"/>
        <w:rPr>
          <w:rFonts w:ascii="楷体" w:hAnsi="楷体" w:eastAsia="楷体" w:cs="楷体"/>
          <w:b/>
          <w:bCs/>
          <w:color w:val="auto"/>
          <w:sz w:val="24"/>
          <w:highlight w:val="none"/>
        </w:rPr>
      </w:pPr>
    </w:p>
    <w:p w14:paraId="7EC29EF6">
      <w:pPr>
        <w:spacing w:before="72" w:after="72" w:line="360" w:lineRule="auto"/>
        <w:rPr>
          <w:rFonts w:ascii="楷体" w:hAnsi="楷体" w:eastAsia="楷体" w:cs="楷体"/>
          <w:b/>
          <w:bCs/>
          <w:color w:val="auto"/>
          <w:sz w:val="24"/>
          <w:highlight w:val="none"/>
        </w:rPr>
      </w:pPr>
    </w:p>
    <w:p w14:paraId="439B96BA">
      <w:pPr>
        <w:spacing w:before="72" w:after="72" w:line="360" w:lineRule="auto"/>
        <w:rPr>
          <w:rFonts w:ascii="楷体" w:hAnsi="楷体" w:eastAsia="楷体" w:cs="楷体"/>
          <w:b/>
          <w:bCs/>
          <w:color w:val="auto"/>
          <w:sz w:val="24"/>
          <w:highlight w:val="none"/>
        </w:rPr>
      </w:pPr>
    </w:p>
    <w:p w14:paraId="11B0DDDF">
      <w:pPr>
        <w:spacing w:before="72" w:after="72" w:line="360" w:lineRule="auto"/>
        <w:rPr>
          <w:rFonts w:ascii="楷体" w:hAnsi="楷体" w:eastAsia="楷体" w:cs="楷体"/>
          <w:b/>
          <w:bCs/>
          <w:color w:val="auto"/>
          <w:sz w:val="24"/>
          <w:highlight w:val="none"/>
        </w:rPr>
        <w:sectPr>
          <w:pgSz w:w="11906" w:h="16838"/>
          <w:pgMar w:top="1440" w:right="1800" w:bottom="1440" w:left="1800" w:header="851" w:footer="992" w:gutter="0"/>
          <w:cols w:space="720" w:num="1"/>
          <w:docGrid w:linePitch="312" w:charSpace="0"/>
        </w:sectPr>
      </w:pPr>
    </w:p>
    <w:p w14:paraId="505872F2">
      <w:pPr>
        <w:numPr>
          <w:ilvl w:val="0"/>
          <w:numId w:val="73"/>
        </w:numPr>
        <w:spacing w:before="72" w:after="72" w:line="360" w:lineRule="auto"/>
        <w:jc w:val="center"/>
        <w:rPr>
          <w:rFonts w:ascii="楷体" w:hAnsi="楷体" w:eastAsia="楷体" w:cs="楷体"/>
          <w:b/>
          <w:color w:val="auto"/>
          <w:kern w:val="44"/>
          <w:sz w:val="30"/>
          <w:szCs w:val="30"/>
          <w:highlight w:val="none"/>
        </w:rPr>
      </w:pPr>
      <w:bookmarkStart w:id="438" w:name="_Toc415496511"/>
      <w:bookmarkStart w:id="439" w:name="_Toc414383247"/>
      <w:bookmarkStart w:id="440" w:name="_Toc413404716"/>
      <w:bookmarkStart w:id="441" w:name="_Toc381489428"/>
      <w:bookmarkStart w:id="442" w:name="_Toc413372470"/>
      <w:bookmarkStart w:id="443" w:name="_Toc413373063"/>
      <w:bookmarkStart w:id="444" w:name="_Toc417738414"/>
      <w:bookmarkStart w:id="445" w:name="_Toc414383032"/>
      <w:bookmarkStart w:id="446" w:name="_Toc415494949"/>
      <w:r>
        <w:rPr>
          <w:rFonts w:hint="eastAsia" w:ascii="楷体" w:hAnsi="楷体" w:eastAsia="楷体" w:cs="楷体"/>
          <w:b/>
          <w:color w:val="auto"/>
          <w:kern w:val="44"/>
          <w:sz w:val="30"/>
          <w:szCs w:val="30"/>
          <w:highlight w:val="none"/>
        </w:rPr>
        <w:t>法定代表人授权委托书</w:t>
      </w:r>
      <w:bookmarkEnd w:id="438"/>
      <w:bookmarkEnd w:id="439"/>
      <w:bookmarkEnd w:id="440"/>
      <w:bookmarkEnd w:id="441"/>
      <w:bookmarkEnd w:id="442"/>
      <w:bookmarkEnd w:id="443"/>
      <w:bookmarkEnd w:id="444"/>
      <w:bookmarkEnd w:id="445"/>
      <w:bookmarkEnd w:id="446"/>
    </w:p>
    <w:p w14:paraId="5AD64842">
      <w:pPr>
        <w:spacing w:beforeLines="50" w:afterLines="50" w:line="360" w:lineRule="auto"/>
        <w:rPr>
          <w:rFonts w:ascii="楷体" w:hAnsi="楷体" w:eastAsia="楷体" w:cs="楷体"/>
          <w:b/>
          <w:color w:val="auto"/>
          <w:sz w:val="24"/>
          <w:highlight w:val="none"/>
        </w:rPr>
      </w:pPr>
      <w:r>
        <w:rPr>
          <w:rFonts w:hint="eastAsia" w:ascii="楷体" w:hAnsi="楷体" w:eastAsia="楷体" w:cs="楷体"/>
          <w:b/>
          <w:color w:val="auto"/>
          <w:sz w:val="24"/>
          <w:highlight w:val="none"/>
        </w:rPr>
        <w:t>致：广东鼎信招标采购有限公司</w:t>
      </w:r>
    </w:p>
    <w:p w14:paraId="468F179B">
      <w:pPr>
        <w:pStyle w:val="22"/>
        <w:spacing w:before="72" w:after="72" w:line="360" w:lineRule="auto"/>
        <w:ind w:firstLine="420"/>
        <w:rPr>
          <w:rFonts w:ascii="楷体" w:hAnsi="楷体" w:eastAsia="楷体" w:cs="楷体"/>
          <w:color w:val="auto"/>
          <w:sz w:val="24"/>
          <w:highlight w:val="none"/>
        </w:rPr>
      </w:pPr>
      <w:r>
        <w:rPr>
          <w:rFonts w:hint="eastAsia" w:ascii="楷体" w:hAnsi="楷体" w:eastAsia="楷体" w:cs="楷体"/>
          <w:color w:val="auto"/>
          <w:sz w:val="24"/>
          <w:highlight w:val="none"/>
        </w:rPr>
        <w:t>我</w:t>
      </w:r>
      <w:r>
        <w:rPr>
          <w:rFonts w:hint="eastAsia" w:ascii="楷体" w:hAnsi="楷体" w:eastAsia="楷体" w:cs="楷体"/>
          <w:color w:val="auto"/>
          <w:sz w:val="24"/>
          <w:highlight w:val="none"/>
          <w:u w:val="single"/>
        </w:rPr>
        <w:t>　　   　　</w:t>
      </w:r>
      <w:r>
        <w:rPr>
          <w:rFonts w:hint="eastAsia" w:ascii="楷体" w:hAnsi="楷体" w:eastAsia="楷体" w:cs="楷体"/>
          <w:color w:val="auto"/>
          <w:sz w:val="24"/>
          <w:highlight w:val="none"/>
        </w:rPr>
        <w:t>（姓名）系</w:t>
      </w:r>
      <w:r>
        <w:rPr>
          <w:rFonts w:hint="eastAsia" w:ascii="楷体" w:hAnsi="楷体" w:eastAsia="楷体" w:cs="楷体"/>
          <w:color w:val="auto"/>
          <w:sz w:val="24"/>
          <w:highlight w:val="none"/>
          <w:u w:val="single"/>
        </w:rPr>
        <w:t>　　  　　　　</w:t>
      </w:r>
      <w:r>
        <w:rPr>
          <w:rFonts w:hint="eastAsia" w:ascii="楷体" w:hAnsi="楷体" w:eastAsia="楷体" w:cs="楷体"/>
          <w:color w:val="auto"/>
          <w:sz w:val="24"/>
          <w:highlight w:val="none"/>
        </w:rPr>
        <w:t>（投标人名称）的法定代表人，现授权委托</w:t>
      </w:r>
      <w:r>
        <w:rPr>
          <w:rFonts w:hint="eastAsia" w:ascii="楷体" w:hAnsi="楷体" w:eastAsia="楷体" w:cs="楷体"/>
          <w:color w:val="auto"/>
          <w:sz w:val="24"/>
          <w:highlight w:val="none"/>
          <w:u w:val="single"/>
        </w:rPr>
        <w:t>　　　　　　　　   　　　</w:t>
      </w:r>
      <w:r>
        <w:rPr>
          <w:rFonts w:hint="eastAsia" w:ascii="楷体" w:hAnsi="楷体" w:eastAsia="楷体" w:cs="楷体"/>
          <w:color w:val="auto"/>
          <w:sz w:val="24"/>
          <w:highlight w:val="none"/>
        </w:rPr>
        <w:t>（被授权人姓名、职务）为我公司授权代表，以本公司的名义参加</w:t>
      </w:r>
      <w:r>
        <w:rPr>
          <w:rFonts w:hint="eastAsia" w:ascii="楷体" w:hAnsi="楷体" w:eastAsia="楷体" w:cs="楷体"/>
          <w:color w:val="auto"/>
          <w:sz w:val="24"/>
          <w:highlight w:val="none"/>
          <w:u w:val="single"/>
          <w:lang w:val="zh-CN"/>
        </w:rPr>
        <w:t>（项目名称、项目编号）</w:t>
      </w:r>
      <w:r>
        <w:rPr>
          <w:rFonts w:hint="eastAsia" w:ascii="楷体" w:hAnsi="楷体" w:eastAsia="楷体" w:cs="楷体"/>
          <w:color w:val="auto"/>
          <w:sz w:val="24"/>
          <w:highlight w:val="none"/>
        </w:rPr>
        <w:t>的投标活动以及处理与之有关的一切事务。</w:t>
      </w:r>
    </w:p>
    <w:p w14:paraId="3C75DF7D">
      <w:pPr>
        <w:pStyle w:val="22"/>
        <w:spacing w:before="72" w:after="72" w:line="360" w:lineRule="auto"/>
        <w:ind w:firstLine="420"/>
        <w:rPr>
          <w:rFonts w:ascii="楷体" w:hAnsi="楷体" w:eastAsia="楷体" w:cs="楷体"/>
          <w:color w:val="auto"/>
          <w:sz w:val="24"/>
          <w:highlight w:val="none"/>
        </w:rPr>
      </w:pPr>
      <w:r>
        <w:rPr>
          <w:rFonts w:hint="eastAsia" w:ascii="楷体" w:hAnsi="楷体" w:eastAsia="楷体" w:cs="楷体"/>
          <w:color w:val="auto"/>
          <w:sz w:val="24"/>
          <w:highlight w:val="none"/>
        </w:rPr>
        <w:t>本授权委托书自法定代表人签字之日起生效，被授权人</w:t>
      </w:r>
      <w:r>
        <w:rPr>
          <w:rFonts w:hint="eastAsia" w:ascii="楷体" w:hAnsi="楷体" w:eastAsia="楷体" w:cs="楷体"/>
          <w:color w:val="auto"/>
          <w:sz w:val="24"/>
          <w:highlight w:val="none"/>
          <w:u w:val="single"/>
        </w:rPr>
        <w:t>（投标人授权代表）</w:t>
      </w:r>
      <w:r>
        <w:rPr>
          <w:rFonts w:hint="eastAsia" w:ascii="楷体" w:hAnsi="楷体" w:eastAsia="楷体" w:cs="楷体"/>
          <w:color w:val="auto"/>
          <w:sz w:val="24"/>
          <w:highlight w:val="none"/>
        </w:rPr>
        <w:t>无转委托权限。</w:t>
      </w:r>
    </w:p>
    <w:p w14:paraId="3AFF7B19">
      <w:pPr>
        <w:pStyle w:val="22"/>
        <w:spacing w:before="72" w:after="72" w:line="360" w:lineRule="auto"/>
        <w:ind w:firstLine="420"/>
        <w:rPr>
          <w:rFonts w:ascii="楷体" w:hAnsi="楷体" w:eastAsia="楷体" w:cs="楷体"/>
          <w:color w:val="auto"/>
          <w:sz w:val="24"/>
          <w:highlight w:val="none"/>
        </w:rPr>
      </w:pPr>
    </w:p>
    <w:p w14:paraId="12E23865">
      <w:pPr>
        <w:pStyle w:val="22"/>
        <w:spacing w:before="72" w:after="72" w:line="360" w:lineRule="auto"/>
        <w:rPr>
          <w:rFonts w:ascii="楷体" w:hAnsi="楷体" w:eastAsia="楷体" w:cs="楷体"/>
          <w:color w:val="auto"/>
          <w:sz w:val="24"/>
          <w:highlight w:val="none"/>
        </w:rPr>
      </w:pPr>
    </w:p>
    <w:p w14:paraId="68C21A38">
      <w:pPr>
        <w:adjustRightInd w:val="0"/>
        <w:snapToGrid w:val="0"/>
        <w:spacing w:before="72" w:after="72" w:line="480" w:lineRule="auto"/>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7A8B4646">
      <w:pPr>
        <w:adjustRightInd w:val="0"/>
        <w:snapToGrid w:val="0"/>
        <w:spacing w:before="72" w:after="72" w:line="48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投标人法定代表人（签字或签章）：</w:t>
      </w:r>
    </w:p>
    <w:p w14:paraId="212C1214">
      <w:pPr>
        <w:adjustRightInd w:val="0"/>
        <w:snapToGrid w:val="0"/>
        <w:spacing w:before="72" w:after="72" w:line="48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投标人授权代表（签名）：</w:t>
      </w:r>
    </w:p>
    <w:p w14:paraId="2F71765D">
      <w:pPr>
        <w:pStyle w:val="22"/>
        <w:spacing w:before="72" w:after="72"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签发日期：   年   月   日</w:t>
      </w:r>
    </w:p>
    <w:p w14:paraId="5ED1A603">
      <w:pPr>
        <w:pStyle w:val="22"/>
        <w:spacing w:before="72" w:after="72" w:line="360" w:lineRule="auto"/>
        <w:rPr>
          <w:rFonts w:ascii="楷体" w:hAnsi="楷体" w:eastAsia="楷体" w:cs="楷体"/>
          <w:color w:val="auto"/>
          <w:sz w:val="24"/>
          <w:highlight w:val="none"/>
        </w:rPr>
      </w:pPr>
    </w:p>
    <w:p w14:paraId="4C383D5D">
      <w:pPr>
        <w:spacing w:before="72" w:after="72" w:line="360" w:lineRule="auto"/>
        <w:rPr>
          <w:rFonts w:ascii="楷体" w:hAnsi="楷体" w:eastAsia="楷体" w:cs="楷体"/>
          <w:b/>
          <w:bCs/>
          <w:color w:val="auto"/>
          <w:sz w:val="24"/>
          <w:highlight w:val="none"/>
        </w:rPr>
      </w:pPr>
      <w:r>
        <w:rPr>
          <w:rFonts w:ascii="楷体" w:hAnsi="楷体" w:eastAsia="楷体" w:cs="楷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93345</wp:posOffset>
                </wp:positionV>
                <wp:extent cx="2628900" cy="1755140"/>
                <wp:effectExtent l="4445" t="4445" r="14605" b="12065"/>
                <wp:wrapNone/>
                <wp:docPr id="5"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BF825B">
                            <w:pPr>
                              <w:spacing w:before="72" w:after="72"/>
                              <w:rPr>
                                <w:rFonts w:eastAsia="黑体"/>
                                <w:b/>
                                <w:sz w:val="30"/>
                              </w:rPr>
                            </w:pPr>
                          </w:p>
                          <w:p w14:paraId="6D9CAC7E">
                            <w:pPr>
                              <w:spacing w:before="72" w:after="72"/>
                              <w:rPr>
                                <w:rFonts w:ascii="楷体" w:hAnsi="楷体" w:eastAsia="楷体" w:cs="楷体"/>
                                <w:b/>
                                <w:sz w:val="30"/>
                              </w:rPr>
                            </w:pPr>
                          </w:p>
                          <w:p w14:paraId="3E8EFA6F">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573F2D7F">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7A2A70E9">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矩形 3" o:spid="_x0000_s1026" o:spt="1" style="position:absolute;left:0pt;margin-left:225.35pt;margin-top:7.35pt;height:138.2pt;width:207pt;z-index:251661312;mso-width-relative:page;mso-height-relative:page;" fillcolor="#FFFFFF" filled="t" stroked="t"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BKNBfY&#10;AAAACgEAAA8AAAAAAAAAAQAgAAAAIgAAAGRycy9kb3ducmV2LnhtbFBLAQIUABQAAAAIAIdO4kBT&#10;W2SiIAIAAF8EAAAOAAAAAAAAAAEAIAAAACcBAABkcnMvZTJvRG9jLnhtbFBLBQYAAAAABgAGAFkB&#10;AAC5BQAAAAA=&#10;">
                <v:fill on="t" focussize="0,0"/>
                <v:stroke color="#000000" joinstyle="miter"/>
                <v:imagedata o:title=""/>
                <o:lock v:ext="edit" aspectratio="f"/>
                <v:textbox>
                  <w:txbxContent>
                    <w:p w14:paraId="53BF825B">
                      <w:pPr>
                        <w:spacing w:before="72" w:after="72"/>
                        <w:rPr>
                          <w:rFonts w:eastAsia="黑体"/>
                          <w:b/>
                          <w:sz w:val="30"/>
                        </w:rPr>
                      </w:pPr>
                    </w:p>
                    <w:p w14:paraId="6D9CAC7E">
                      <w:pPr>
                        <w:spacing w:before="72" w:after="72"/>
                        <w:rPr>
                          <w:rFonts w:ascii="楷体" w:hAnsi="楷体" w:eastAsia="楷体" w:cs="楷体"/>
                          <w:b/>
                          <w:sz w:val="30"/>
                        </w:rPr>
                      </w:pPr>
                    </w:p>
                    <w:p w14:paraId="3E8EFA6F">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573F2D7F">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7A2A70E9">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ascii="楷体" w:hAnsi="楷体" w:eastAsia="楷体" w:cs="楷体"/>
          <w:b/>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110490</wp:posOffset>
                </wp:positionV>
                <wp:extent cx="2628900" cy="1755140"/>
                <wp:effectExtent l="4445" t="4445" r="14605" b="12065"/>
                <wp:wrapNone/>
                <wp:docPr id="6"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104CE7">
                            <w:pPr>
                              <w:spacing w:before="72" w:after="72"/>
                              <w:rPr>
                                <w:rFonts w:eastAsia="黑体"/>
                                <w:b/>
                                <w:sz w:val="30"/>
                              </w:rPr>
                            </w:pPr>
                          </w:p>
                          <w:p w14:paraId="0730B80C">
                            <w:pPr>
                              <w:spacing w:before="72" w:after="72"/>
                              <w:rPr>
                                <w:rFonts w:eastAsia="黑体"/>
                                <w:b/>
                                <w:sz w:val="30"/>
                              </w:rPr>
                            </w:pPr>
                          </w:p>
                          <w:p w14:paraId="5496BAFA">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45DD764">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34BD3648">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矩形 2" o:spid="_x0000_s1026" o:spt="1" style="position:absolute;left:0pt;margin-left:-6.05pt;margin-top:8.7pt;height:138.2pt;width:207pt;z-index:251662336;mso-width-relative:page;mso-height-relative:page;" fillcolor="#FFFFFF" filled="t" stroked="t"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B6&#10;XDN6IAIAAF8EAAAOAAAAAAAAAAEAIAAAACcBAABkcnMvZTJvRG9jLnhtbFBLBQYAAAAABgAGAFkB&#10;AAC5BQAAAAA=&#10;">
                <v:fill on="t" focussize="0,0"/>
                <v:stroke color="#000000" joinstyle="miter"/>
                <v:imagedata o:title=""/>
                <o:lock v:ext="edit" aspectratio="f"/>
                <v:textbox>
                  <w:txbxContent>
                    <w:p w14:paraId="4B104CE7">
                      <w:pPr>
                        <w:spacing w:before="72" w:after="72"/>
                        <w:rPr>
                          <w:rFonts w:eastAsia="黑体"/>
                          <w:b/>
                          <w:sz w:val="30"/>
                        </w:rPr>
                      </w:pPr>
                    </w:p>
                    <w:p w14:paraId="0730B80C">
                      <w:pPr>
                        <w:spacing w:before="72" w:after="72"/>
                        <w:rPr>
                          <w:rFonts w:eastAsia="黑体"/>
                          <w:b/>
                          <w:sz w:val="30"/>
                        </w:rPr>
                      </w:pPr>
                    </w:p>
                    <w:p w14:paraId="5496BAFA">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45DD764">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34BD3648">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p>
    <w:p w14:paraId="50F774D1">
      <w:pPr>
        <w:spacing w:before="72" w:after="72" w:line="360" w:lineRule="auto"/>
        <w:rPr>
          <w:rFonts w:ascii="楷体" w:hAnsi="楷体" w:eastAsia="楷体" w:cs="楷体"/>
          <w:b/>
          <w:bCs/>
          <w:color w:val="auto"/>
          <w:sz w:val="24"/>
          <w:highlight w:val="none"/>
        </w:rPr>
      </w:pPr>
    </w:p>
    <w:p w14:paraId="350D4811">
      <w:pPr>
        <w:spacing w:before="72" w:after="72" w:line="360" w:lineRule="auto"/>
        <w:rPr>
          <w:rFonts w:ascii="楷体" w:hAnsi="楷体" w:eastAsia="楷体" w:cs="楷体"/>
          <w:b/>
          <w:bCs/>
          <w:color w:val="auto"/>
          <w:sz w:val="24"/>
          <w:highlight w:val="none"/>
        </w:rPr>
      </w:pPr>
    </w:p>
    <w:p w14:paraId="438F3A07">
      <w:pPr>
        <w:spacing w:before="72" w:after="72" w:line="360" w:lineRule="auto"/>
        <w:rPr>
          <w:rFonts w:ascii="楷体" w:hAnsi="楷体" w:eastAsia="楷体" w:cs="楷体"/>
          <w:b/>
          <w:bCs/>
          <w:color w:val="auto"/>
          <w:sz w:val="24"/>
          <w:highlight w:val="none"/>
        </w:rPr>
      </w:pPr>
    </w:p>
    <w:p w14:paraId="4DBBC71F">
      <w:pPr>
        <w:spacing w:before="72" w:after="72" w:line="360" w:lineRule="auto"/>
        <w:rPr>
          <w:rFonts w:ascii="楷体" w:hAnsi="楷体" w:eastAsia="楷体" w:cs="楷体"/>
          <w:b/>
          <w:bCs/>
          <w:color w:val="auto"/>
          <w:sz w:val="24"/>
          <w:highlight w:val="none"/>
        </w:rPr>
      </w:pPr>
    </w:p>
    <w:p w14:paraId="618C2DB0">
      <w:pPr>
        <w:spacing w:before="72" w:after="72" w:line="360" w:lineRule="auto"/>
        <w:rPr>
          <w:rFonts w:ascii="楷体" w:hAnsi="楷体" w:eastAsia="楷体" w:cs="楷体"/>
          <w:b/>
          <w:bCs/>
          <w:color w:val="auto"/>
          <w:sz w:val="24"/>
          <w:highlight w:val="none"/>
        </w:rPr>
      </w:pPr>
    </w:p>
    <w:p w14:paraId="529C4EC7">
      <w:pPr>
        <w:spacing w:before="72" w:after="72" w:line="360" w:lineRule="auto"/>
        <w:jc w:val="center"/>
        <w:rPr>
          <w:rFonts w:ascii="楷体" w:hAnsi="楷体" w:eastAsia="楷体" w:cs="楷体"/>
          <w:b/>
          <w:bCs/>
          <w:color w:val="auto"/>
          <w:sz w:val="24"/>
          <w:highlight w:val="none"/>
        </w:rPr>
      </w:pPr>
    </w:p>
    <w:p w14:paraId="072D03CF">
      <w:pPr>
        <w:pStyle w:val="5"/>
        <w:numPr>
          <w:ilvl w:val="0"/>
          <w:numId w:val="70"/>
        </w:numPr>
        <w:jc w:val="center"/>
        <w:rPr>
          <w:rFonts w:ascii="楷体" w:hAnsi="楷体" w:eastAsia="楷体" w:cs="楷体"/>
          <w:color w:val="auto"/>
          <w:highlight w:val="none"/>
        </w:rPr>
      </w:pPr>
      <w:bookmarkStart w:id="447" w:name="_Toc182886668"/>
      <w:bookmarkStart w:id="448" w:name="_Toc183316728"/>
      <w:bookmarkStart w:id="449" w:name="_Toc196294647"/>
      <w:r>
        <w:rPr>
          <w:rFonts w:hint="eastAsia" w:ascii="楷体" w:hAnsi="楷体" w:eastAsia="楷体" w:cs="楷体"/>
          <w:b w:val="0"/>
          <w:color w:val="auto"/>
          <w:kern w:val="44"/>
          <w:szCs w:val="36"/>
          <w:highlight w:val="none"/>
        </w:rPr>
        <w:br w:type="page"/>
      </w:r>
      <w:bookmarkEnd w:id="435"/>
      <w:bookmarkEnd w:id="436"/>
      <w:bookmarkEnd w:id="437"/>
      <w:bookmarkEnd w:id="447"/>
      <w:bookmarkEnd w:id="448"/>
      <w:bookmarkEnd w:id="449"/>
      <w:bookmarkStart w:id="450" w:name="_Toc28687"/>
      <w:bookmarkStart w:id="451" w:name="_Toc423021970"/>
      <w:bookmarkStart w:id="452" w:name="_Toc27787"/>
      <w:bookmarkStart w:id="453" w:name="_Toc9631"/>
      <w:bookmarkStart w:id="454" w:name="_Toc3825"/>
      <w:bookmarkStart w:id="455" w:name="_Toc583"/>
      <w:bookmarkStart w:id="456" w:name="_Toc483642771"/>
      <w:bookmarkStart w:id="457" w:name="_Toc10517"/>
      <w:bookmarkStart w:id="458" w:name="_Toc196294634"/>
      <w:r>
        <w:rPr>
          <w:rFonts w:hint="eastAsia" w:ascii="楷体" w:hAnsi="楷体" w:eastAsia="楷体" w:cs="楷体"/>
          <w:color w:val="auto"/>
          <w:highlight w:val="none"/>
        </w:rPr>
        <w:t>招标代理服务费支付承诺书</w:t>
      </w:r>
      <w:bookmarkEnd w:id="450"/>
      <w:bookmarkEnd w:id="451"/>
      <w:bookmarkEnd w:id="452"/>
      <w:bookmarkEnd w:id="453"/>
      <w:bookmarkEnd w:id="454"/>
      <w:bookmarkEnd w:id="455"/>
      <w:bookmarkEnd w:id="456"/>
      <w:bookmarkEnd w:id="457"/>
    </w:p>
    <w:p w14:paraId="07EA9F2C">
      <w:pPr>
        <w:spacing w:beforeLines="50" w:afterLines="50" w:line="360" w:lineRule="auto"/>
        <w:rPr>
          <w:rFonts w:ascii="楷体" w:hAnsi="楷体" w:eastAsia="楷体" w:cs="楷体"/>
          <w:b/>
          <w:bCs/>
          <w:color w:val="auto"/>
          <w:sz w:val="24"/>
          <w:highlight w:val="none"/>
        </w:rPr>
      </w:pPr>
      <w:r>
        <w:rPr>
          <w:rFonts w:hint="eastAsia" w:ascii="楷体" w:hAnsi="楷体" w:eastAsia="楷体" w:cs="楷体"/>
          <w:b/>
          <w:bCs/>
          <w:color w:val="auto"/>
          <w:sz w:val="24"/>
          <w:highlight w:val="none"/>
        </w:rPr>
        <w:t>致：广东鼎信招标采购有限公司</w:t>
      </w:r>
    </w:p>
    <w:p w14:paraId="25809BD0">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本公司</w:t>
      </w:r>
      <w:r>
        <w:rPr>
          <w:rFonts w:hint="eastAsia" w:ascii="楷体" w:hAnsi="楷体" w:eastAsia="楷体" w:cs="楷体"/>
          <w:color w:val="auto"/>
          <w:sz w:val="24"/>
          <w:highlight w:val="none"/>
          <w:u w:val="single"/>
        </w:rPr>
        <w:t xml:space="preserve">     (投标人全称)   </w:t>
      </w:r>
      <w:r>
        <w:rPr>
          <w:rFonts w:hint="eastAsia" w:ascii="楷体" w:hAnsi="楷体" w:eastAsia="楷体" w:cs="楷体"/>
          <w:color w:val="auto"/>
          <w:sz w:val="24"/>
          <w:highlight w:val="none"/>
        </w:rPr>
        <w:t>在参加贵公司举行的</w:t>
      </w:r>
      <w:r>
        <w:rPr>
          <w:rFonts w:hint="eastAsia" w:ascii="楷体" w:hAnsi="楷体" w:eastAsia="楷体" w:cs="楷体"/>
          <w:color w:val="auto"/>
          <w:sz w:val="24"/>
          <w:highlight w:val="none"/>
          <w:u w:val="single"/>
        </w:rPr>
        <w:t>（项目名称）(项目编号： )</w:t>
      </w:r>
      <w:r>
        <w:rPr>
          <w:rFonts w:hint="eastAsia" w:ascii="楷体" w:hAnsi="楷体" w:eastAsia="楷体" w:cs="楷体"/>
          <w:color w:val="auto"/>
          <w:sz w:val="24"/>
          <w:highlight w:val="none"/>
        </w:rPr>
        <w:t>招标中如获中标,保证在收到贵公司发出的中标通知书的同时，向贵公司交纳招标代理服务费。</w:t>
      </w:r>
    </w:p>
    <w:p w14:paraId="73BA4F4F">
      <w:pPr>
        <w:spacing w:before="72" w:after="72"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如我公司违反上述承诺，愿意承担由此引起的全部法律责任。</w:t>
      </w:r>
    </w:p>
    <w:p w14:paraId="545F6C8B">
      <w:pPr>
        <w:spacing w:before="72" w:after="72" w:line="360" w:lineRule="auto"/>
        <w:ind w:firstLine="544" w:firstLineChars="227"/>
        <w:rPr>
          <w:rFonts w:ascii="楷体" w:hAnsi="楷体" w:eastAsia="楷体" w:cs="楷体"/>
          <w:color w:val="auto"/>
          <w:sz w:val="24"/>
          <w:highlight w:val="none"/>
        </w:rPr>
      </w:pPr>
      <w:r>
        <w:rPr>
          <w:rFonts w:hint="eastAsia" w:ascii="楷体" w:hAnsi="楷体" w:eastAsia="楷体" w:cs="楷体"/>
          <w:color w:val="auto"/>
          <w:sz w:val="24"/>
          <w:highlight w:val="none"/>
        </w:rPr>
        <w:t>特此承诺。</w:t>
      </w:r>
    </w:p>
    <w:p w14:paraId="540B2380">
      <w:pPr>
        <w:spacing w:before="72" w:after="72" w:line="360" w:lineRule="auto"/>
        <w:ind w:left="315"/>
        <w:rPr>
          <w:rFonts w:ascii="楷体" w:hAnsi="楷体" w:eastAsia="楷体" w:cs="楷体"/>
          <w:color w:val="auto"/>
          <w:sz w:val="24"/>
          <w:highlight w:val="none"/>
        </w:rPr>
      </w:pPr>
    </w:p>
    <w:p w14:paraId="21FDD0CF">
      <w:pPr>
        <w:spacing w:before="72" w:after="72" w:line="360" w:lineRule="auto"/>
        <w:ind w:left="315"/>
        <w:rPr>
          <w:rFonts w:ascii="楷体" w:hAnsi="楷体" w:eastAsia="楷体" w:cs="楷体"/>
          <w:color w:val="auto"/>
          <w:sz w:val="24"/>
          <w:highlight w:val="none"/>
        </w:rPr>
      </w:pPr>
    </w:p>
    <w:p w14:paraId="47BB687E">
      <w:pPr>
        <w:spacing w:before="72" w:after="72" w:line="360" w:lineRule="auto"/>
        <w:ind w:left="315"/>
        <w:rPr>
          <w:rFonts w:ascii="楷体" w:hAnsi="楷体" w:eastAsia="楷体" w:cs="楷体"/>
          <w:color w:val="auto"/>
          <w:sz w:val="24"/>
          <w:highlight w:val="none"/>
        </w:rPr>
      </w:pPr>
    </w:p>
    <w:p w14:paraId="2CDD55A5">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1BFF5565">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4315013D">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415A76D1">
      <w:pPr>
        <w:snapToGrid w:val="0"/>
        <w:spacing w:line="360" w:lineRule="auto"/>
        <w:ind w:firstLine="470" w:firstLineChars="196"/>
        <w:rPr>
          <w:rFonts w:ascii="楷体" w:hAnsi="楷体" w:eastAsia="楷体" w:cs="楷体"/>
          <w:color w:val="auto"/>
          <w:sz w:val="24"/>
          <w:highlight w:val="none"/>
        </w:rPr>
        <w:sectPr>
          <w:pgSz w:w="11906" w:h="16838"/>
          <w:pgMar w:top="1440" w:right="1800" w:bottom="1440" w:left="1800" w:header="851" w:footer="992" w:gutter="0"/>
          <w:cols w:space="720" w:num="1"/>
          <w:docGrid w:linePitch="312" w:charSpace="0"/>
        </w:sectPr>
      </w:pPr>
    </w:p>
    <w:p w14:paraId="0ED934E1">
      <w:pPr>
        <w:pStyle w:val="4"/>
        <w:jc w:val="center"/>
        <w:rPr>
          <w:rFonts w:ascii="楷体" w:hAnsi="楷体" w:eastAsia="楷体" w:cs="楷体"/>
          <w:color w:val="auto"/>
          <w:sz w:val="44"/>
          <w:szCs w:val="44"/>
          <w:highlight w:val="none"/>
        </w:rPr>
      </w:pPr>
      <w:bookmarkStart w:id="459" w:name="_Toc10488322"/>
      <w:bookmarkEnd w:id="459"/>
      <w:bookmarkStart w:id="460" w:name="_Toc32133"/>
      <w:bookmarkEnd w:id="460"/>
      <w:bookmarkStart w:id="461" w:name="_Toc16543"/>
      <w:bookmarkStart w:id="462" w:name="_Toc18188"/>
      <w:bookmarkStart w:id="463" w:name="_Toc10821"/>
      <w:bookmarkStart w:id="464" w:name="_Toc423021961"/>
      <w:bookmarkStart w:id="465" w:name="_Toc11738"/>
      <w:bookmarkStart w:id="466" w:name="_Toc20635"/>
      <w:bookmarkStart w:id="467" w:name="_Toc381489435"/>
    </w:p>
    <w:p w14:paraId="0AD03BB8">
      <w:pPr>
        <w:pStyle w:val="4"/>
        <w:jc w:val="center"/>
        <w:rPr>
          <w:rFonts w:ascii="楷体" w:hAnsi="楷体" w:eastAsia="楷体" w:cs="楷体"/>
          <w:color w:val="auto"/>
          <w:sz w:val="44"/>
          <w:szCs w:val="44"/>
          <w:highlight w:val="none"/>
        </w:rPr>
      </w:pPr>
    </w:p>
    <w:p w14:paraId="66E70AAA">
      <w:pPr>
        <w:pStyle w:val="4"/>
        <w:jc w:val="center"/>
        <w:rPr>
          <w:rFonts w:ascii="楷体" w:hAnsi="楷体" w:eastAsia="楷体" w:cs="楷体"/>
          <w:color w:val="auto"/>
          <w:sz w:val="44"/>
          <w:szCs w:val="44"/>
          <w:highlight w:val="none"/>
        </w:rPr>
      </w:pPr>
    </w:p>
    <w:p w14:paraId="5972C2A7">
      <w:pPr>
        <w:pStyle w:val="4"/>
        <w:jc w:val="center"/>
        <w:rPr>
          <w:rFonts w:ascii="楷体" w:hAnsi="楷体" w:eastAsia="楷体" w:cs="楷体"/>
          <w:color w:val="auto"/>
          <w:sz w:val="44"/>
          <w:szCs w:val="44"/>
          <w:highlight w:val="none"/>
        </w:rPr>
      </w:pPr>
    </w:p>
    <w:p w14:paraId="504D8B40">
      <w:pPr>
        <w:pStyle w:val="4"/>
        <w:jc w:val="center"/>
        <w:rPr>
          <w:rFonts w:ascii="楷体" w:hAnsi="楷体" w:eastAsia="楷体" w:cs="楷体"/>
          <w:color w:val="auto"/>
          <w:sz w:val="44"/>
          <w:szCs w:val="44"/>
          <w:highlight w:val="none"/>
        </w:rPr>
      </w:pPr>
    </w:p>
    <w:p w14:paraId="43551A8C">
      <w:pPr>
        <w:pStyle w:val="4"/>
        <w:jc w:val="center"/>
        <w:rPr>
          <w:rFonts w:ascii="楷体" w:hAnsi="楷体" w:eastAsia="楷体" w:cs="楷体"/>
          <w:color w:val="auto"/>
          <w:sz w:val="44"/>
          <w:szCs w:val="44"/>
          <w:highlight w:val="none"/>
        </w:rPr>
      </w:pPr>
      <w:bookmarkStart w:id="468" w:name="_Toc27683"/>
      <w:bookmarkStart w:id="469" w:name="_Toc17409"/>
      <w:r>
        <w:rPr>
          <w:rFonts w:hint="eastAsia" w:ascii="楷体" w:hAnsi="楷体" w:eastAsia="楷体" w:cs="楷体"/>
          <w:color w:val="auto"/>
          <w:sz w:val="44"/>
          <w:szCs w:val="44"/>
          <w:highlight w:val="none"/>
        </w:rPr>
        <w:t>第三部分商务文件</w:t>
      </w:r>
      <w:bookmarkEnd w:id="458"/>
      <w:bookmarkEnd w:id="461"/>
      <w:bookmarkEnd w:id="462"/>
      <w:bookmarkEnd w:id="463"/>
      <w:bookmarkEnd w:id="464"/>
      <w:bookmarkEnd w:id="465"/>
      <w:bookmarkEnd w:id="466"/>
      <w:bookmarkEnd w:id="467"/>
      <w:bookmarkEnd w:id="468"/>
      <w:bookmarkEnd w:id="469"/>
    </w:p>
    <w:p w14:paraId="15A71530">
      <w:pPr>
        <w:rPr>
          <w:rFonts w:ascii="楷体" w:hAnsi="楷体" w:eastAsia="楷体" w:cs="楷体"/>
          <w:color w:val="auto"/>
          <w:highlight w:val="none"/>
        </w:rPr>
      </w:pPr>
    </w:p>
    <w:p w14:paraId="66B1EE84">
      <w:pPr>
        <w:rPr>
          <w:rFonts w:ascii="楷体" w:hAnsi="楷体" w:eastAsia="楷体" w:cs="楷体"/>
          <w:color w:val="auto"/>
          <w:highlight w:val="none"/>
        </w:rPr>
        <w:sectPr>
          <w:pgSz w:w="11906" w:h="16838"/>
          <w:pgMar w:top="1440" w:right="1800" w:bottom="1440" w:left="1800" w:header="851" w:footer="992" w:gutter="0"/>
          <w:cols w:space="720" w:num="1"/>
          <w:docGrid w:linePitch="312" w:charSpace="0"/>
        </w:sectPr>
      </w:pPr>
    </w:p>
    <w:p w14:paraId="0EE3FB9F">
      <w:pPr>
        <w:rPr>
          <w:rFonts w:ascii="楷体" w:hAnsi="楷体" w:eastAsia="楷体" w:cs="楷体"/>
          <w:color w:val="auto"/>
          <w:highlight w:val="none"/>
        </w:rPr>
      </w:pPr>
    </w:p>
    <w:p w14:paraId="39E5811B">
      <w:pPr>
        <w:pStyle w:val="5"/>
        <w:numPr>
          <w:ilvl w:val="0"/>
          <w:numId w:val="74"/>
        </w:numPr>
        <w:adjustRightInd w:val="0"/>
        <w:snapToGrid w:val="0"/>
        <w:spacing w:before="0" w:after="0"/>
        <w:jc w:val="center"/>
        <w:rPr>
          <w:rFonts w:ascii="楷体" w:hAnsi="楷体" w:eastAsia="楷体" w:cs="楷体"/>
          <w:color w:val="auto"/>
          <w:highlight w:val="none"/>
        </w:rPr>
      </w:pPr>
      <w:bookmarkStart w:id="470" w:name="_Toc423021962"/>
      <w:bookmarkStart w:id="471" w:name="_Toc381489436"/>
      <w:bookmarkStart w:id="472" w:name="_Toc9533"/>
      <w:bookmarkStart w:id="473" w:name="_Toc30547"/>
      <w:bookmarkStart w:id="474" w:name="_Toc13714"/>
      <w:bookmarkStart w:id="475" w:name="_Toc9516"/>
      <w:bookmarkStart w:id="476" w:name="_Toc26018"/>
      <w:bookmarkStart w:id="477" w:name="_Toc23306"/>
      <w:bookmarkStart w:id="478" w:name="_Toc30265"/>
      <w:r>
        <w:rPr>
          <w:rFonts w:hint="eastAsia" w:ascii="楷体" w:hAnsi="楷体" w:eastAsia="楷体" w:cs="楷体"/>
          <w:color w:val="auto"/>
          <w:highlight w:val="none"/>
        </w:rPr>
        <w:t>投标人</w:t>
      </w:r>
      <w:bookmarkEnd w:id="470"/>
      <w:bookmarkEnd w:id="471"/>
      <w:bookmarkEnd w:id="472"/>
      <w:r>
        <w:rPr>
          <w:rFonts w:hint="eastAsia" w:ascii="楷体" w:hAnsi="楷体" w:eastAsia="楷体" w:cs="楷体"/>
          <w:color w:val="auto"/>
          <w:highlight w:val="none"/>
        </w:rPr>
        <w:t>概况</w:t>
      </w:r>
      <w:bookmarkEnd w:id="473"/>
      <w:bookmarkEnd w:id="474"/>
      <w:bookmarkEnd w:id="475"/>
      <w:bookmarkEnd w:id="476"/>
      <w:bookmarkEnd w:id="477"/>
      <w:bookmarkEnd w:id="478"/>
    </w:p>
    <w:p w14:paraId="4CEA2EF1">
      <w:pPr>
        <w:numPr>
          <w:ilvl w:val="0"/>
          <w:numId w:val="75"/>
        </w:numPr>
        <w:adjustRightInd w:val="0"/>
        <w:snapToGrid w:val="0"/>
        <w:spacing w:line="360" w:lineRule="auto"/>
        <w:jc w:val="center"/>
        <w:rPr>
          <w:rFonts w:ascii="楷体" w:hAnsi="楷体" w:eastAsia="楷体" w:cs="楷体"/>
          <w:b/>
          <w:color w:val="auto"/>
          <w:kern w:val="44"/>
          <w:sz w:val="30"/>
          <w:szCs w:val="30"/>
          <w:highlight w:val="none"/>
        </w:rPr>
      </w:pPr>
      <w:r>
        <w:rPr>
          <w:rFonts w:hint="eastAsia" w:ascii="楷体" w:hAnsi="楷体" w:eastAsia="楷体" w:cs="楷体"/>
          <w:b/>
          <w:color w:val="auto"/>
          <w:kern w:val="44"/>
          <w:sz w:val="30"/>
          <w:szCs w:val="30"/>
          <w:highlight w:val="none"/>
        </w:rPr>
        <w:t>投标人情况介绍表</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88"/>
        <w:gridCol w:w="491"/>
        <w:gridCol w:w="914"/>
        <w:gridCol w:w="259"/>
        <w:gridCol w:w="943"/>
        <w:gridCol w:w="1568"/>
        <w:gridCol w:w="748"/>
        <w:gridCol w:w="160"/>
        <w:gridCol w:w="1178"/>
      </w:tblGrid>
      <w:tr w14:paraId="5808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559760DF">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单位名称</w:t>
            </w:r>
          </w:p>
        </w:tc>
        <w:tc>
          <w:tcPr>
            <w:tcW w:w="4370" w:type="pct"/>
            <w:gridSpan w:val="9"/>
            <w:vAlign w:val="center"/>
          </w:tcPr>
          <w:p w14:paraId="55B927A9">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352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4F79B5AE">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地址</w:t>
            </w:r>
          </w:p>
        </w:tc>
        <w:tc>
          <w:tcPr>
            <w:tcW w:w="4370" w:type="pct"/>
            <w:gridSpan w:val="9"/>
            <w:vAlign w:val="center"/>
          </w:tcPr>
          <w:p w14:paraId="6B4F624A">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67F4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AE67996">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主管部门</w:t>
            </w:r>
          </w:p>
        </w:tc>
        <w:tc>
          <w:tcPr>
            <w:tcW w:w="985" w:type="pct"/>
            <w:gridSpan w:val="2"/>
            <w:vAlign w:val="center"/>
          </w:tcPr>
          <w:p w14:paraId="6CC9C6F5">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88" w:type="pct"/>
            <w:gridSpan w:val="2"/>
            <w:vAlign w:val="center"/>
          </w:tcPr>
          <w:p w14:paraId="7BEF1841">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法人代表</w:t>
            </w:r>
          </w:p>
        </w:tc>
        <w:tc>
          <w:tcPr>
            <w:tcW w:w="1472" w:type="pct"/>
            <w:gridSpan w:val="2"/>
            <w:vAlign w:val="center"/>
          </w:tcPr>
          <w:p w14:paraId="32BD3CD1">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439" w:type="pct"/>
            <w:vAlign w:val="center"/>
          </w:tcPr>
          <w:p w14:paraId="1A4FCE82">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职务</w:t>
            </w:r>
          </w:p>
        </w:tc>
        <w:tc>
          <w:tcPr>
            <w:tcW w:w="783" w:type="pct"/>
            <w:gridSpan w:val="2"/>
          </w:tcPr>
          <w:p w14:paraId="1B41A32F">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15A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089F9D1">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经济类型</w:t>
            </w:r>
          </w:p>
        </w:tc>
        <w:tc>
          <w:tcPr>
            <w:tcW w:w="985" w:type="pct"/>
            <w:gridSpan w:val="2"/>
            <w:vAlign w:val="center"/>
          </w:tcPr>
          <w:p w14:paraId="61743EE4">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88" w:type="pct"/>
            <w:gridSpan w:val="2"/>
            <w:vAlign w:val="center"/>
          </w:tcPr>
          <w:p w14:paraId="7B3134F7">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授权代表</w:t>
            </w:r>
          </w:p>
        </w:tc>
        <w:tc>
          <w:tcPr>
            <w:tcW w:w="1472" w:type="pct"/>
            <w:gridSpan w:val="2"/>
            <w:vAlign w:val="center"/>
          </w:tcPr>
          <w:p w14:paraId="5463DD50">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439" w:type="pct"/>
            <w:vAlign w:val="center"/>
          </w:tcPr>
          <w:p w14:paraId="439B88F5">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职务</w:t>
            </w:r>
          </w:p>
        </w:tc>
        <w:tc>
          <w:tcPr>
            <w:tcW w:w="783" w:type="pct"/>
            <w:gridSpan w:val="2"/>
          </w:tcPr>
          <w:p w14:paraId="35269DE4">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5309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5748769C">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邮编</w:t>
            </w:r>
          </w:p>
        </w:tc>
        <w:tc>
          <w:tcPr>
            <w:tcW w:w="985" w:type="pct"/>
            <w:gridSpan w:val="2"/>
            <w:vAlign w:val="center"/>
          </w:tcPr>
          <w:p w14:paraId="1067B2A3">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88" w:type="pct"/>
            <w:gridSpan w:val="2"/>
            <w:vAlign w:val="center"/>
          </w:tcPr>
          <w:p w14:paraId="1DFCA3EE">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电话</w:t>
            </w:r>
          </w:p>
        </w:tc>
        <w:tc>
          <w:tcPr>
            <w:tcW w:w="1472" w:type="pct"/>
            <w:gridSpan w:val="2"/>
            <w:vAlign w:val="center"/>
          </w:tcPr>
          <w:p w14:paraId="45C21160">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439" w:type="pct"/>
            <w:vAlign w:val="center"/>
          </w:tcPr>
          <w:p w14:paraId="5CFA3079">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传真</w:t>
            </w:r>
          </w:p>
        </w:tc>
        <w:tc>
          <w:tcPr>
            <w:tcW w:w="783" w:type="pct"/>
            <w:gridSpan w:val="2"/>
          </w:tcPr>
          <w:p w14:paraId="3BEDF510">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7D36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72D2C130">
            <w:pPr>
              <w:tabs>
                <w:tab w:val="left" w:pos="540"/>
              </w:tabs>
              <w:ind w:left="-128" w:leftChars="-62"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单位简介及机构设置</w:t>
            </w:r>
          </w:p>
        </w:tc>
        <w:tc>
          <w:tcPr>
            <w:tcW w:w="4370" w:type="pct"/>
            <w:gridSpan w:val="9"/>
          </w:tcPr>
          <w:p w14:paraId="0439F4C8">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026A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9" w:type="pct"/>
            <w:vAlign w:val="center"/>
          </w:tcPr>
          <w:p w14:paraId="0EAD1FAC">
            <w:pPr>
              <w:tabs>
                <w:tab w:val="left" w:pos="540"/>
              </w:tabs>
              <w:ind w:left="-128" w:leftChars="-62"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单位优势及特长</w:t>
            </w:r>
          </w:p>
        </w:tc>
        <w:tc>
          <w:tcPr>
            <w:tcW w:w="4370" w:type="pct"/>
            <w:gridSpan w:val="9"/>
          </w:tcPr>
          <w:p w14:paraId="67CD6635">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4F12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restart"/>
            <w:vAlign w:val="center"/>
          </w:tcPr>
          <w:p w14:paraId="3C93D5F2">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单位概况</w:t>
            </w:r>
          </w:p>
        </w:tc>
        <w:tc>
          <w:tcPr>
            <w:tcW w:w="697" w:type="pct"/>
          </w:tcPr>
          <w:p w14:paraId="64A5C5C4">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注册资本</w:t>
            </w:r>
          </w:p>
        </w:tc>
        <w:tc>
          <w:tcPr>
            <w:tcW w:w="824" w:type="pct"/>
            <w:gridSpan w:val="2"/>
          </w:tcPr>
          <w:p w14:paraId="662B5DD8">
            <w:pPr>
              <w:tabs>
                <w:tab w:val="left" w:pos="540"/>
              </w:tabs>
              <w:spacing w:line="440" w:lineRule="exact"/>
              <w:ind w:left="-130" w:leftChars="-63" w:right="-105" w:rightChars="-50" w:hanging="2"/>
              <w:jc w:val="right"/>
              <w:rPr>
                <w:rFonts w:ascii="楷体" w:hAnsi="楷体" w:eastAsia="楷体" w:cs="楷体"/>
                <w:color w:val="auto"/>
                <w:sz w:val="24"/>
                <w:highlight w:val="none"/>
              </w:rPr>
            </w:pPr>
          </w:p>
        </w:tc>
        <w:tc>
          <w:tcPr>
            <w:tcW w:w="705" w:type="pct"/>
            <w:gridSpan w:val="2"/>
          </w:tcPr>
          <w:p w14:paraId="0714EB86">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占地面积</w:t>
            </w:r>
          </w:p>
        </w:tc>
        <w:tc>
          <w:tcPr>
            <w:tcW w:w="2143" w:type="pct"/>
            <w:gridSpan w:val="4"/>
          </w:tcPr>
          <w:p w14:paraId="40F4C33C">
            <w:pPr>
              <w:tabs>
                <w:tab w:val="left" w:pos="540"/>
              </w:tabs>
              <w:spacing w:line="440" w:lineRule="exact"/>
              <w:ind w:left="-132" w:leftChars="-63" w:right="-105" w:rightChars="-50" w:firstLine="3480" w:firstLineChars="1450"/>
              <w:jc w:val="center"/>
              <w:rPr>
                <w:rFonts w:ascii="楷体" w:hAnsi="楷体" w:eastAsia="楷体" w:cs="楷体"/>
                <w:color w:val="auto"/>
                <w:sz w:val="24"/>
                <w:highlight w:val="none"/>
              </w:rPr>
            </w:pPr>
          </w:p>
        </w:tc>
      </w:tr>
      <w:tr w14:paraId="6A06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17DB51A5">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97" w:type="pct"/>
          </w:tcPr>
          <w:p w14:paraId="35E71C04">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职工总数</w:t>
            </w:r>
          </w:p>
        </w:tc>
        <w:tc>
          <w:tcPr>
            <w:tcW w:w="824" w:type="pct"/>
            <w:gridSpan w:val="2"/>
          </w:tcPr>
          <w:p w14:paraId="3D31D603">
            <w:pPr>
              <w:tabs>
                <w:tab w:val="left" w:pos="540"/>
              </w:tabs>
              <w:spacing w:line="440" w:lineRule="exact"/>
              <w:ind w:left="-130" w:leftChars="-63" w:right="-105" w:rightChars="-50" w:hanging="2"/>
              <w:jc w:val="right"/>
              <w:rPr>
                <w:rFonts w:ascii="楷体" w:hAnsi="楷体" w:eastAsia="楷体" w:cs="楷体"/>
                <w:color w:val="auto"/>
                <w:sz w:val="24"/>
                <w:highlight w:val="none"/>
              </w:rPr>
            </w:pPr>
          </w:p>
        </w:tc>
        <w:tc>
          <w:tcPr>
            <w:tcW w:w="705" w:type="pct"/>
            <w:gridSpan w:val="2"/>
          </w:tcPr>
          <w:p w14:paraId="06516A61">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建筑面积</w:t>
            </w:r>
          </w:p>
        </w:tc>
        <w:tc>
          <w:tcPr>
            <w:tcW w:w="2143" w:type="pct"/>
            <w:gridSpan w:val="4"/>
          </w:tcPr>
          <w:p w14:paraId="55FB2A63">
            <w:pPr>
              <w:tabs>
                <w:tab w:val="left" w:pos="540"/>
              </w:tabs>
              <w:spacing w:line="440" w:lineRule="exact"/>
              <w:ind w:left="-132" w:leftChars="-63" w:right="-105" w:rightChars="-50" w:firstLine="3480" w:firstLineChars="1450"/>
              <w:jc w:val="center"/>
              <w:rPr>
                <w:rFonts w:ascii="楷体" w:hAnsi="楷体" w:eastAsia="楷体" w:cs="楷体"/>
                <w:color w:val="auto"/>
                <w:sz w:val="24"/>
                <w:highlight w:val="none"/>
              </w:rPr>
            </w:pPr>
          </w:p>
        </w:tc>
      </w:tr>
      <w:tr w14:paraId="1DD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E951DAC">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97" w:type="pct"/>
            <w:vMerge w:val="restart"/>
            <w:vAlign w:val="center"/>
          </w:tcPr>
          <w:p w14:paraId="53D71EAC">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资产情况</w:t>
            </w:r>
          </w:p>
        </w:tc>
        <w:tc>
          <w:tcPr>
            <w:tcW w:w="824" w:type="pct"/>
            <w:gridSpan w:val="2"/>
            <w:vAlign w:val="center"/>
          </w:tcPr>
          <w:p w14:paraId="50DE91D3">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净资产</w:t>
            </w:r>
          </w:p>
        </w:tc>
        <w:tc>
          <w:tcPr>
            <w:tcW w:w="705" w:type="pct"/>
            <w:gridSpan w:val="2"/>
            <w:vAlign w:val="center"/>
          </w:tcPr>
          <w:p w14:paraId="0A0F1EBA">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920" w:type="pct"/>
            <w:vAlign w:val="center"/>
          </w:tcPr>
          <w:p w14:paraId="7DB9E6C1">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固定资产原值</w:t>
            </w:r>
          </w:p>
        </w:tc>
        <w:tc>
          <w:tcPr>
            <w:tcW w:w="1222" w:type="pct"/>
            <w:gridSpan w:val="3"/>
            <w:vAlign w:val="center"/>
          </w:tcPr>
          <w:p w14:paraId="66ADD5F3">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4083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A20BA0A">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97" w:type="pct"/>
            <w:vMerge w:val="continue"/>
            <w:vAlign w:val="center"/>
          </w:tcPr>
          <w:p w14:paraId="72A8487B">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824" w:type="pct"/>
            <w:gridSpan w:val="2"/>
            <w:vAlign w:val="center"/>
          </w:tcPr>
          <w:p w14:paraId="1F81ECC9">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负债</w:t>
            </w:r>
          </w:p>
        </w:tc>
        <w:tc>
          <w:tcPr>
            <w:tcW w:w="705" w:type="pct"/>
            <w:gridSpan w:val="2"/>
            <w:vAlign w:val="center"/>
          </w:tcPr>
          <w:p w14:paraId="3A2C19F2">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920" w:type="pct"/>
            <w:vAlign w:val="center"/>
          </w:tcPr>
          <w:p w14:paraId="3489C8D9">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固定资产净值</w:t>
            </w:r>
          </w:p>
        </w:tc>
        <w:tc>
          <w:tcPr>
            <w:tcW w:w="1222" w:type="pct"/>
            <w:gridSpan w:val="3"/>
            <w:vAlign w:val="center"/>
          </w:tcPr>
          <w:p w14:paraId="145A1F07">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27FB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pct"/>
            <w:vMerge w:val="restart"/>
            <w:vAlign w:val="center"/>
          </w:tcPr>
          <w:p w14:paraId="15A86597">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财务状况</w:t>
            </w:r>
          </w:p>
        </w:tc>
        <w:tc>
          <w:tcPr>
            <w:tcW w:w="697" w:type="pct"/>
            <w:vAlign w:val="center"/>
          </w:tcPr>
          <w:p w14:paraId="705A5B6D">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年度</w:t>
            </w:r>
          </w:p>
        </w:tc>
        <w:tc>
          <w:tcPr>
            <w:tcW w:w="824" w:type="pct"/>
            <w:gridSpan w:val="2"/>
            <w:vAlign w:val="center"/>
          </w:tcPr>
          <w:p w14:paraId="3EF3BCBC">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主营收入</w:t>
            </w:r>
          </w:p>
        </w:tc>
        <w:tc>
          <w:tcPr>
            <w:tcW w:w="705" w:type="pct"/>
            <w:gridSpan w:val="2"/>
            <w:vAlign w:val="center"/>
          </w:tcPr>
          <w:p w14:paraId="54DD5699">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收入总额</w:t>
            </w:r>
          </w:p>
        </w:tc>
        <w:tc>
          <w:tcPr>
            <w:tcW w:w="920" w:type="pct"/>
            <w:vAlign w:val="center"/>
          </w:tcPr>
          <w:p w14:paraId="5E51EBD2">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利润总额</w:t>
            </w:r>
          </w:p>
        </w:tc>
        <w:tc>
          <w:tcPr>
            <w:tcW w:w="533" w:type="pct"/>
            <w:gridSpan w:val="2"/>
            <w:vAlign w:val="center"/>
          </w:tcPr>
          <w:p w14:paraId="389AB060">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净利润</w:t>
            </w:r>
          </w:p>
        </w:tc>
        <w:tc>
          <w:tcPr>
            <w:tcW w:w="689" w:type="pct"/>
            <w:vAlign w:val="center"/>
          </w:tcPr>
          <w:p w14:paraId="39337845">
            <w:pPr>
              <w:tabs>
                <w:tab w:val="left" w:pos="540"/>
              </w:tabs>
              <w:spacing w:line="440" w:lineRule="exact"/>
              <w:ind w:left="-130" w:leftChars="-63" w:right="-105" w:rightChars="-50" w:hanging="2"/>
              <w:jc w:val="center"/>
              <w:rPr>
                <w:rFonts w:ascii="楷体" w:hAnsi="楷体" w:eastAsia="楷体" w:cs="楷体"/>
                <w:color w:val="auto"/>
                <w:sz w:val="24"/>
                <w:highlight w:val="none"/>
              </w:rPr>
            </w:pPr>
            <w:r>
              <w:rPr>
                <w:rFonts w:hint="eastAsia" w:ascii="楷体" w:hAnsi="楷体" w:eastAsia="楷体" w:cs="楷体"/>
                <w:color w:val="auto"/>
                <w:sz w:val="24"/>
                <w:highlight w:val="none"/>
              </w:rPr>
              <w:t>资产负债率</w:t>
            </w:r>
          </w:p>
        </w:tc>
      </w:tr>
      <w:tr w14:paraId="7C16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30816B58">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97" w:type="pct"/>
          </w:tcPr>
          <w:p w14:paraId="2E70D83D">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824" w:type="pct"/>
            <w:gridSpan w:val="2"/>
          </w:tcPr>
          <w:p w14:paraId="69927AAF">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705" w:type="pct"/>
            <w:gridSpan w:val="2"/>
          </w:tcPr>
          <w:p w14:paraId="13F079E8">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920" w:type="pct"/>
          </w:tcPr>
          <w:p w14:paraId="58E8D70D">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533" w:type="pct"/>
            <w:gridSpan w:val="2"/>
          </w:tcPr>
          <w:p w14:paraId="623A199B">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89" w:type="pct"/>
          </w:tcPr>
          <w:p w14:paraId="2127BF94">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r w14:paraId="4863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D9488F7">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97" w:type="pct"/>
          </w:tcPr>
          <w:p w14:paraId="281CC98E">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824" w:type="pct"/>
            <w:gridSpan w:val="2"/>
          </w:tcPr>
          <w:p w14:paraId="2F35F167">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705" w:type="pct"/>
            <w:gridSpan w:val="2"/>
          </w:tcPr>
          <w:p w14:paraId="6A1E74AB">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920" w:type="pct"/>
          </w:tcPr>
          <w:p w14:paraId="0B416F91">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533" w:type="pct"/>
            <w:gridSpan w:val="2"/>
          </w:tcPr>
          <w:p w14:paraId="4C3D1983">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c>
          <w:tcPr>
            <w:tcW w:w="689" w:type="pct"/>
          </w:tcPr>
          <w:p w14:paraId="5A3D910E">
            <w:pPr>
              <w:tabs>
                <w:tab w:val="left" w:pos="540"/>
              </w:tabs>
              <w:spacing w:line="440" w:lineRule="exact"/>
              <w:ind w:left="-130" w:leftChars="-63" w:right="-105" w:rightChars="-50" w:hanging="2"/>
              <w:jc w:val="center"/>
              <w:rPr>
                <w:rFonts w:ascii="楷体" w:hAnsi="楷体" w:eastAsia="楷体" w:cs="楷体"/>
                <w:color w:val="auto"/>
                <w:sz w:val="24"/>
                <w:highlight w:val="none"/>
              </w:rPr>
            </w:pPr>
          </w:p>
        </w:tc>
      </w:tr>
    </w:tbl>
    <w:p w14:paraId="72BF15D2">
      <w:pPr>
        <w:pStyle w:val="85"/>
        <w:spacing w:line="360" w:lineRule="auto"/>
        <w:ind w:left="960" w:hanging="960" w:hangingChars="400"/>
        <w:rPr>
          <w:rFonts w:ascii="楷体" w:hAnsi="楷体" w:eastAsia="楷体" w:cs="楷体"/>
          <w:bCs w:val="0"/>
          <w:color w:val="auto"/>
          <w:spacing w:val="0"/>
          <w:kern w:val="2"/>
          <w:szCs w:val="24"/>
          <w:highlight w:val="none"/>
          <w:lang w:val="en-GB"/>
        </w:rPr>
      </w:pPr>
      <w:r>
        <w:rPr>
          <w:rFonts w:hint="eastAsia" w:ascii="楷体" w:hAnsi="楷体" w:eastAsia="楷体" w:cs="楷体"/>
          <w:bCs w:val="0"/>
          <w:color w:val="auto"/>
          <w:spacing w:val="0"/>
          <w:kern w:val="2"/>
          <w:szCs w:val="24"/>
          <w:highlight w:val="none"/>
          <w:lang w:val="en-GB"/>
        </w:rPr>
        <w:t>注：</w:t>
      </w:r>
    </w:p>
    <w:p w14:paraId="0319CD48">
      <w:pPr>
        <w:pStyle w:val="85"/>
        <w:numPr>
          <w:ilvl w:val="0"/>
          <w:numId w:val="76"/>
        </w:numPr>
        <w:spacing w:line="360" w:lineRule="auto"/>
        <w:rPr>
          <w:rFonts w:ascii="楷体" w:hAnsi="楷体" w:eastAsia="楷体" w:cs="楷体"/>
          <w:bCs w:val="0"/>
          <w:color w:val="auto"/>
          <w:spacing w:val="0"/>
          <w:kern w:val="2"/>
          <w:szCs w:val="24"/>
          <w:highlight w:val="none"/>
          <w:lang w:val="en-GB"/>
        </w:rPr>
      </w:pPr>
      <w:r>
        <w:rPr>
          <w:rFonts w:hint="eastAsia" w:ascii="楷体" w:hAnsi="楷体" w:eastAsia="楷体" w:cs="楷体"/>
          <w:bCs w:val="0"/>
          <w:color w:val="auto"/>
          <w:spacing w:val="0"/>
          <w:kern w:val="2"/>
          <w:szCs w:val="24"/>
          <w:highlight w:val="none"/>
          <w:lang w:val="en-GB"/>
        </w:rPr>
        <w:t>上表内容可以采用文字描述（企业性质、发展历程、经营规模及服务理念、主营产品、技术力量等）或图片描述（经营场所、主要经营项目等）。</w:t>
      </w:r>
    </w:p>
    <w:p w14:paraId="2AAA654B">
      <w:pPr>
        <w:pStyle w:val="85"/>
        <w:numPr>
          <w:ilvl w:val="0"/>
          <w:numId w:val="76"/>
        </w:numPr>
        <w:spacing w:line="360" w:lineRule="auto"/>
        <w:rPr>
          <w:rFonts w:ascii="楷体" w:hAnsi="楷体" w:eastAsia="楷体" w:cs="楷体"/>
          <w:bCs w:val="0"/>
          <w:color w:val="auto"/>
          <w:spacing w:val="0"/>
          <w:kern w:val="2"/>
          <w:szCs w:val="24"/>
          <w:highlight w:val="none"/>
          <w:lang w:val="en-GB"/>
        </w:rPr>
      </w:pPr>
      <w:r>
        <w:rPr>
          <w:rFonts w:hint="eastAsia" w:ascii="楷体" w:hAnsi="楷体" w:eastAsia="楷体" w:cs="楷体"/>
          <w:bCs w:val="0"/>
          <w:color w:val="auto"/>
          <w:spacing w:val="0"/>
          <w:kern w:val="2"/>
          <w:szCs w:val="24"/>
          <w:highlight w:val="none"/>
          <w:lang w:val="en-GB"/>
        </w:rPr>
        <w:t>投标人须提供</w:t>
      </w:r>
      <w:r>
        <w:rPr>
          <w:rFonts w:hint="eastAsia" w:ascii="楷体" w:hAnsi="楷体" w:eastAsia="楷体" w:cs="楷体"/>
          <w:bCs w:val="0"/>
          <w:color w:val="auto"/>
          <w:spacing w:val="0"/>
          <w:kern w:val="2"/>
          <w:szCs w:val="24"/>
          <w:highlight w:val="none"/>
          <w:u w:val="single"/>
        </w:rPr>
        <w:t>近   年</w:t>
      </w:r>
      <w:r>
        <w:rPr>
          <w:rFonts w:hint="eastAsia" w:ascii="楷体" w:hAnsi="楷体" w:eastAsia="楷体" w:cs="楷体"/>
          <w:bCs w:val="0"/>
          <w:color w:val="auto"/>
          <w:spacing w:val="0"/>
          <w:kern w:val="2"/>
          <w:szCs w:val="24"/>
          <w:highlight w:val="none"/>
          <w:lang w:val="en-US" w:eastAsia="zh-CN"/>
        </w:rPr>
        <w:t>经年审</w:t>
      </w:r>
      <w:r>
        <w:rPr>
          <w:rFonts w:hint="eastAsia" w:ascii="楷体" w:hAnsi="楷体" w:eastAsia="楷体" w:cs="楷体"/>
          <w:bCs w:val="0"/>
          <w:color w:val="auto"/>
          <w:spacing w:val="0"/>
          <w:kern w:val="2"/>
          <w:szCs w:val="24"/>
          <w:highlight w:val="none"/>
          <w:lang w:val="en-GB"/>
        </w:rPr>
        <w:t>的财务报告的复印件（加盖公章）。</w:t>
      </w:r>
    </w:p>
    <w:p w14:paraId="740A0043">
      <w:pPr>
        <w:pStyle w:val="85"/>
        <w:numPr>
          <w:ilvl w:val="0"/>
          <w:numId w:val="76"/>
        </w:numPr>
        <w:rPr>
          <w:rFonts w:ascii="楷体" w:hAnsi="楷体" w:eastAsia="楷体" w:cs="楷体"/>
          <w:bCs w:val="0"/>
          <w:color w:val="auto"/>
          <w:spacing w:val="0"/>
          <w:kern w:val="2"/>
          <w:szCs w:val="24"/>
          <w:highlight w:val="none"/>
          <w:lang w:val="en-GB"/>
        </w:rPr>
      </w:pPr>
      <w:r>
        <w:rPr>
          <w:rFonts w:hint="eastAsia" w:ascii="楷体" w:hAnsi="楷体" w:eastAsia="楷体" w:cs="楷体"/>
          <w:bCs w:val="0"/>
          <w:color w:val="auto"/>
          <w:spacing w:val="0"/>
          <w:kern w:val="2"/>
          <w:szCs w:val="24"/>
          <w:highlight w:val="none"/>
          <w:lang w:val="en-GB"/>
        </w:rPr>
        <w:t>如投标人此表数据有虚假，一经查实，自行承担相关责任。</w:t>
      </w:r>
    </w:p>
    <w:p w14:paraId="24D88798">
      <w:pPr>
        <w:pStyle w:val="85"/>
        <w:ind w:firstLine="420" w:firstLineChars="200"/>
        <w:rPr>
          <w:rFonts w:ascii="楷体" w:hAnsi="楷体" w:eastAsia="楷体" w:cs="楷体"/>
          <w:bCs w:val="0"/>
          <w:color w:val="auto"/>
          <w:spacing w:val="0"/>
          <w:kern w:val="2"/>
          <w:sz w:val="21"/>
          <w:szCs w:val="21"/>
          <w:highlight w:val="none"/>
          <w:lang w:val="en-GB"/>
        </w:rPr>
      </w:pPr>
    </w:p>
    <w:p w14:paraId="51B1A1C6">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2F3CDC7E">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5AFF25B4">
      <w:pPr>
        <w:spacing w:before="72" w:after="72" w:line="400" w:lineRule="exact"/>
        <w:ind w:firstLine="3578" w:firstLineChars="1491"/>
        <w:rPr>
          <w:rFonts w:ascii="楷体" w:hAnsi="楷体" w:eastAsia="楷体" w:cs="楷体"/>
          <w:color w:val="auto"/>
          <w:sz w:val="24"/>
          <w:highlight w:val="none"/>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highlight w:val="none"/>
        </w:rPr>
        <w:t>日期：   年   月   日</w:t>
      </w:r>
    </w:p>
    <w:p w14:paraId="1F550CC0">
      <w:pPr>
        <w:numPr>
          <w:ilvl w:val="0"/>
          <w:numId w:val="75"/>
        </w:numPr>
        <w:spacing w:before="72" w:after="72" w:line="360" w:lineRule="auto"/>
        <w:jc w:val="center"/>
        <w:rPr>
          <w:rFonts w:ascii="楷体" w:hAnsi="楷体" w:eastAsia="楷体" w:cs="楷体"/>
          <w:b/>
          <w:color w:val="auto"/>
          <w:kern w:val="44"/>
          <w:sz w:val="30"/>
          <w:szCs w:val="30"/>
          <w:highlight w:val="none"/>
        </w:rPr>
      </w:pPr>
      <w:r>
        <w:rPr>
          <w:rFonts w:hint="eastAsia" w:ascii="楷体" w:hAnsi="楷体" w:eastAsia="楷体" w:cs="楷体"/>
          <w:b/>
          <w:color w:val="auto"/>
          <w:kern w:val="44"/>
          <w:sz w:val="30"/>
          <w:szCs w:val="30"/>
          <w:highlight w:val="none"/>
          <w:lang w:val="en-US" w:eastAsia="zh-CN"/>
        </w:rPr>
        <w:t>类似</w:t>
      </w:r>
      <w:r>
        <w:rPr>
          <w:rFonts w:hint="eastAsia" w:ascii="楷体" w:hAnsi="楷体" w:eastAsia="楷体" w:cs="楷体"/>
          <w:b/>
          <w:color w:val="auto"/>
          <w:kern w:val="44"/>
          <w:sz w:val="30"/>
          <w:szCs w:val="30"/>
          <w:highlight w:val="none"/>
        </w:rPr>
        <w:t>项目业绩</w:t>
      </w:r>
    </w:p>
    <w:tbl>
      <w:tblPr>
        <w:tblStyle w:val="44"/>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7A7C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7E04935A">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序号</w:t>
            </w:r>
          </w:p>
        </w:tc>
        <w:tc>
          <w:tcPr>
            <w:tcW w:w="1872" w:type="dxa"/>
            <w:shd w:val="clear" w:color="auto" w:fill="EAEAEA"/>
            <w:vAlign w:val="center"/>
          </w:tcPr>
          <w:p w14:paraId="5CB610F2">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客户名称</w:t>
            </w:r>
          </w:p>
        </w:tc>
        <w:tc>
          <w:tcPr>
            <w:tcW w:w="2819" w:type="dxa"/>
            <w:shd w:val="clear" w:color="auto" w:fill="EAEAEA"/>
            <w:vAlign w:val="center"/>
          </w:tcPr>
          <w:p w14:paraId="19FD917E">
            <w:pPr>
              <w:rPr>
                <w:rFonts w:ascii="楷体" w:hAnsi="楷体" w:eastAsia="楷体" w:cs="楷体"/>
                <w:b/>
                <w:bCs/>
                <w:color w:val="auto"/>
                <w:sz w:val="24"/>
                <w:highlight w:val="none"/>
              </w:rPr>
            </w:pPr>
            <w:r>
              <w:rPr>
                <w:rFonts w:hint="eastAsia" w:ascii="楷体" w:hAnsi="楷体" w:eastAsia="楷体" w:cs="楷体"/>
                <w:b/>
                <w:bCs/>
                <w:color w:val="auto"/>
                <w:sz w:val="24"/>
                <w:highlight w:val="none"/>
              </w:rPr>
              <w:t>项目名称及合同金额</w:t>
            </w:r>
          </w:p>
        </w:tc>
        <w:tc>
          <w:tcPr>
            <w:tcW w:w="1236" w:type="dxa"/>
            <w:shd w:val="clear" w:color="auto" w:fill="EAEAEA"/>
            <w:vAlign w:val="center"/>
          </w:tcPr>
          <w:p w14:paraId="12E25DD6">
            <w:pPr>
              <w:rPr>
                <w:rFonts w:ascii="楷体" w:hAnsi="楷体" w:eastAsia="楷体" w:cs="楷体"/>
                <w:b/>
                <w:bCs/>
                <w:color w:val="auto"/>
                <w:sz w:val="24"/>
                <w:highlight w:val="none"/>
              </w:rPr>
            </w:pPr>
            <w:r>
              <w:rPr>
                <w:rFonts w:hint="eastAsia" w:ascii="楷体" w:hAnsi="楷体" w:eastAsia="楷体" w:cs="楷体"/>
                <w:b/>
                <w:bCs/>
                <w:color w:val="auto"/>
                <w:sz w:val="24"/>
                <w:highlight w:val="none"/>
              </w:rPr>
              <w:t>完成时间</w:t>
            </w:r>
          </w:p>
        </w:tc>
        <w:tc>
          <w:tcPr>
            <w:tcW w:w="2237" w:type="dxa"/>
            <w:shd w:val="clear" w:color="auto" w:fill="EAEAEA"/>
            <w:vAlign w:val="center"/>
          </w:tcPr>
          <w:p w14:paraId="540ACD3F">
            <w:pPr>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联系人及电话</w:t>
            </w:r>
          </w:p>
        </w:tc>
      </w:tr>
      <w:tr w14:paraId="47D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67FBAACA">
            <w:pPr>
              <w:jc w:val="center"/>
              <w:rPr>
                <w:rFonts w:ascii="楷体" w:hAnsi="楷体" w:eastAsia="楷体" w:cs="楷体"/>
                <w:color w:val="auto"/>
                <w:sz w:val="24"/>
                <w:highlight w:val="none"/>
              </w:rPr>
            </w:pPr>
            <w:r>
              <w:rPr>
                <w:rFonts w:hint="eastAsia" w:ascii="楷体" w:hAnsi="楷体" w:eastAsia="楷体" w:cs="楷体"/>
                <w:color w:val="auto"/>
                <w:sz w:val="24"/>
                <w:highlight w:val="none"/>
              </w:rPr>
              <w:t>1</w:t>
            </w:r>
          </w:p>
        </w:tc>
        <w:tc>
          <w:tcPr>
            <w:tcW w:w="1872" w:type="dxa"/>
            <w:vAlign w:val="center"/>
          </w:tcPr>
          <w:p w14:paraId="79524439">
            <w:pPr>
              <w:jc w:val="center"/>
              <w:rPr>
                <w:rFonts w:ascii="楷体" w:hAnsi="楷体" w:eastAsia="楷体" w:cs="楷体"/>
                <w:color w:val="auto"/>
                <w:sz w:val="24"/>
                <w:highlight w:val="none"/>
              </w:rPr>
            </w:pPr>
          </w:p>
        </w:tc>
        <w:tc>
          <w:tcPr>
            <w:tcW w:w="2819" w:type="dxa"/>
            <w:vAlign w:val="center"/>
          </w:tcPr>
          <w:p w14:paraId="2A5CDBB6">
            <w:pPr>
              <w:jc w:val="center"/>
              <w:rPr>
                <w:rFonts w:ascii="楷体" w:hAnsi="楷体" w:eastAsia="楷体" w:cs="楷体"/>
                <w:color w:val="auto"/>
                <w:sz w:val="24"/>
                <w:highlight w:val="none"/>
              </w:rPr>
            </w:pPr>
          </w:p>
        </w:tc>
        <w:tc>
          <w:tcPr>
            <w:tcW w:w="1236" w:type="dxa"/>
            <w:vAlign w:val="center"/>
          </w:tcPr>
          <w:p w14:paraId="48836A21">
            <w:pPr>
              <w:jc w:val="center"/>
              <w:rPr>
                <w:rFonts w:ascii="楷体" w:hAnsi="楷体" w:eastAsia="楷体" w:cs="楷体"/>
                <w:color w:val="auto"/>
                <w:sz w:val="24"/>
                <w:highlight w:val="none"/>
              </w:rPr>
            </w:pPr>
          </w:p>
        </w:tc>
        <w:tc>
          <w:tcPr>
            <w:tcW w:w="2237" w:type="dxa"/>
            <w:vAlign w:val="center"/>
          </w:tcPr>
          <w:p w14:paraId="143CE6F9">
            <w:pPr>
              <w:jc w:val="center"/>
              <w:rPr>
                <w:rFonts w:ascii="楷体" w:hAnsi="楷体" w:eastAsia="楷体" w:cs="楷体"/>
                <w:color w:val="auto"/>
                <w:sz w:val="24"/>
                <w:highlight w:val="none"/>
              </w:rPr>
            </w:pPr>
          </w:p>
        </w:tc>
      </w:tr>
      <w:tr w14:paraId="1BCD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75EC1C19">
            <w:pPr>
              <w:jc w:val="center"/>
              <w:rPr>
                <w:rFonts w:ascii="楷体" w:hAnsi="楷体" w:eastAsia="楷体" w:cs="楷体"/>
                <w:color w:val="auto"/>
                <w:sz w:val="24"/>
                <w:highlight w:val="none"/>
              </w:rPr>
            </w:pPr>
            <w:r>
              <w:rPr>
                <w:rFonts w:hint="eastAsia" w:ascii="楷体" w:hAnsi="楷体" w:eastAsia="楷体" w:cs="楷体"/>
                <w:color w:val="auto"/>
                <w:sz w:val="24"/>
                <w:highlight w:val="none"/>
              </w:rPr>
              <w:t>2</w:t>
            </w:r>
          </w:p>
        </w:tc>
        <w:tc>
          <w:tcPr>
            <w:tcW w:w="1872" w:type="dxa"/>
            <w:vAlign w:val="center"/>
          </w:tcPr>
          <w:p w14:paraId="0344E409">
            <w:pPr>
              <w:jc w:val="center"/>
              <w:rPr>
                <w:rFonts w:ascii="楷体" w:hAnsi="楷体" w:eastAsia="楷体" w:cs="楷体"/>
                <w:color w:val="auto"/>
                <w:sz w:val="24"/>
                <w:highlight w:val="none"/>
              </w:rPr>
            </w:pPr>
          </w:p>
        </w:tc>
        <w:tc>
          <w:tcPr>
            <w:tcW w:w="2819" w:type="dxa"/>
            <w:vAlign w:val="center"/>
          </w:tcPr>
          <w:p w14:paraId="0EC1D85A">
            <w:pPr>
              <w:jc w:val="center"/>
              <w:rPr>
                <w:rFonts w:ascii="楷体" w:hAnsi="楷体" w:eastAsia="楷体" w:cs="楷体"/>
                <w:color w:val="auto"/>
                <w:sz w:val="24"/>
                <w:highlight w:val="none"/>
              </w:rPr>
            </w:pPr>
          </w:p>
        </w:tc>
        <w:tc>
          <w:tcPr>
            <w:tcW w:w="1236" w:type="dxa"/>
            <w:vAlign w:val="center"/>
          </w:tcPr>
          <w:p w14:paraId="704FABCC">
            <w:pPr>
              <w:pStyle w:val="77"/>
              <w:rPr>
                <w:rFonts w:ascii="楷体" w:hAnsi="楷体" w:eastAsia="楷体" w:cs="楷体"/>
                <w:color w:val="auto"/>
                <w:sz w:val="24"/>
                <w:szCs w:val="24"/>
                <w:highlight w:val="none"/>
              </w:rPr>
            </w:pPr>
          </w:p>
        </w:tc>
        <w:tc>
          <w:tcPr>
            <w:tcW w:w="2237" w:type="dxa"/>
            <w:vAlign w:val="center"/>
          </w:tcPr>
          <w:p w14:paraId="630869C0">
            <w:pPr>
              <w:jc w:val="center"/>
              <w:rPr>
                <w:rFonts w:ascii="楷体" w:hAnsi="楷体" w:eastAsia="楷体" w:cs="楷体"/>
                <w:color w:val="auto"/>
                <w:sz w:val="24"/>
                <w:highlight w:val="none"/>
              </w:rPr>
            </w:pPr>
          </w:p>
        </w:tc>
      </w:tr>
      <w:tr w14:paraId="319A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6AF46721">
            <w:pPr>
              <w:jc w:val="center"/>
              <w:rPr>
                <w:rFonts w:ascii="楷体" w:hAnsi="楷体" w:eastAsia="楷体" w:cs="楷体"/>
                <w:color w:val="auto"/>
                <w:sz w:val="24"/>
                <w:highlight w:val="none"/>
              </w:rPr>
            </w:pPr>
            <w:r>
              <w:rPr>
                <w:rFonts w:hint="eastAsia" w:ascii="楷体" w:hAnsi="楷体" w:eastAsia="楷体" w:cs="楷体"/>
                <w:color w:val="auto"/>
                <w:sz w:val="24"/>
                <w:highlight w:val="none"/>
              </w:rPr>
              <w:t>3</w:t>
            </w:r>
          </w:p>
        </w:tc>
        <w:tc>
          <w:tcPr>
            <w:tcW w:w="1872" w:type="dxa"/>
            <w:vAlign w:val="center"/>
          </w:tcPr>
          <w:p w14:paraId="736DC9C2">
            <w:pPr>
              <w:jc w:val="center"/>
              <w:rPr>
                <w:rFonts w:ascii="楷体" w:hAnsi="楷体" w:eastAsia="楷体" w:cs="楷体"/>
                <w:color w:val="auto"/>
                <w:sz w:val="24"/>
                <w:highlight w:val="none"/>
              </w:rPr>
            </w:pPr>
          </w:p>
        </w:tc>
        <w:tc>
          <w:tcPr>
            <w:tcW w:w="2819" w:type="dxa"/>
            <w:vAlign w:val="center"/>
          </w:tcPr>
          <w:p w14:paraId="10392016">
            <w:pPr>
              <w:jc w:val="center"/>
              <w:rPr>
                <w:rFonts w:ascii="楷体" w:hAnsi="楷体" w:eastAsia="楷体" w:cs="楷体"/>
                <w:color w:val="auto"/>
                <w:sz w:val="24"/>
                <w:highlight w:val="none"/>
              </w:rPr>
            </w:pPr>
          </w:p>
        </w:tc>
        <w:tc>
          <w:tcPr>
            <w:tcW w:w="1236" w:type="dxa"/>
            <w:vAlign w:val="center"/>
          </w:tcPr>
          <w:p w14:paraId="391BC233">
            <w:pPr>
              <w:jc w:val="center"/>
              <w:rPr>
                <w:rFonts w:ascii="楷体" w:hAnsi="楷体" w:eastAsia="楷体" w:cs="楷体"/>
                <w:color w:val="auto"/>
                <w:sz w:val="24"/>
                <w:highlight w:val="none"/>
              </w:rPr>
            </w:pPr>
          </w:p>
        </w:tc>
        <w:tc>
          <w:tcPr>
            <w:tcW w:w="2237" w:type="dxa"/>
            <w:vAlign w:val="center"/>
          </w:tcPr>
          <w:p w14:paraId="7738C4C3">
            <w:pPr>
              <w:jc w:val="center"/>
              <w:rPr>
                <w:rFonts w:ascii="楷体" w:hAnsi="楷体" w:eastAsia="楷体" w:cs="楷体"/>
                <w:color w:val="auto"/>
                <w:sz w:val="24"/>
                <w:highlight w:val="none"/>
              </w:rPr>
            </w:pPr>
          </w:p>
        </w:tc>
      </w:tr>
      <w:tr w14:paraId="7974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2EF06683">
            <w:pPr>
              <w:jc w:val="center"/>
              <w:rPr>
                <w:rFonts w:ascii="楷体" w:hAnsi="楷体" w:eastAsia="楷体" w:cs="楷体"/>
                <w:color w:val="auto"/>
                <w:sz w:val="24"/>
                <w:highlight w:val="none"/>
              </w:rPr>
            </w:pPr>
            <w:r>
              <w:rPr>
                <w:rFonts w:hint="eastAsia" w:ascii="楷体" w:hAnsi="楷体" w:eastAsia="楷体" w:cs="楷体"/>
                <w:color w:val="auto"/>
                <w:sz w:val="24"/>
                <w:highlight w:val="none"/>
              </w:rPr>
              <w:t>…</w:t>
            </w:r>
          </w:p>
        </w:tc>
        <w:tc>
          <w:tcPr>
            <w:tcW w:w="1872" w:type="dxa"/>
            <w:vAlign w:val="center"/>
          </w:tcPr>
          <w:p w14:paraId="24AF8707">
            <w:pPr>
              <w:jc w:val="center"/>
              <w:rPr>
                <w:rFonts w:ascii="楷体" w:hAnsi="楷体" w:eastAsia="楷体" w:cs="楷体"/>
                <w:color w:val="auto"/>
                <w:sz w:val="24"/>
                <w:highlight w:val="none"/>
              </w:rPr>
            </w:pPr>
          </w:p>
        </w:tc>
        <w:tc>
          <w:tcPr>
            <w:tcW w:w="2819" w:type="dxa"/>
            <w:vAlign w:val="center"/>
          </w:tcPr>
          <w:p w14:paraId="714373E3">
            <w:pPr>
              <w:jc w:val="center"/>
              <w:rPr>
                <w:rFonts w:ascii="楷体" w:hAnsi="楷体" w:eastAsia="楷体" w:cs="楷体"/>
                <w:color w:val="auto"/>
                <w:sz w:val="24"/>
                <w:highlight w:val="none"/>
              </w:rPr>
            </w:pPr>
          </w:p>
        </w:tc>
        <w:tc>
          <w:tcPr>
            <w:tcW w:w="1236" w:type="dxa"/>
            <w:vAlign w:val="center"/>
          </w:tcPr>
          <w:p w14:paraId="2382548D">
            <w:pPr>
              <w:jc w:val="center"/>
              <w:rPr>
                <w:rFonts w:ascii="楷体" w:hAnsi="楷体" w:eastAsia="楷体" w:cs="楷体"/>
                <w:color w:val="auto"/>
                <w:sz w:val="24"/>
                <w:highlight w:val="none"/>
              </w:rPr>
            </w:pPr>
          </w:p>
        </w:tc>
        <w:tc>
          <w:tcPr>
            <w:tcW w:w="2237" w:type="dxa"/>
            <w:vAlign w:val="center"/>
          </w:tcPr>
          <w:p w14:paraId="361F72DD">
            <w:pPr>
              <w:jc w:val="center"/>
              <w:rPr>
                <w:rFonts w:ascii="楷体" w:hAnsi="楷体" w:eastAsia="楷体" w:cs="楷体"/>
                <w:color w:val="auto"/>
                <w:sz w:val="24"/>
                <w:highlight w:val="none"/>
              </w:rPr>
            </w:pPr>
          </w:p>
        </w:tc>
      </w:tr>
    </w:tbl>
    <w:p w14:paraId="01A1475B">
      <w:pPr>
        <w:adjustRightInd w:val="0"/>
        <w:snapToGrid w:val="0"/>
        <w:spacing w:line="360" w:lineRule="auto"/>
        <w:ind w:left="-420" w:leftChars="-200" w:firstLine="420" w:firstLineChars="175"/>
        <w:rPr>
          <w:rFonts w:ascii="楷体" w:hAnsi="楷体" w:eastAsia="楷体" w:cs="楷体"/>
          <w:color w:val="auto"/>
          <w:sz w:val="24"/>
          <w:highlight w:val="none"/>
        </w:rPr>
      </w:pPr>
      <w:r>
        <w:rPr>
          <w:rFonts w:hint="eastAsia" w:ascii="楷体" w:hAnsi="楷体" w:eastAsia="楷体" w:cs="楷体"/>
          <w:color w:val="auto"/>
          <w:sz w:val="24"/>
          <w:highlight w:val="none"/>
        </w:rPr>
        <w:t>注：</w:t>
      </w:r>
    </w:p>
    <w:p w14:paraId="489A7E3C">
      <w:pPr>
        <w:numPr>
          <w:ilvl w:val="0"/>
          <w:numId w:val="77"/>
        </w:numPr>
        <w:adjustRightInd w:val="0"/>
        <w:snapToGrid w:val="0"/>
        <w:spacing w:line="360" w:lineRule="auto"/>
        <w:rPr>
          <w:rFonts w:ascii="楷体" w:hAnsi="楷体" w:eastAsia="楷体" w:cs="楷体"/>
          <w:color w:val="auto"/>
          <w:sz w:val="24"/>
          <w:highlight w:val="none"/>
          <w:lang w:val="en-GB"/>
        </w:rPr>
      </w:pPr>
      <w:r>
        <w:rPr>
          <w:rFonts w:hint="eastAsia" w:ascii="楷体" w:hAnsi="楷体" w:eastAsia="楷体" w:cs="楷体"/>
          <w:color w:val="auto"/>
          <w:sz w:val="24"/>
          <w:highlight w:val="none"/>
          <w:lang w:val="en-GB"/>
        </w:rPr>
        <w:t>业绩是必须以投标人名义承接的项目。</w:t>
      </w:r>
    </w:p>
    <w:p w14:paraId="1BDFC40C">
      <w:pPr>
        <w:numPr>
          <w:ilvl w:val="0"/>
          <w:numId w:val="77"/>
        </w:numPr>
        <w:adjustRightInd w:val="0"/>
        <w:snapToGrid w:val="0"/>
        <w:spacing w:line="360" w:lineRule="auto"/>
        <w:rPr>
          <w:rFonts w:ascii="楷体" w:hAnsi="楷体" w:eastAsia="楷体" w:cs="楷体"/>
          <w:color w:val="auto"/>
          <w:sz w:val="24"/>
          <w:highlight w:val="none"/>
          <w:lang w:val="en-GB"/>
        </w:rPr>
      </w:pPr>
      <w:r>
        <w:rPr>
          <w:rFonts w:hint="eastAsia" w:ascii="楷体" w:hAnsi="楷体" w:eastAsia="楷体" w:cs="楷体"/>
          <w:color w:val="auto"/>
          <w:sz w:val="24"/>
          <w:highlight w:val="none"/>
          <w:lang w:val="en-GB"/>
        </w:rPr>
        <w:t>投标人按照《商务评审表》要求提供相关证明材料。</w:t>
      </w:r>
    </w:p>
    <w:p w14:paraId="169255CE">
      <w:pPr>
        <w:rPr>
          <w:rFonts w:ascii="楷体" w:hAnsi="楷体" w:eastAsia="楷体" w:cs="楷体"/>
          <w:color w:val="auto"/>
          <w:highlight w:val="none"/>
        </w:rPr>
      </w:pPr>
    </w:p>
    <w:p w14:paraId="3E908621">
      <w:pPr>
        <w:rPr>
          <w:rFonts w:ascii="楷体" w:hAnsi="楷体" w:eastAsia="楷体" w:cs="楷体"/>
          <w:color w:val="auto"/>
          <w:highlight w:val="none"/>
        </w:rPr>
      </w:pPr>
    </w:p>
    <w:p w14:paraId="02CA210B">
      <w:pPr>
        <w:rPr>
          <w:rFonts w:ascii="楷体" w:hAnsi="楷体" w:eastAsia="楷体" w:cs="楷体"/>
          <w:color w:val="auto"/>
          <w:highlight w:val="none"/>
        </w:rPr>
      </w:pPr>
    </w:p>
    <w:p w14:paraId="66C6E31B">
      <w:pPr>
        <w:pStyle w:val="85"/>
        <w:rPr>
          <w:rFonts w:ascii="楷体" w:hAnsi="楷体" w:eastAsia="楷体" w:cs="楷体"/>
          <w:color w:val="auto"/>
          <w:highlight w:val="none"/>
        </w:rPr>
      </w:pPr>
    </w:p>
    <w:p w14:paraId="10034C90">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4A8AE3C8">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313A440E">
      <w:pPr>
        <w:spacing w:before="72" w:after="72" w:line="400" w:lineRule="exact"/>
        <w:ind w:firstLine="3578" w:firstLineChars="1491"/>
        <w:rPr>
          <w:rFonts w:ascii="楷体" w:hAnsi="楷体" w:eastAsia="楷体" w:cs="楷体"/>
          <w:color w:val="auto"/>
          <w:sz w:val="24"/>
          <w:highlight w:val="none"/>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highlight w:val="none"/>
        </w:rPr>
        <w:t>日期：   年   月   日</w:t>
      </w:r>
    </w:p>
    <w:p w14:paraId="14D20CAF">
      <w:pPr>
        <w:numPr>
          <w:ilvl w:val="0"/>
          <w:numId w:val="75"/>
        </w:numPr>
        <w:spacing w:before="72" w:after="72" w:line="360" w:lineRule="auto"/>
        <w:jc w:val="center"/>
        <w:rPr>
          <w:rFonts w:ascii="楷体" w:hAnsi="楷体" w:eastAsia="楷体" w:cs="楷体"/>
          <w:b/>
          <w:color w:val="auto"/>
          <w:kern w:val="44"/>
          <w:sz w:val="30"/>
          <w:szCs w:val="30"/>
          <w:highlight w:val="none"/>
          <w:lang w:val="en-GB"/>
        </w:rPr>
      </w:pPr>
      <w:r>
        <w:rPr>
          <w:rFonts w:hint="eastAsia" w:ascii="楷体" w:hAnsi="楷体" w:eastAsia="楷体" w:cs="楷体"/>
          <w:b/>
          <w:color w:val="auto"/>
          <w:kern w:val="44"/>
          <w:sz w:val="30"/>
          <w:szCs w:val="30"/>
          <w:highlight w:val="none"/>
          <w:lang w:val="en-GB"/>
        </w:rPr>
        <w:t>其它重要事项说明及承诺</w:t>
      </w:r>
    </w:p>
    <w:p w14:paraId="437147CD">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638A4212">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3E19071E">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189B56E2">
      <w:pPr>
        <w:pStyle w:val="85"/>
        <w:adjustRightInd w:val="0"/>
        <w:snapToGrid w:val="0"/>
        <w:spacing w:before="0" w:after="0" w:line="360" w:lineRule="auto"/>
        <w:ind w:firstLine="520" w:firstLineChars="200"/>
        <w:rPr>
          <w:rFonts w:ascii="楷体" w:hAnsi="楷体" w:eastAsia="楷体" w:cs="楷体"/>
          <w:color w:val="auto"/>
          <w:szCs w:val="24"/>
          <w:highlight w:val="none"/>
        </w:rPr>
      </w:pPr>
      <w:r>
        <w:rPr>
          <w:rFonts w:hint="eastAsia" w:ascii="楷体" w:hAnsi="楷体" w:eastAsia="楷体" w:cs="楷体"/>
          <w:color w:val="auto"/>
          <w:szCs w:val="24"/>
          <w:highlight w:val="none"/>
        </w:rPr>
        <w:t>格式自拟</w:t>
      </w:r>
    </w:p>
    <w:p w14:paraId="7D9BF91C">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45B34B0D">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4ADCB261">
      <w:pPr>
        <w:pStyle w:val="85"/>
        <w:adjustRightInd w:val="0"/>
        <w:snapToGrid w:val="0"/>
        <w:spacing w:before="0" w:after="0" w:line="360" w:lineRule="auto"/>
        <w:ind w:firstLine="520" w:firstLineChars="200"/>
        <w:rPr>
          <w:rFonts w:ascii="楷体" w:hAnsi="楷体" w:eastAsia="楷体" w:cs="楷体"/>
          <w:color w:val="auto"/>
          <w:szCs w:val="24"/>
          <w:highlight w:val="none"/>
        </w:rPr>
      </w:pPr>
    </w:p>
    <w:p w14:paraId="7AC62E3B">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2A3AF3B8">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0A2340FA">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64EF77B8">
      <w:pPr>
        <w:widowControl/>
        <w:jc w:val="left"/>
        <w:rPr>
          <w:rFonts w:ascii="楷体" w:hAnsi="楷体" w:eastAsia="楷体" w:cs="楷体"/>
          <w:color w:val="auto"/>
          <w:sz w:val="24"/>
          <w:highlight w:val="none"/>
        </w:rPr>
      </w:pPr>
    </w:p>
    <w:p w14:paraId="2FE7350D">
      <w:pPr>
        <w:spacing w:line="400" w:lineRule="exact"/>
        <w:rPr>
          <w:rFonts w:ascii="楷体" w:hAnsi="楷体" w:eastAsia="楷体" w:cs="楷体"/>
          <w:color w:val="auto"/>
          <w:sz w:val="24"/>
          <w:highlight w:val="none"/>
        </w:rPr>
      </w:pPr>
    </w:p>
    <w:p w14:paraId="3B04811E">
      <w:pPr>
        <w:pStyle w:val="5"/>
        <w:numPr>
          <w:ilvl w:val="0"/>
          <w:numId w:val="74"/>
        </w:numPr>
        <w:adjustRightInd w:val="0"/>
        <w:snapToGrid w:val="0"/>
        <w:spacing w:before="0" w:after="0" w:line="360" w:lineRule="auto"/>
        <w:jc w:val="center"/>
        <w:rPr>
          <w:rFonts w:ascii="楷体" w:hAnsi="楷体" w:eastAsia="楷体" w:cs="楷体"/>
          <w:color w:val="auto"/>
          <w:highlight w:val="none"/>
        </w:rPr>
      </w:pPr>
      <w:bookmarkStart w:id="479" w:name="_Toc483642775"/>
      <w:bookmarkStart w:id="480" w:name="_Toc15851"/>
      <w:bookmarkStart w:id="481" w:name="_Toc22155"/>
      <w:bookmarkStart w:id="482" w:name="_Toc13511"/>
      <w:r>
        <w:rPr>
          <w:rFonts w:hint="eastAsia" w:ascii="楷体" w:hAnsi="楷体" w:eastAsia="楷体" w:cs="楷体"/>
          <w:color w:val="auto"/>
          <w:highlight w:val="none"/>
        </w:rPr>
        <w:br w:type="page"/>
      </w:r>
      <w:bookmarkStart w:id="483" w:name="_Toc10701"/>
      <w:bookmarkStart w:id="484" w:name="_Toc3856"/>
      <w:r>
        <w:rPr>
          <w:rFonts w:hint="eastAsia" w:ascii="楷体" w:hAnsi="楷体" w:eastAsia="楷体" w:cs="楷体"/>
          <w:color w:val="auto"/>
          <w:highlight w:val="none"/>
        </w:rPr>
        <w:t>商务条款响应一览表</w:t>
      </w:r>
      <w:bookmarkEnd w:id="479"/>
      <w:bookmarkEnd w:id="480"/>
      <w:bookmarkEnd w:id="481"/>
      <w:bookmarkEnd w:id="482"/>
      <w:bookmarkEnd w:id="483"/>
      <w:bookmarkEnd w:id="484"/>
    </w:p>
    <w:tbl>
      <w:tblPr>
        <w:tblStyle w:val="44"/>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073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493171B9">
            <w:pPr>
              <w:adjustRightInd w:val="0"/>
              <w:snapToGrid w:val="0"/>
              <w:spacing w:before="72" w:after="72"/>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序号</w:t>
            </w:r>
          </w:p>
        </w:tc>
        <w:tc>
          <w:tcPr>
            <w:tcW w:w="6378" w:type="dxa"/>
            <w:shd w:val="clear" w:color="auto" w:fill="EAEAEA"/>
            <w:vAlign w:val="center"/>
          </w:tcPr>
          <w:p w14:paraId="000FF031">
            <w:pPr>
              <w:adjustRightInd w:val="0"/>
              <w:snapToGrid w:val="0"/>
              <w:spacing w:before="72" w:after="72"/>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商务条款要求</w:t>
            </w:r>
          </w:p>
        </w:tc>
        <w:tc>
          <w:tcPr>
            <w:tcW w:w="761" w:type="dxa"/>
            <w:shd w:val="clear" w:color="auto" w:fill="EAEAEA"/>
            <w:vAlign w:val="center"/>
          </w:tcPr>
          <w:p w14:paraId="1BE6B7AC">
            <w:pPr>
              <w:adjustRightInd w:val="0"/>
              <w:snapToGrid w:val="0"/>
              <w:spacing w:before="72" w:after="72"/>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是否响应</w:t>
            </w:r>
          </w:p>
        </w:tc>
        <w:tc>
          <w:tcPr>
            <w:tcW w:w="927" w:type="dxa"/>
            <w:shd w:val="clear" w:color="auto" w:fill="EAEAEA"/>
            <w:vAlign w:val="center"/>
          </w:tcPr>
          <w:p w14:paraId="4268BC8F">
            <w:pPr>
              <w:adjustRightInd w:val="0"/>
              <w:snapToGrid w:val="0"/>
              <w:spacing w:before="72" w:after="72"/>
              <w:jc w:val="center"/>
              <w:rPr>
                <w:rFonts w:ascii="楷体" w:hAnsi="楷体" w:eastAsia="楷体" w:cs="楷体"/>
                <w:b/>
                <w:bCs/>
                <w:color w:val="auto"/>
                <w:sz w:val="24"/>
                <w:highlight w:val="none"/>
              </w:rPr>
            </w:pPr>
            <w:r>
              <w:rPr>
                <w:rFonts w:hint="eastAsia" w:ascii="楷体" w:hAnsi="楷体" w:eastAsia="楷体" w:cs="楷体"/>
                <w:b/>
                <w:bCs/>
                <w:color w:val="auto"/>
                <w:sz w:val="24"/>
                <w:highlight w:val="none"/>
              </w:rPr>
              <w:t>偏离说明</w:t>
            </w:r>
          </w:p>
        </w:tc>
      </w:tr>
      <w:tr w14:paraId="2464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728F52D">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w:t>
            </w:r>
          </w:p>
        </w:tc>
        <w:tc>
          <w:tcPr>
            <w:tcW w:w="6378" w:type="dxa"/>
            <w:vAlign w:val="center"/>
          </w:tcPr>
          <w:p w14:paraId="05D86657">
            <w:pPr>
              <w:rPr>
                <w:rFonts w:ascii="楷体" w:hAnsi="楷体" w:eastAsia="楷体" w:cs="楷体"/>
                <w:color w:val="auto"/>
                <w:sz w:val="24"/>
                <w:highlight w:val="none"/>
              </w:rPr>
            </w:pPr>
            <w:r>
              <w:rPr>
                <w:rFonts w:hint="eastAsia" w:ascii="楷体" w:hAnsi="楷体" w:eastAsia="楷体" w:cs="楷体"/>
                <w:color w:val="auto"/>
                <w:sz w:val="24"/>
                <w:highlight w:val="none"/>
              </w:rPr>
              <w:t>完全理解并接受合同条款要求</w:t>
            </w:r>
          </w:p>
        </w:tc>
        <w:tc>
          <w:tcPr>
            <w:tcW w:w="761" w:type="dxa"/>
            <w:vAlign w:val="center"/>
          </w:tcPr>
          <w:p w14:paraId="43E14D2A">
            <w:pPr>
              <w:pStyle w:val="81"/>
              <w:keepNext w:val="0"/>
              <w:snapToGrid w:val="0"/>
              <w:spacing w:line="440" w:lineRule="exact"/>
              <w:textAlignment w:val="auto"/>
              <w:rPr>
                <w:rFonts w:ascii="楷体" w:hAnsi="楷体" w:eastAsia="楷体" w:cs="楷体"/>
                <w:snapToGrid/>
                <w:color w:val="auto"/>
                <w:spacing w:val="0"/>
                <w:kern w:val="2"/>
                <w:szCs w:val="24"/>
                <w:highlight w:val="none"/>
              </w:rPr>
            </w:pPr>
          </w:p>
        </w:tc>
        <w:tc>
          <w:tcPr>
            <w:tcW w:w="927" w:type="dxa"/>
            <w:vAlign w:val="center"/>
          </w:tcPr>
          <w:p w14:paraId="7A5CA20A">
            <w:pPr>
              <w:adjustRightInd w:val="0"/>
              <w:snapToGrid w:val="0"/>
              <w:spacing w:line="440" w:lineRule="exact"/>
              <w:jc w:val="center"/>
              <w:rPr>
                <w:rFonts w:ascii="楷体" w:hAnsi="楷体" w:eastAsia="楷体" w:cs="楷体"/>
                <w:color w:val="auto"/>
                <w:sz w:val="24"/>
                <w:highlight w:val="none"/>
              </w:rPr>
            </w:pPr>
          </w:p>
        </w:tc>
      </w:tr>
      <w:tr w14:paraId="3400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2528A1F">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2</w:t>
            </w:r>
          </w:p>
        </w:tc>
        <w:tc>
          <w:tcPr>
            <w:tcW w:w="6378" w:type="dxa"/>
            <w:vAlign w:val="center"/>
          </w:tcPr>
          <w:p w14:paraId="62B1D7AD">
            <w:pPr>
              <w:rPr>
                <w:rFonts w:ascii="楷体" w:hAnsi="楷体" w:eastAsia="楷体" w:cs="楷体"/>
                <w:color w:val="auto"/>
                <w:sz w:val="24"/>
                <w:highlight w:val="none"/>
              </w:rPr>
            </w:pPr>
            <w:r>
              <w:rPr>
                <w:rFonts w:hint="eastAsia" w:ascii="楷体" w:hAnsi="楷体" w:eastAsia="楷体" w:cs="楷体"/>
                <w:color w:val="auto"/>
                <w:sz w:val="24"/>
                <w:highlight w:val="none"/>
              </w:rPr>
              <w:t>完全理解并接受对合格投标人、合格的服务要求</w:t>
            </w:r>
          </w:p>
        </w:tc>
        <w:tc>
          <w:tcPr>
            <w:tcW w:w="761" w:type="dxa"/>
            <w:vAlign w:val="center"/>
          </w:tcPr>
          <w:p w14:paraId="2BB23763">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3678F0F9">
            <w:pPr>
              <w:adjustRightInd w:val="0"/>
              <w:snapToGrid w:val="0"/>
              <w:spacing w:line="440" w:lineRule="exact"/>
              <w:ind w:right="-35"/>
              <w:jc w:val="center"/>
              <w:rPr>
                <w:rFonts w:ascii="楷体" w:hAnsi="楷体" w:eastAsia="楷体" w:cs="楷体"/>
                <w:color w:val="auto"/>
                <w:sz w:val="24"/>
                <w:highlight w:val="none"/>
              </w:rPr>
            </w:pPr>
          </w:p>
        </w:tc>
      </w:tr>
      <w:tr w14:paraId="2B58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7529F01">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3</w:t>
            </w:r>
          </w:p>
        </w:tc>
        <w:tc>
          <w:tcPr>
            <w:tcW w:w="6378" w:type="dxa"/>
            <w:vAlign w:val="center"/>
          </w:tcPr>
          <w:p w14:paraId="4C97C30E">
            <w:pPr>
              <w:rPr>
                <w:rFonts w:ascii="楷体" w:hAnsi="楷体" w:eastAsia="楷体" w:cs="楷体"/>
                <w:color w:val="auto"/>
                <w:sz w:val="24"/>
                <w:highlight w:val="none"/>
              </w:rPr>
            </w:pPr>
            <w:r>
              <w:rPr>
                <w:rFonts w:hint="eastAsia" w:ascii="楷体" w:hAnsi="楷体" w:eastAsia="楷体" w:cs="楷体"/>
                <w:color w:val="auto"/>
                <w:sz w:val="24"/>
                <w:highlight w:val="none"/>
              </w:rPr>
              <w:t>完全理解并接受对投标人的各项须知、规约要求和责任义务</w:t>
            </w:r>
          </w:p>
        </w:tc>
        <w:tc>
          <w:tcPr>
            <w:tcW w:w="761" w:type="dxa"/>
            <w:vAlign w:val="center"/>
          </w:tcPr>
          <w:p w14:paraId="6D08C1FB">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1F98A380">
            <w:pPr>
              <w:adjustRightInd w:val="0"/>
              <w:snapToGrid w:val="0"/>
              <w:spacing w:line="440" w:lineRule="exact"/>
              <w:ind w:right="-35"/>
              <w:jc w:val="center"/>
              <w:rPr>
                <w:rFonts w:ascii="楷体" w:hAnsi="楷体" w:eastAsia="楷体" w:cs="楷体"/>
                <w:color w:val="auto"/>
                <w:sz w:val="24"/>
                <w:highlight w:val="none"/>
              </w:rPr>
            </w:pPr>
          </w:p>
        </w:tc>
      </w:tr>
      <w:tr w14:paraId="2F62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F6CC20A">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4</w:t>
            </w:r>
          </w:p>
        </w:tc>
        <w:tc>
          <w:tcPr>
            <w:tcW w:w="6378" w:type="dxa"/>
            <w:vAlign w:val="center"/>
          </w:tcPr>
          <w:p w14:paraId="42C8F912">
            <w:pPr>
              <w:rPr>
                <w:rFonts w:ascii="楷体" w:hAnsi="楷体" w:eastAsia="楷体" w:cs="楷体"/>
                <w:color w:val="auto"/>
                <w:sz w:val="24"/>
                <w:highlight w:val="none"/>
              </w:rPr>
            </w:pPr>
            <w:r>
              <w:rPr>
                <w:rFonts w:hint="eastAsia" w:ascii="楷体" w:hAnsi="楷体" w:eastAsia="楷体" w:cs="楷体"/>
                <w:color w:val="auto"/>
                <w:sz w:val="24"/>
                <w:highlight w:val="none"/>
              </w:rPr>
              <w:t>投标有效期：投标有效期为自递交投标文件起至确定正式中标人止不少于</w:t>
            </w:r>
            <w:r>
              <w:rPr>
                <w:rFonts w:hint="eastAsia" w:ascii="楷体" w:hAnsi="楷体" w:eastAsia="楷体" w:cs="楷体"/>
                <w:color w:val="auto"/>
                <w:sz w:val="24"/>
                <w:highlight w:val="none"/>
                <w:u w:val="single"/>
              </w:rPr>
              <w:t xml:space="preserve">90 </w:t>
            </w:r>
            <w:r>
              <w:rPr>
                <w:rFonts w:hint="eastAsia" w:ascii="楷体" w:hAnsi="楷体" w:eastAsia="楷体" w:cs="楷体"/>
                <w:color w:val="auto"/>
                <w:sz w:val="24"/>
                <w:highlight w:val="none"/>
              </w:rPr>
              <w:t>天，中标单位有效期至项目验收之日</w:t>
            </w:r>
          </w:p>
        </w:tc>
        <w:tc>
          <w:tcPr>
            <w:tcW w:w="761" w:type="dxa"/>
            <w:vAlign w:val="center"/>
          </w:tcPr>
          <w:p w14:paraId="69C5DDD7">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58D9EFC6">
            <w:pPr>
              <w:adjustRightInd w:val="0"/>
              <w:snapToGrid w:val="0"/>
              <w:spacing w:line="440" w:lineRule="exact"/>
              <w:ind w:right="-35"/>
              <w:jc w:val="center"/>
              <w:rPr>
                <w:rFonts w:ascii="楷体" w:hAnsi="楷体" w:eastAsia="楷体" w:cs="楷体"/>
                <w:color w:val="auto"/>
                <w:sz w:val="24"/>
                <w:highlight w:val="none"/>
              </w:rPr>
            </w:pPr>
          </w:p>
        </w:tc>
      </w:tr>
      <w:tr w14:paraId="7E76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70B5C34">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5</w:t>
            </w:r>
          </w:p>
        </w:tc>
        <w:tc>
          <w:tcPr>
            <w:tcW w:w="6378" w:type="dxa"/>
            <w:vAlign w:val="center"/>
          </w:tcPr>
          <w:p w14:paraId="29A41788">
            <w:pPr>
              <w:rPr>
                <w:rFonts w:ascii="楷体" w:hAnsi="楷体" w:eastAsia="楷体" w:cs="楷体"/>
                <w:color w:val="auto"/>
                <w:sz w:val="24"/>
                <w:highlight w:val="none"/>
              </w:rPr>
            </w:pPr>
            <w:r>
              <w:rPr>
                <w:rFonts w:hint="eastAsia" w:ascii="楷体" w:hAnsi="楷体" w:eastAsia="楷体" w:cs="楷体"/>
                <w:color w:val="auto"/>
                <w:sz w:val="24"/>
                <w:highlight w:val="none"/>
              </w:rPr>
              <w:t>报价内容均涵盖报价要求之一切费用和伴随服务</w:t>
            </w:r>
          </w:p>
        </w:tc>
        <w:tc>
          <w:tcPr>
            <w:tcW w:w="761" w:type="dxa"/>
            <w:vAlign w:val="center"/>
          </w:tcPr>
          <w:p w14:paraId="60CCDE6E">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016DA745">
            <w:pPr>
              <w:adjustRightInd w:val="0"/>
              <w:snapToGrid w:val="0"/>
              <w:spacing w:line="440" w:lineRule="exact"/>
              <w:ind w:right="-35"/>
              <w:jc w:val="center"/>
              <w:rPr>
                <w:rFonts w:ascii="楷体" w:hAnsi="楷体" w:eastAsia="楷体" w:cs="楷体"/>
                <w:color w:val="auto"/>
                <w:sz w:val="24"/>
                <w:highlight w:val="none"/>
              </w:rPr>
            </w:pPr>
          </w:p>
        </w:tc>
      </w:tr>
      <w:tr w14:paraId="6505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1FC939A">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6</w:t>
            </w:r>
          </w:p>
        </w:tc>
        <w:tc>
          <w:tcPr>
            <w:tcW w:w="6378" w:type="dxa"/>
            <w:vAlign w:val="center"/>
          </w:tcPr>
          <w:p w14:paraId="141CE543">
            <w:pPr>
              <w:rPr>
                <w:rFonts w:ascii="楷体" w:hAnsi="楷体" w:eastAsia="楷体" w:cs="楷体"/>
                <w:color w:val="auto"/>
                <w:sz w:val="24"/>
                <w:highlight w:val="none"/>
              </w:rPr>
            </w:pPr>
            <w:r>
              <w:rPr>
                <w:rFonts w:hint="eastAsia" w:ascii="楷体" w:hAnsi="楷体" w:eastAsia="楷体" w:cs="楷体"/>
                <w:color w:val="auto"/>
                <w:sz w:val="24"/>
                <w:highlight w:val="none"/>
              </w:rPr>
              <w:t>所提供的报价不高于本公司目前的报价水平</w:t>
            </w:r>
          </w:p>
        </w:tc>
        <w:tc>
          <w:tcPr>
            <w:tcW w:w="761" w:type="dxa"/>
            <w:vAlign w:val="center"/>
          </w:tcPr>
          <w:p w14:paraId="0097919F">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7BADDD4C">
            <w:pPr>
              <w:adjustRightInd w:val="0"/>
              <w:snapToGrid w:val="0"/>
              <w:spacing w:line="440" w:lineRule="exact"/>
              <w:ind w:right="-35"/>
              <w:jc w:val="center"/>
              <w:rPr>
                <w:rFonts w:ascii="楷体" w:hAnsi="楷体" w:eastAsia="楷体" w:cs="楷体"/>
                <w:color w:val="auto"/>
                <w:sz w:val="24"/>
                <w:highlight w:val="none"/>
              </w:rPr>
            </w:pPr>
          </w:p>
        </w:tc>
      </w:tr>
      <w:tr w14:paraId="2452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D308137">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7</w:t>
            </w:r>
          </w:p>
        </w:tc>
        <w:tc>
          <w:tcPr>
            <w:tcW w:w="6378" w:type="dxa"/>
            <w:vAlign w:val="center"/>
          </w:tcPr>
          <w:p w14:paraId="45FEB5FD">
            <w:pPr>
              <w:rPr>
                <w:rFonts w:ascii="楷体" w:hAnsi="楷体" w:eastAsia="楷体" w:cs="楷体"/>
                <w:color w:val="auto"/>
                <w:sz w:val="24"/>
                <w:highlight w:val="none"/>
              </w:rPr>
            </w:pPr>
            <w:r>
              <w:rPr>
                <w:rFonts w:hint="eastAsia" w:ascii="楷体" w:hAnsi="楷体" w:eastAsia="楷体" w:cs="楷体"/>
                <w:color w:val="auto"/>
                <w:sz w:val="24"/>
                <w:highlight w:val="none"/>
              </w:rPr>
              <w:t>满足对售后服务的各项要求，在设有已注册（或合作代理）的售后服务营业性机构</w:t>
            </w:r>
          </w:p>
        </w:tc>
        <w:tc>
          <w:tcPr>
            <w:tcW w:w="761" w:type="dxa"/>
            <w:vAlign w:val="center"/>
          </w:tcPr>
          <w:p w14:paraId="5FBA48E0">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539612A8">
            <w:pPr>
              <w:adjustRightInd w:val="0"/>
              <w:snapToGrid w:val="0"/>
              <w:spacing w:line="440" w:lineRule="exact"/>
              <w:jc w:val="center"/>
              <w:rPr>
                <w:rFonts w:ascii="楷体" w:hAnsi="楷体" w:eastAsia="楷体" w:cs="楷体"/>
                <w:color w:val="auto"/>
                <w:sz w:val="24"/>
                <w:highlight w:val="none"/>
              </w:rPr>
            </w:pPr>
          </w:p>
        </w:tc>
      </w:tr>
      <w:tr w14:paraId="064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E611EF4">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8</w:t>
            </w:r>
          </w:p>
        </w:tc>
        <w:tc>
          <w:tcPr>
            <w:tcW w:w="6378" w:type="dxa"/>
            <w:vAlign w:val="center"/>
          </w:tcPr>
          <w:p w14:paraId="3731360C">
            <w:pPr>
              <w:rPr>
                <w:rFonts w:ascii="楷体" w:hAnsi="楷体" w:eastAsia="楷体" w:cs="楷体"/>
                <w:color w:val="auto"/>
                <w:sz w:val="24"/>
                <w:highlight w:val="none"/>
              </w:rPr>
            </w:pPr>
            <w:r>
              <w:rPr>
                <w:rFonts w:hint="eastAsia" w:ascii="楷体" w:hAnsi="楷体" w:eastAsia="楷体" w:cs="楷体"/>
                <w:color w:val="auto"/>
                <w:sz w:val="24"/>
                <w:highlight w:val="none"/>
                <w:lang w:val="en-GB"/>
              </w:rPr>
              <w:t>同意接受合同范本所列述的各项条款</w:t>
            </w:r>
          </w:p>
        </w:tc>
        <w:tc>
          <w:tcPr>
            <w:tcW w:w="761" w:type="dxa"/>
            <w:vAlign w:val="center"/>
          </w:tcPr>
          <w:p w14:paraId="12EBEE5F">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4D83EB8A">
            <w:pPr>
              <w:adjustRightInd w:val="0"/>
              <w:snapToGrid w:val="0"/>
              <w:spacing w:line="440" w:lineRule="exact"/>
              <w:jc w:val="center"/>
              <w:rPr>
                <w:rFonts w:ascii="楷体" w:hAnsi="楷体" w:eastAsia="楷体" w:cs="楷体"/>
                <w:color w:val="auto"/>
                <w:sz w:val="24"/>
                <w:highlight w:val="none"/>
              </w:rPr>
            </w:pPr>
          </w:p>
        </w:tc>
      </w:tr>
      <w:tr w14:paraId="73AA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2E53390">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9</w:t>
            </w:r>
          </w:p>
        </w:tc>
        <w:tc>
          <w:tcPr>
            <w:tcW w:w="6378" w:type="dxa"/>
            <w:vAlign w:val="center"/>
          </w:tcPr>
          <w:p w14:paraId="1A929E06">
            <w:pPr>
              <w:rPr>
                <w:rFonts w:ascii="楷体" w:hAnsi="楷体" w:eastAsia="楷体" w:cs="楷体"/>
                <w:color w:val="auto"/>
                <w:sz w:val="24"/>
                <w:highlight w:val="none"/>
              </w:rPr>
            </w:pPr>
            <w:r>
              <w:rPr>
                <w:rFonts w:hint="eastAsia" w:ascii="楷体" w:hAnsi="楷体" w:eastAsia="楷体" w:cs="楷体"/>
                <w:color w:val="auto"/>
                <w:sz w:val="24"/>
                <w:highlight w:val="none"/>
              </w:rPr>
              <w:t>同意按本项目要求缴付相关款项</w:t>
            </w:r>
          </w:p>
        </w:tc>
        <w:tc>
          <w:tcPr>
            <w:tcW w:w="761" w:type="dxa"/>
            <w:vAlign w:val="center"/>
          </w:tcPr>
          <w:p w14:paraId="189A188F">
            <w:pPr>
              <w:adjustRightInd w:val="0"/>
              <w:snapToGrid w:val="0"/>
              <w:spacing w:line="440" w:lineRule="exact"/>
              <w:jc w:val="center"/>
              <w:rPr>
                <w:rFonts w:ascii="楷体" w:hAnsi="楷体" w:eastAsia="楷体" w:cs="楷体"/>
                <w:color w:val="auto"/>
                <w:sz w:val="24"/>
                <w:highlight w:val="none"/>
                <w:lang w:val="en-GB"/>
              </w:rPr>
            </w:pPr>
          </w:p>
        </w:tc>
        <w:tc>
          <w:tcPr>
            <w:tcW w:w="927" w:type="dxa"/>
            <w:vAlign w:val="center"/>
          </w:tcPr>
          <w:p w14:paraId="5B024BA4">
            <w:pPr>
              <w:adjustRightInd w:val="0"/>
              <w:snapToGrid w:val="0"/>
              <w:spacing w:line="440" w:lineRule="exact"/>
              <w:jc w:val="center"/>
              <w:rPr>
                <w:rFonts w:ascii="楷体" w:hAnsi="楷体" w:eastAsia="楷体" w:cs="楷体"/>
                <w:color w:val="auto"/>
                <w:sz w:val="24"/>
                <w:highlight w:val="none"/>
              </w:rPr>
            </w:pPr>
          </w:p>
        </w:tc>
      </w:tr>
      <w:tr w14:paraId="32EB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9B55C28">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10</w:t>
            </w:r>
          </w:p>
        </w:tc>
        <w:tc>
          <w:tcPr>
            <w:tcW w:w="6378" w:type="dxa"/>
            <w:vAlign w:val="center"/>
          </w:tcPr>
          <w:p w14:paraId="46303990">
            <w:pPr>
              <w:rPr>
                <w:rFonts w:ascii="楷体" w:hAnsi="楷体" w:eastAsia="楷体" w:cs="楷体"/>
                <w:color w:val="auto"/>
                <w:sz w:val="24"/>
                <w:highlight w:val="none"/>
              </w:rPr>
            </w:pPr>
            <w:r>
              <w:rPr>
                <w:rFonts w:hint="eastAsia" w:ascii="楷体" w:hAnsi="楷体" w:eastAsia="楷体" w:cs="楷体"/>
                <w:color w:val="auto"/>
                <w:sz w:val="24"/>
                <w:highlight w:val="none"/>
              </w:rPr>
              <w:t>同意招标人以任何形式对我方投标文件内容的真实性和有效性进行审查、验证</w:t>
            </w:r>
          </w:p>
        </w:tc>
        <w:tc>
          <w:tcPr>
            <w:tcW w:w="761" w:type="dxa"/>
            <w:vAlign w:val="center"/>
          </w:tcPr>
          <w:p w14:paraId="075FBEB0">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64989FF9">
            <w:pPr>
              <w:pStyle w:val="81"/>
              <w:keepNext w:val="0"/>
              <w:snapToGrid w:val="0"/>
              <w:spacing w:line="440" w:lineRule="exact"/>
              <w:textAlignment w:val="auto"/>
              <w:rPr>
                <w:rFonts w:ascii="楷体" w:hAnsi="楷体" w:eastAsia="楷体" w:cs="楷体"/>
                <w:snapToGrid/>
                <w:color w:val="auto"/>
                <w:spacing w:val="0"/>
                <w:kern w:val="2"/>
                <w:szCs w:val="24"/>
                <w:highlight w:val="none"/>
              </w:rPr>
            </w:pPr>
          </w:p>
        </w:tc>
      </w:tr>
      <w:tr w14:paraId="295F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F0B21C6">
            <w:pPr>
              <w:adjustRightInd w:val="0"/>
              <w:snapToGrid w:val="0"/>
              <w:spacing w:line="440" w:lineRule="exact"/>
              <w:jc w:val="center"/>
              <w:rPr>
                <w:rFonts w:ascii="楷体" w:hAnsi="楷体" w:eastAsia="楷体" w:cs="楷体"/>
                <w:color w:val="auto"/>
                <w:sz w:val="24"/>
                <w:highlight w:val="none"/>
              </w:rPr>
            </w:pPr>
            <w:r>
              <w:rPr>
                <w:rFonts w:hint="eastAsia" w:ascii="楷体" w:hAnsi="楷体" w:eastAsia="楷体" w:cs="楷体"/>
                <w:color w:val="auto"/>
                <w:sz w:val="24"/>
                <w:highlight w:val="none"/>
              </w:rPr>
              <w:t>11</w:t>
            </w:r>
          </w:p>
        </w:tc>
        <w:tc>
          <w:tcPr>
            <w:tcW w:w="6378" w:type="dxa"/>
            <w:vAlign w:val="center"/>
          </w:tcPr>
          <w:p w14:paraId="7BBDF52D">
            <w:pPr>
              <w:rPr>
                <w:rFonts w:ascii="楷体" w:hAnsi="楷体" w:eastAsia="楷体" w:cs="楷体"/>
                <w:color w:val="auto"/>
                <w:sz w:val="24"/>
                <w:highlight w:val="none"/>
              </w:rPr>
            </w:pPr>
            <w:r>
              <w:rPr>
                <w:rFonts w:hint="eastAsia" w:ascii="楷体" w:hAnsi="楷体" w:eastAsia="楷体" w:cs="楷体"/>
                <w:color w:val="auto"/>
                <w:sz w:val="24"/>
                <w:highlight w:val="none"/>
              </w:rPr>
              <w:t>其它商务条款偏离说明：</w:t>
            </w:r>
          </w:p>
        </w:tc>
        <w:tc>
          <w:tcPr>
            <w:tcW w:w="761" w:type="dxa"/>
            <w:vAlign w:val="center"/>
          </w:tcPr>
          <w:p w14:paraId="39584B35">
            <w:pPr>
              <w:adjustRightInd w:val="0"/>
              <w:snapToGrid w:val="0"/>
              <w:spacing w:line="440" w:lineRule="exact"/>
              <w:jc w:val="center"/>
              <w:rPr>
                <w:rFonts w:ascii="楷体" w:hAnsi="楷体" w:eastAsia="楷体" w:cs="楷体"/>
                <w:color w:val="auto"/>
                <w:sz w:val="24"/>
                <w:highlight w:val="none"/>
              </w:rPr>
            </w:pPr>
          </w:p>
        </w:tc>
        <w:tc>
          <w:tcPr>
            <w:tcW w:w="927" w:type="dxa"/>
            <w:vAlign w:val="center"/>
          </w:tcPr>
          <w:p w14:paraId="2E112FB7">
            <w:pPr>
              <w:pStyle w:val="81"/>
              <w:keepNext w:val="0"/>
              <w:snapToGrid w:val="0"/>
              <w:spacing w:line="440" w:lineRule="exact"/>
              <w:textAlignment w:val="auto"/>
              <w:rPr>
                <w:rFonts w:ascii="楷体" w:hAnsi="楷体" w:eastAsia="楷体" w:cs="楷体"/>
                <w:snapToGrid/>
                <w:color w:val="auto"/>
                <w:spacing w:val="0"/>
                <w:kern w:val="2"/>
                <w:szCs w:val="24"/>
                <w:highlight w:val="none"/>
              </w:rPr>
            </w:pPr>
          </w:p>
        </w:tc>
      </w:tr>
    </w:tbl>
    <w:p w14:paraId="7B95AEF1">
      <w:pPr>
        <w:spacing w:line="360" w:lineRule="auto"/>
        <w:ind w:left="840" w:hanging="840" w:hangingChars="350"/>
        <w:rPr>
          <w:rFonts w:ascii="楷体" w:hAnsi="楷体" w:eastAsia="楷体" w:cs="楷体"/>
          <w:color w:val="auto"/>
          <w:sz w:val="24"/>
          <w:highlight w:val="none"/>
          <w:lang w:val="en-GB"/>
        </w:rPr>
      </w:pPr>
      <w:r>
        <w:rPr>
          <w:rFonts w:hint="eastAsia" w:ascii="楷体" w:hAnsi="楷体" w:eastAsia="楷体" w:cs="楷体"/>
          <w:color w:val="auto"/>
          <w:sz w:val="24"/>
          <w:highlight w:val="none"/>
          <w:lang w:val="en-GB"/>
        </w:rPr>
        <w:t xml:space="preserve">注： </w:t>
      </w:r>
    </w:p>
    <w:p w14:paraId="51860126">
      <w:pPr>
        <w:numPr>
          <w:ilvl w:val="0"/>
          <w:numId w:val="78"/>
        </w:numPr>
        <w:spacing w:line="360" w:lineRule="auto"/>
        <w:rPr>
          <w:rFonts w:ascii="楷体" w:hAnsi="楷体" w:eastAsia="楷体" w:cs="楷体"/>
          <w:color w:val="auto"/>
          <w:sz w:val="24"/>
          <w:highlight w:val="none"/>
          <w:lang w:val="en-GB"/>
        </w:rPr>
      </w:pPr>
      <w:r>
        <w:rPr>
          <w:rFonts w:hint="eastAsia" w:ascii="楷体" w:hAnsi="楷体" w:eastAsia="楷体" w:cs="楷体"/>
          <w:color w:val="auto"/>
          <w:sz w:val="24"/>
          <w:highlight w:val="none"/>
        </w:rPr>
        <w:t>对</w:t>
      </w:r>
      <w:r>
        <w:rPr>
          <w:rFonts w:hint="eastAsia" w:ascii="楷体" w:hAnsi="楷体" w:eastAsia="楷体" w:cs="楷体"/>
          <w:color w:val="auto"/>
          <w:sz w:val="24"/>
          <w:highlight w:val="none"/>
          <w:lang w:val="en-GB"/>
        </w:rPr>
        <w:t>于上述要求，如投标人完全响应，则在“是否响应”栏内打“√”；对空白或打“×”视为偏离，请在“偏离说明”栏内扼要说明偏离情况。</w:t>
      </w:r>
    </w:p>
    <w:p w14:paraId="6E522CC1">
      <w:pPr>
        <w:numPr>
          <w:ilvl w:val="0"/>
          <w:numId w:val="78"/>
        </w:numPr>
        <w:spacing w:line="360" w:lineRule="auto"/>
        <w:rPr>
          <w:rFonts w:ascii="楷体" w:hAnsi="楷体" w:eastAsia="楷体" w:cs="楷体"/>
          <w:color w:val="auto"/>
          <w:sz w:val="24"/>
          <w:highlight w:val="none"/>
          <w:lang w:val="en-GB"/>
        </w:rPr>
      </w:pPr>
      <w:r>
        <w:rPr>
          <w:rFonts w:hint="eastAsia" w:ascii="楷体" w:hAnsi="楷体" w:eastAsia="楷体" w:cs="楷体"/>
          <w:color w:val="auto"/>
          <w:sz w:val="24"/>
          <w:highlight w:val="none"/>
          <w:lang w:val="en-GB"/>
        </w:rPr>
        <w:t>本表内容不得擅自修改。</w:t>
      </w:r>
    </w:p>
    <w:p w14:paraId="0AA72647">
      <w:pPr>
        <w:adjustRightInd w:val="0"/>
        <w:snapToGrid w:val="0"/>
        <w:spacing w:before="72" w:after="72" w:line="480" w:lineRule="auto"/>
        <w:ind w:firstLine="3578" w:firstLineChars="1491"/>
        <w:rPr>
          <w:rFonts w:ascii="楷体" w:hAnsi="楷体" w:eastAsia="楷体" w:cs="楷体"/>
          <w:color w:val="auto"/>
          <w:sz w:val="24"/>
          <w:highlight w:val="none"/>
        </w:rPr>
      </w:pPr>
    </w:p>
    <w:p w14:paraId="62C69A2C">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6D1869E8">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1CC7D06">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636DBD6B">
      <w:pPr>
        <w:adjustRightInd w:val="0"/>
        <w:snapToGrid w:val="0"/>
        <w:spacing w:before="72" w:after="72" w:line="480" w:lineRule="auto"/>
        <w:ind w:firstLine="3578" w:firstLineChars="1491"/>
        <w:rPr>
          <w:rFonts w:ascii="楷体" w:hAnsi="楷体" w:eastAsia="楷体" w:cs="楷体"/>
          <w:color w:val="auto"/>
          <w:sz w:val="24"/>
          <w:highlight w:val="none"/>
        </w:rPr>
      </w:pPr>
    </w:p>
    <w:p w14:paraId="4527418B">
      <w:pPr>
        <w:adjustRightInd w:val="0"/>
        <w:snapToGrid w:val="0"/>
        <w:spacing w:before="72" w:after="72" w:line="480" w:lineRule="auto"/>
        <w:ind w:firstLine="3578" w:firstLineChars="1491"/>
        <w:rPr>
          <w:rFonts w:ascii="楷体" w:hAnsi="楷体" w:eastAsia="楷体" w:cs="楷体"/>
          <w:color w:val="auto"/>
          <w:sz w:val="24"/>
          <w:highlight w:val="none"/>
        </w:rPr>
        <w:sectPr>
          <w:pgSz w:w="11906" w:h="16838"/>
          <w:pgMar w:top="1440" w:right="1800" w:bottom="1440" w:left="1800" w:header="851" w:footer="992" w:gutter="0"/>
          <w:cols w:space="720" w:num="1"/>
          <w:docGrid w:linePitch="312" w:charSpace="0"/>
        </w:sectPr>
      </w:pPr>
    </w:p>
    <w:p w14:paraId="0AAF5165">
      <w:pPr>
        <w:pStyle w:val="5"/>
        <w:numPr>
          <w:ilvl w:val="0"/>
          <w:numId w:val="74"/>
        </w:numPr>
        <w:jc w:val="center"/>
        <w:rPr>
          <w:rFonts w:ascii="楷体" w:hAnsi="楷体" w:eastAsia="楷体" w:cs="楷体"/>
          <w:color w:val="auto"/>
          <w:highlight w:val="none"/>
        </w:rPr>
      </w:pPr>
      <w:bookmarkStart w:id="485" w:name="_Toc8184"/>
      <w:bookmarkStart w:id="486" w:name="_Toc22671"/>
      <w:r>
        <w:rPr>
          <w:rFonts w:hint="eastAsia" w:ascii="楷体" w:hAnsi="楷体" w:eastAsia="楷体" w:cs="楷体"/>
          <w:color w:val="auto"/>
          <w:highlight w:val="none"/>
        </w:rPr>
        <w:t>用户需求书响应</w:t>
      </w:r>
      <w:bookmarkEnd w:id="485"/>
      <w:bookmarkEnd w:id="486"/>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3568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7F2625BF">
            <w:pPr>
              <w:spacing w:before="72" w:after="72"/>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序号</w:t>
            </w:r>
          </w:p>
        </w:tc>
        <w:tc>
          <w:tcPr>
            <w:tcW w:w="1403" w:type="pct"/>
            <w:shd w:val="clear" w:color="auto" w:fill="E6E6E6"/>
            <w:vAlign w:val="center"/>
          </w:tcPr>
          <w:p w14:paraId="10AF29F2">
            <w:pPr>
              <w:spacing w:before="72" w:after="72"/>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招标文件要求</w:t>
            </w:r>
          </w:p>
        </w:tc>
        <w:tc>
          <w:tcPr>
            <w:tcW w:w="1815" w:type="pct"/>
            <w:shd w:val="clear" w:color="auto" w:fill="E6E6E6"/>
            <w:vAlign w:val="center"/>
          </w:tcPr>
          <w:p w14:paraId="13929F26">
            <w:pPr>
              <w:spacing w:before="72" w:after="72"/>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投标实际情况</w:t>
            </w:r>
          </w:p>
        </w:tc>
        <w:tc>
          <w:tcPr>
            <w:tcW w:w="1380" w:type="pct"/>
            <w:shd w:val="clear" w:color="auto" w:fill="E6E6E6"/>
            <w:vAlign w:val="center"/>
          </w:tcPr>
          <w:p w14:paraId="6924B217">
            <w:pPr>
              <w:spacing w:before="72" w:after="72"/>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偏离情况说明（无偏离/正偏离/负偏离）</w:t>
            </w:r>
          </w:p>
        </w:tc>
      </w:tr>
      <w:tr w14:paraId="7E12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017FB2F4">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1</w:t>
            </w:r>
          </w:p>
        </w:tc>
        <w:tc>
          <w:tcPr>
            <w:tcW w:w="1403" w:type="pct"/>
          </w:tcPr>
          <w:p w14:paraId="7A8C1802">
            <w:pPr>
              <w:spacing w:before="72" w:after="72"/>
              <w:rPr>
                <w:rFonts w:ascii="楷体" w:hAnsi="楷体" w:eastAsia="楷体" w:cs="楷体"/>
                <w:color w:val="auto"/>
                <w:sz w:val="24"/>
                <w:highlight w:val="none"/>
              </w:rPr>
            </w:pPr>
          </w:p>
        </w:tc>
        <w:tc>
          <w:tcPr>
            <w:tcW w:w="1815" w:type="pct"/>
          </w:tcPr>
          <w:p w14:paraId="4273E8A8">
            <w:pPr>
              <w:spacing w:before="72" w:after="72"/>
              <w:rPr>
                <w:rFonts w:ascii="楷体" w:hAnsi="楷体" w:eastAsia="楷体" w:cs="楷体"/>
                <w:color w:val="auto"/>
                <w:sz w:val="24"/>
                <w:highlight w:val="none"/>
              </w:rPr>
            </w:pPr>
          </w:p>
        </w:tc>
        <w:tc>
          <w:tcPr>
            <w:tcW w:w="1380" w:type="pct"/>
          </w:tcPr>
          <w:p w14:paraId="36ACF80C">
            <w:pPr>
              <w:spacing w:before="72" w:after="72"/>
              <w:rPr>
                <w:rFonts w:ascii="楷体" w:hAnsi="楷体" w:eastAsia="楷体" w:cs="楷体"/>
                <w:color w:val="auto"/>
                <w:sz w:val="24"/>
                <w:highlight w:val="none"/>
              </w:rPr>
            </w:pPr>
          </w:p>
        </w:tc>
      </w:tr>
      <w:tr w14:paraId="3001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0D2B86F">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2</w:t>
            </w:r>
          </w:p>
        </w:tc>
        <w:tc>
          <w:tcPr>
            <w:tcW w:w="1403" w:type="pct"/>
          </w:tcPr>
          <w:p w14:paraId="3BD4D707">
            <w:pPr>
              <w:spacing w:before="72" w:after="72"/>
              <w:rPr>
                <w:rFonts w:ascii="楷体" w:hAnsi="楷体" w:eastAsia="楷体" w:cs="楷体"/>
                <w:color w:val="auto"/>
                <w:sz w:val="24"/>
                <w:highlight w:val="none"/>
              </w:rPr>
            </w:pPr>
          </w:p>
        </w:tc>
        <w:tc>
          <w:tcPr>
            <w:tcW w:w="1815" w:type="pct"/>
          </w:tcPr>
          <w:p w14:paraId="470A9C2B">
            <w:pPr>
              <w:spacing w:before="72" w:after="72"/>
              <w:rPr>
                <w:rFonts w:ascii="楷体" w:hAnsi="楷体" w:eastAsia="楷体" w:cs="楷体"/>
                <w:color w:val="auto"/>
                <w:sz w:val="24"/>
                <w:highlight w:val="none"/>
              </w:rPr>
            </w:pPr>
          </w:p>
        </w:tc>
        <w:tc>
          <w:tcPr>
            <w:tcW w:w="1380" w:type="pct"/>
          </w:tcPr>
          <w:p w14:paraId="772AF388">
            <w:pPr>
              <w:spacing w:before="72" w:after="72"/>
              <w:rPr>
                <w:rFonts w:ascii="楷体" w:hAnsi="楷体" w:eastAsia="楷体" w:cs="楷体"/>
                <w:color w:val="auto"/>
                <w:sz w:val="24"/>
                <w:highlight w:val="none"/>
              </w:rPr>
            </w:pPr>
          </w:p>
        </w:tc>
      </w:tr>
      <w:tr w14:paraId="2B06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18ACF935">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3</w:t>
            </w:r>
          </w:p>
        </w:tc>
        <w:tc>
          <w:tcPr>
            <w:tcW w:w="1403" w:type="pct"/>
          </w:tcPr>
          <w:p w14:paraId="4607B823">
            <w:pPr>
              <w:spacing w:before="72" w:after="72"/>
              <w:rPr>
                <w:rFonts w:ascii="楷体" w:hAnsi="楷体" w:eastAsia="楷体" w:cs="楷体"/>
                <w:color w:val="auto"/>
                <w:sz w:val="24"/>
                <w:highlight w:val="none"/>
              </w:rPr>
            </w:pPr>
          </w:p>
        </w:tc>
        <w:tc>
          <w:tcPr>
            <w:tcW w:w="1815" w:type="pct"/>
          </w:tcPr>
          <w:p w14:paraId="35CB816F">
            <w:pPr>
              <w:spacing w:before="72" w:after="72"/>
              <w:rPr>
                <w:rFonts w:ascii="楷体" w:hAnsi="楷体" w:eastAsia="楷体" w:cs="楷体"/>
                <w:color w:val="auto"/>
                <w:sz w:val="24"/>
                <w:highlight w:val="none"/>
              </w:rPr>
            </w:pPr>
          </w:p>
        </w:tc>
        <w:tc>
          <w:tcPr>
            <w:tcW w:w="1380" w:type="pct"/>
          </w:tcPr>
          <w:p w14:paraId="5F6F9DA4">
            <w:pPr>
              <w:spacing w:before="72" w:after="72"/>
              <w:rPr>
                <w:rFonts w:ascii="楷体" w:hAnsi="楷体" w:eastAsia="楷体" w:cs="楷体"/>
                <w:color w:val="auto"/>
                <w:sz w:val="24"/>
                <w:highlight w:val="none"/>
              </w:rPr>
            </w:pPr>
          </w:p>
        </w:tc>
      </w:tr>
      <w:tr w14:paraId="5F6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4CEC1DB">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4</w:t>
            </w:r>
          </w:p>
        </w:tc>
        <w:tc>
          <w:tcPr>
            <w:tcW w:w="1403" w:type="pct"/>
          </w:tcPr>
          <w:p w14:paraId="403AD208">
            <w:pPr>
              <w:spacing w:before="72" w:after="72"/>
              <w:rPr>
                <w:rFonts w:ascii="楷体" w:hAnsi="楷体" w:eastAsia="楷体" w:cs="楷体"/>
                <w:color w:val="auto"/>
                <w:sz w:val="24"/>
                <w:highlight w:val="none"/>
              </w:rPr>
            </w:pPr>
          </w:p>
        </w:tc>
        <w:tc>
          <w:tcPr>
            <w:tcW w:w="1815" w:type="pct"/>
          </w:tcPr>
          <w:p w14:paraId="37A93DCD">
            <w:pPr>
              <w:spacing w:before="72" w:after="72"/>
              <w:rPr>
                <w:rFonts w:ascii="楷体" w:hAnsi="楷体" w:eastAsia="楷体" w:cs="楷体"/>
                <w:color w:val="auto"/>
                <w:sz w:val="24"/>
                <w:highlight w:val="none"/>
              </w:rPr>
            </w:pPr>
          </w:p>
        </w:tc>
        <w:tc>
          <w:tcPr>
            <w:tcW w:w="1380" w:type="pct"/>
          </w:tcPr>
          <w:p w14:paraId="08A91CCA">
            <w:pPr>
              <w:spacing w:before="72" w:after="72"/>
              <w:rPr>
                <w:rFonts w:ascii="楷体" w:hAnsi="楷体" w:eastAsia="楷体" w:cs="楷体"/>
                <w:color w:val="auto"/>
                <w:sz w:val="24"/>
                <w:highlight w:val="none"/>
              </w:rPr>
            </w:pPr>
          </w:p>
        </w:tc>
      </w:tr>
      <w:tr w14:paraId="186B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332C715">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5</w:t>
            </w:r>
          </w:p>
        </w:tc>
        <w:tc>
          <w:tcPr>
            <w:tcW w:w="1403" w:type="pct"/>
          </w:tcPr>
          <w:p w14:paraId="69F7AA2F">
            <w:pPr>
              <w:spacing w:before="72" w:after="72"/>
              <w:rPr>
                <w:rFonts w:ascii="楷体" w:hAnsi="楷体" w:eastAsia="楷体" w:cs="楷体"/>
                <w:color w:val="auto"/>
                <w:sz w:val="24"/>
                <w:highlight w:val="none"/>
              </w:rPr>
            </w:pPr>
          </w:p>
        </w:tc>
        <w:tc>
          <w:tcPr>
            <w:tcW w:w="1815" w:type="pct"/>
          </w:tcPr>
          <w:p w14:paraId="7CBCE46C">
            <w:pPr>
              <w:spacing w:before="72" w:after="72"/>
              <w:rPr>
                <w:rFonts w:ascii="楷体" w:hAnsi="楷体" w:eastAsia="楷体" w:cs="楷体"/>
                <w:color w:val="auto"/>
                <w:sz w:val="24"/>
                <w:highlight w:val="none"/>
              </w:rPr>
            </w:pPr>
          </w:p>
        </w:tc>
        <w:tc>
          <w:tcPr>
            <w:tcW w:w="1380" w:type="pct"/>
          </w:tcPr>
          <w:p w14:paraId="229C544B">
            <w:pPr>
              <w:spacing w:before="72" w:after="72"/>
              <w:rPr>
                <w:rFonts w:ascii="楷体" w:hAnsi="楷体" w:eastAsia="楷体" w:cs="楷体"/>
                <w:color w:val="auto"/>
                <w:sz w:val="24"/>
                <w:highlight w:val="none"/>
              </w:rPr>
            </w:pPr>
          </w:p>
        </w:tc>
      </w:tr>
      <w:tr w14:paraId="03C0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9FA8D48">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6</w:t>
            </w:r>
          </w:p>
        </w:tc>
        <w:tc>
          <w:tcPr>
            <w:tcW w:w="1403" w:type="pct"/>
          </w:tcPr>
          <w:p w14:paraId="5270805B">
            <w:pPr>
              <w:spacing w:before="72" w:after="72"/>
              <w:rPr>
                <w:rFonts w:ascii="楷体" w:hAnsi="楷体" w:eastAsia="楷体" w:cs="楷体"/>
                <w:color w:val="auto"/>
                <w:sz w:val="24"/>
                <w:highlight w:val="none"/>
              </w:rPr>
            </w:pPr>
          </w:p>
        </w:tc>
        <w:tc>
          <w:tcPr>
            <w:tcW w:w="1815" w:type="pct"/>
          </w:tcPr>
          <w:p w14:paraId="78B121A6">
            <w:pPr>
              <w:spacing w:before="72" w:after="72"/>
              <w:rPr>
                <w:rFonts w:ascii="楷体" w:hAnsi="楷体" w:eastAsia="楷体" w:cs="楷体"/>
                <w:color w:val="auto"/>
                <w:sz w:val="24"/>
                <w:highlight w:val="none"/>
              </w:rPr>
            </w:pPr>
          </w:p>
        </w:tc>
        <w:tc>
          <w:tcPr>
            <w:tcW w:w="1380" w:type="pct"/>
          </w:tcPr>
          <w:p w14:paraId="6218FCA9">
            <w:pPr>
              <w:spacing w:before="72" w:after="72"/>
              <w:rPr>
                <w:rFonts w:ascii="楷体" w:hAnsi="楷体" w:eastAsia="楷体" w:cs="楷体"/>
                <w:color w:val="auto"/>
                <w:sz w:val="24"/>
                <w:highlight w:val="none"/>
              </w:rPr>
            </w:pPr>
          </w:p>
        </w:tc>
      </w:tr>
      <w:tr w14:paraId="4DCF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2C28B80">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7</w:t>
            </w:r>
          </w:p>
        </w:tc>
        <w:tc>
          <w:tcPr>
            <w:tcW w:w="1403" w:type="pct"/>
          </w:tcPr>
          <w:p w14:paraId="0A94C7E2">
            <w:pPr>
              <w:spacing w:before="72" w:after="72"/>
              <w:rPr>
                <w:rFonts w:ascii="楷体" w:hAnsi="楷体" w:eastAsia="楷体" w:cs="楷体"/>
                <w:color w:val="auto"/>
                <w:sz w:val="24"/>
                <w:highlight w:val="none"/>
              </w:rPr>
            </w:pPr>
          </w:p>
        </w:tc>
        <w:tc>
          <w:tcPr>
            <w:tcW w:w="1815" w:type="pct"/>
          </w:tcPr>
          <w:p w14:paraId="49351DA5">
            <w:pPr>
              <w:spacing w:before="72" w:after="72"/>
              <w:rPr>
                <w:rFonts w:ascii="楷体" w:hAnsi="楷体" w:eastAsia="楷体" w:cs="楷体"/>
                <w:color w:val="auto"/>
                <w:sz w:val="24"/>
                <w:highlight w:val="none"/>
              </w:rPr>
            </w:pPr>
          </w:p>
        </w:tc>
        <w:tc>
          <w:tcPr>
            <w:tcW w:w="1380" w:type="pct"/>
          </w:tcPr>
          <w:p w14:paraId="03E81EC4">
            <w:pPr>
              <w:spacing w:before="72" w:after="72"/>
              <w:rPr>
                <w:rFonts w:ascii="楷体" w:hAnsi="楷体" w:eastAsia="楷体" w:cs="楷体"/>
                <w:color w:val="auto"/>
                <w:sz w:val="24"/>
                <w:highlight w:val="none"/>
              </w:rPr>
            </w:pPr>
          </w:p>
        </w:tc>
      </w:tr>
      <w:tr w14:paraId="2545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85986BB">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8</w:t>
            </w:r>
          </w:p>
        </w:tc>
        <w:tc>
          <w:tcPr>
            <w:tcW w:w="1403" w:type="pct"/>
          </w:tcPr>
          <w:p w14:paraId="7A9C666A">
            <w:pPr>
              <w:spacing w:before="72" w:after="72"/>
              <w:rPr>
                <w:rFonts w:ascii="楷体" w:hAnsi="楷体" w:eastAsia="楷体" w:cs="楷体"/>
                <w:color w:val="auto"/>
                <w:sz w:val="24"/>
                <w:highlight w:val="none"/>
              </w:rPr>
            </w:pPr>
          </w:p>
        </w:tc>
        <w:tc>
          <w:tcPr>
            <w:tcW w:w="1815" w:type="pct"/>
          </w:tcPr>
          <w:p w14:paraId="428EEB09">
            <w:pPr>
              <w:spacing w:before="72" w:after="72"/>
              <w:rPr>
                <w:rFonts w:ascii="楷体" w:hAnsi="楷体" w:eastAsia="楷体" w:cs="楷体"/>
                <w:color w:val="auto"/>
                <w:sz w:val="24"/>
                <w:highlight w:val="none"/>
              </w:rPr>
            </w:pPr>
          </w:p>
        </w:tc>
        <w:tc>
          <w:tcPr>
            <w:tcW w:w="1380" w:type="pct"/>
          </w:tcPr>
          <w:p w14:paraId="0F9C7CBA">
            <w:pPr>
              <w:spacing w:before="72" w:after="72"/>
              <w:rPr>
                <w:rFonts w:ascii="楷体" w:hAnsi="楷体" w:eastAsia="楷体" w:cs="楷体"/>
                <w:color w:val="auto"/>
                <w:sz w:val="24"/>
                <w:highlight w:val="none"/>
              </w:rPr>
            </w:pPr>
          </w:p>
        </w:tc>
      </w:tr>
      <w:tr w14:paraId="3AA2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9B5EE8E">
            <w:pPr>
              <w:spacing w:before="72" w:after="72"/>
              <w:jc w:val="center"/>
              <w:rPr>
                <w:rFonts w:ascii="楷体" w:hAnsi="楷体" w:eastAsia="楷体" w:cs="楷体"/>
                <w:color w:val="auto"/>
                <w:sz w:val="24"/>
                <w:highlight w:val="none"/>
              </w:rPr>
            </w:pPr>
            <w:r>
              <w:rPr>
                <w:rFonts w:hint="eastAsia" w:ascii="楷体" w:hAnsi="楷体" w:eastAsia="楷体" w:cs="楷体"/>
                <w:color w:val="auto"/>
                <w:sz w:val="24"/>
                <w:highlight w:val="none"/>
              </w:rPr>
              <w:t>…</w:t>
            </w:r>
          </w:p>
        </w:tc>
        <w:tc>
          <w:tcPr>
            <w:tcW w:w="1403" w:type="pct"/>
          </w:tcPr>
          <w:p w14:paraId="4C8A5C57">
            <w:pPr>
              <w:spacing w:before="72" w:after="72"/>
              <w:rPr>
                <w:rFonts w:ascii="楷体" w:hAnsi="楷体" w:eastAsia="楷体" w:cs="楷体"/>
                <w:color w:val="auto"/>
                <w:sz w:val="24"/>
                <w:highlight w:val="none"/>
              </w:rPr>
            </w:pPr>
          </w:p>
        </w:tc>
        <w:tc>
          <w:tcPr>
            <w:tcW w:w="1815" w:type="pct"/>
          </w:tcPr>
          <w:p w14:paraId="03D9AF9E">
            <w:pPr>
              <w:spacing w:before="72" w:after="72"/>
              <w:rPr>
                <w:rFonts w:ascii="楷体" w:hAnsi="楷体" w:eastAsia="楷体" w:cs="楷体"/>
                <w:color w:val="auto"/>
                <w:sz w:val="24"/>
                <w:highlight w:val="none"/>
              </w:rPr>
            </w:pPr>
          </w:p>
        </w:tc>
        <w:tc>
          <w:tcPr>
            <w:tcW w:w="1380" w:type="pct"/>
          </w:tcPr>
          <w:p w14:paraId="4C398480">
            <w:pPr>
              <w:spacing w:before="72" w:after="72"/>
              <w:rPr>
                <w:rFonts w:ascii="楷体" w:hAnsi="楷体" w:eastAsia="楷体" w:cs="楷体"/>
                <w:color w:val="auto"/>
                <w:sz w:val="24"/>
                <w:highlight w:val="none"/>
              </w:rPr>
            </w:pPr>
          </w:p>
        </w:tc>
      </w:tr>
    </w:tbl>
    <w:p w14:paraId="044319EF">
      <w:pPr>
        <w:spacing w:line="400" w:lineRule="exact"/>
        <w:rPr>
          <w:rFonts w:ascii="楷体" w:hAnsi="楷体" w:eastAsia="楷体" w:cs="楷体"/>
          <w:color w:val="auto"/>
          <w:sz w:val="24"/>
          <w:highlight w:val="none"/>
        </w:rPr>
      </w:pPr>
      <w:r>
        <w:rPr>
          <w:rFonts w:hint="eastAsia" w:ascii="楷体" w:hAnsi="楷体" w:eastAsia="楷体" w:cs="楷体"/>
          <w:color w:val="auto"/>
          <w:sz w:val="24"/>
          <w:highlight w:val="none"/>
        </w:rPr>
        <w:t>注：</w:t>
      </w:r>
    </w:p>
    <w:p w14:paraId="515F182B">
      <w:pPr>
        <w:adjustRightInd w:val="0"/>
        <w:snapToGrid w:val="0"/>
        <w:spacing w:line="360" w:lineRule="auto"/>
        <w:ind w:firstLine="420"/>
        <w:rPr>
          <w:rFonts w:ascii="楷体" w:hAnsi="楷体" w:eastAsia="楷体" w:cs="楷体"/>
          <w:color w:val="auto"/>
          <w:sz w:val="24"/>
          <w:highlight w:val="none"/>
          <w:lang w:val="en-GB"/>
        </w:rPr>
      </w:pPr>
      <w:r>
        <w:rPr>
          <w:rFonts w:hint="eastAsia" w:ascii="楷体" w:hAnsi="楷体" w:eastAsia="楷体" w:cs="楷体"/>
          <w:color w:val="auto"/>
          <w:sz w:val="24"/>
          <w:highlight w:val="none"/>
          <w:lang w:val="en-GB"/>
        </w:rPr>
        <w:t>1、</w:t>
      </w:r>
      <w:r>
        <w:rPr>
          <w:rFonts w:hint="eastAsia" w:ascii="楷体" w:hAnsi="楷体" w:eastAsia="楷体" w:cs="楷体"/>
          <w:color w:val="auto"/>
          <w:sz w:val="24"/>
          <w:highlight w:val="none"/>
        </w:rPr>
        <w:t>投标人必须对应招标文件“用户需求书”中</w:t>
      </w:r>
      <w:r>
        <w:rPr>
          <w:rFonts w:hint="eastAsia" w:ascii="楷体" w:hAnsi="楷体" w:eastAsia="楷体" w:cs="楷体"/>
          <w:color w:val="auto"/>
          <w:sz w:val="24"/>
          <w:highlight w:val="none"/>
          <w:lang w:val="en-US" w:eastAsia="zh-CN"/>
        </w:rPr>
        <w:t>所有</w:t>
      </w:r>
      <w:r>
        <w:rPr>
          <w:rFonts w:hint="eastAsia" w:ascii="楷体" w:hAnsi="楷体" w:eastAsia="楷体" w:cs="楷体"/>
          <w:color w:val="auto"/>
          <w:sz w:val="24"/>
          <w:highlight w:val="none"/>
        </w:rPr>
        <w:t>服务条款各条目号内容逐条响应。</w:t>
      </w:r>
    </w:p>
    <w:p w14:paraId="21E60903">
      <w:pPr>
        <w:adjustRightInd w:val="0"/>
        <w:snapToGrid w:val="0"/>
        <w:spacing w:line="360" w:lineRule="auto"/>
        <w:ind w:firstLine="420"/>
        <w:rPr>
          <w:rFonts w:ascii="楷体" w:hAnsi="楷体" w:eastAsia="楷体" w:cs="楷体"/>
          <w:color w:val="auto"/>
          <w:sz w:val="24"/>
          <w:highlight w:val="none"/>
        </w:rPr>
      </w:pPr>
      <w:r>
        <w:rPr>
          <w:rFonts w:hint="eastAsia" w:ascii="楷体" w:hAnsi="楷体" w:eastAsia="楷体" w:cs="楷体"/>
          <w:color w:val="auto"/>
          <w:sz w:val="24"/>
          <w:highlight w:val="none"/>
        </w:rPr>
        <w:t>2、投标人响应采购需求应具体、明确，含糊不清、不确切或伪造、变造证明材料的，按照不完全响应或者完全不响应处理。构成提供虚假材料的，移送监管部门查处。</w:t>
      </w:r>
    </w:p>
    <w:p w14:paraId="131DEE8A">
      <w:pPr>
        <w:adjustRightInd w:val="0"/>
        <w:snapToGrid w:val="0"/>
        <w:spacing w:line="360" w:lineRule="auto"/>
        <w:ind w:firstLine="420"/>
        <w:rPr>
          <w:rFonts w:ascii="楷体" w:hAnsi="楷体" w:eastAsia="楷体" w:cs="楷体"/>
          <w:color w:val="auto"/>
          <w:sz w:val="24"/>
          <w:highlight w:val="none"/>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val="en-GB"/>
        </w:rPr>
        <w:t>投标响应参数应与厂家的产品资料一致，不一致的以厂家资料为准。</w:t>
      </w:r>
    </w:p>
    <w:p w14:paraId="6C7C6833">
      <w:pPr>
        <w:adjustRightInd w:val="0"/>
        <w:snapToGrid w:val="0"/>
        <w:spacing w:line="360" w:lineRule="auto"/>
        <w:ind w:firstLine="420"/>
        <w:rPr>
          <w:rFonts w:ascii="楷体" w:hAnsi="楷体" w:eastAsia="楷体" w:cs="楷体"/>
          <w:color w:val="auto"/>
          <w:sz w:val="24"/>
          <w:highlight w:val="none"/>
        </w:rPr>
      </w:pPr>
      <w:r>
        <w:rPr>
          <w:rFonts w:hint="eastAsia" w:ascii="楷体" w:hAnsi="楷体" w:eastAsia="楷体" w:cs="楷体"/>
          <w:color w:val="auto"/>
          <w:sz w:val="24"/>
          <w:highlight w:val="none"/>
        </w:rPr>
        <w:t>4、</w:t>
      </w:r>
      <w:r>
        <w:rPr>
          <w:rFonts w:hint="eastAsia" w:ascii="楷体" w:hAnsi="楷体" w:eastAsia="楷体" w:cs="楷体"/>
          <w:color w:val="auto"/>
          <w:sz w:val="24"/>
          <w:highlight w:val="none"/>
          <w:lang w:val="en-GB"/>
        </w:rPr>
        <w:t>本表内容不得擅自修改。</w:t>
      </w:r>
    </w:p>
    <w:p w14:paraId="07A0BAA4">
      <w:pPr>
        <w:adjustRightInd w:val="0"/>
        <w:snapToGrid w:val="0"/>
        <w:spacing w:before="72" w:after="72" w:line="300" w:lineRule="auto"/>
        <w:rPr>
          <w:rFonts w:ascii="楷体" w:hAnsi="楷体" w:eastAsia="楷体" w:cs="楷体"/>
          <w:color w:val="auto"/>
          <w:sz w:val="24"/>
          <w:highlight w:val="none"/>
        </w:rPr>
      </w:pPr>
    </w:p>
    <w:p w14:paraId="03454498">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29605052">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22D0CB7">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3E81F190">
      <w:pPr>
        <w:pStyle w:val="70"/>
        <w:rPr>
          <w:rFonts w:ascii="楷体" w:hAnsi="楷体" w:eastAsia="楷体" w:cs="楷体"/>
          <w:color w:val="auto"/>
          <w:sz w:val="24"/>
          <w:highlight w:val="none"/>
        </w:rPr>
      </w:pPr>
    </w:p>
    <w:p w14:paraId="62FAB0E3">
      <w:pPr>
        <w:pStyle w:val="35"/>
        <w:rPr>
          <w:rFonts w:ascii="楷体" w:hAnsi="楷体" w:eastAsia="楷体" w:cs="楷体"/>
          <w:color w:val="auto"/>
          <w:sz w:val="24"/>
          <w:highlight w:val="none"/>
        </w:rPr>
      </w:pPr>
    </w:p>
    <w:p w14:paraId="7B613343">
      <w:pPr>
        <w:pStyle w:val="35"/>
        <w:rPr>
          <w:rFonts w:ascii="楷体" w:hAnsi="楷体" w:eastAsia="楷体" w:cs="楷体"/>
          <w:color w:val="auto"/>
          <w:sz w:val="24"/>
          <w:highlight w:val="none"/>
        </w:rPr>
      </w:pPr>
    </w:p>
    <w:p w14:paraId="433616E4">
      <w:pPr>
        <w:pStyle w:val="5"/>
        <w:numPr>
          <w:ilvl w:val="0"/>
          <w:numId w:val="74"/>
        </w:numPr>
        <w:jc w:val="left"/>
        <w:rPr>
          <w:rFonts w:ascii="楷体" w:hAnsi="楷体" w:eastAsia="楷体" w:cs="楷体"/>
          <w:color w:val="auto"/>
          <w:sz w:val="28"/>
          <w:szCs w:val="28"/>
          <w:highlight w:val="none"/>
        </w:rPr>
      </w:pPr>
      <w:bookmarkStart w:id="487" w:name="_Toc27935"/>
      <w:bookmarkStart w:id="488" w:name="_Toc15393"/>
      <w:bookmarkStart w:id="489" w:name="_Toc7616"/>
      <w:bookmarkStart w:id="490" w:name="_Toc2235"/>
      <w:bookmarkStart w:id="491" w:name="_Toc381489443"/>
      <w:bookmarkStart w:id="492" w:name="_Toc29584"/>
      <w:bookmarkStart w:id="493" w:name="_Toc30925"/>
      <w:bookmarkStart w:id="494" w:name="_Toc423021973"/>
      <w:r>
        <w:rPr>
          <w:rFonts w:hint="eastAsia" w:ascii="楷体" w:hAnsi="楷体" w:eastAsia="楷体" w:cs="楷体"/>
          <w:color w:val="auto"/>
          <w:sz w:val="28"/>
          <w:szCs w:val="28"/>
          <w:highlight w:val="none"/>
          <w:lang w:val="en-US" w:eastAsia="zh-CN"/>
        </w:rPr>
        <w:t>拟投入服务团队</w:t>
      </w:r>
      <w:bookmarkEnd w:id="487"/>
    </w:p>
    <w:p w14:paraId="73A2318F">
      <w:pPr>
        <w:pStyle w:val="4"/>
        <w:jc w:val="center"/>
        <w:rPr>
          <w:rFonts w:ascii="楷体" w:hAnsi="楷体" w:eastAsia="楷体" w:cs="楷体"/>
          <w:b w:val="0"/>
          <w:bCs w:val="0"/>
          <w:color w:val="auto"/>
          <w:sz w:val="24"/>
          <w:szCs w:val="24"/>
          <w:highlight w:val="none"/>
        </w:rPr>
      </w:pPr>
    </w:p>
    <w:p w14:paraId="46FDF0B8">
      <w:pPr>
        <w:pStyle w:val="4"/>
        <w:jc w:val="center"/>
        <w:rPr>
          <w:rFonts w:ascii="楷体" w:hAnsi="楷体" w:eastAsia="楷体" w:cs="楷体"/>
          <w:color w:val="auto"/>
          <w:sz w:val="44"/>
          <w:szCs w:val="44"/>
          <w:highlight w:val="none"/>
        </w:rPr>
      </w:pPr>
      <w:bookmarkStart w:id="495" w:name="_Toc15018"/>
      <w:r>
        <w:rPr>
          <w:rFonts w:hint="eastAsia" w:ascii="楷体" w:hAnsi="楷体" w:eastAsia="楷体" w:cs="楷体"/>
          <w:b w:val="0"/>
          <w:bCs w:val="0"/>
          <w:color w:val="auto"/>
          <w:sz w:val="24"/>
          <w:szCs w:val="24"/>
          <w:highlight w:val="none"/>
        </w:rPr>
        <w:t>根据《商务评审表》要求提供相关证明材料。</w:t>
      </w:r>
      <w:bookmarkEnd w:id="495"/>
    </w:p>
    <w:p w14:paraId="76A3D84D">
      <w:pPr>
        <w:adjustRightInd w:val="0"/>
        <w:snapToGrid w:val="0"/>
        <w:spacing w:before="72" w:after="72" w:line="480" w:lineRule="auto"/>
        <w:ind w:firstLine="3578" w:firstLineChars="1491"/>
        <w:rPr>
          <w:rFonts w:ascii="楷体" w:hAnsi="楷体" w:eastAsia="楷体" w:cs="楷体"/>
          <w:color w:val="auto"/>
          <w:sz w:val="24"/>
          <w:highlight w:val="none"/>
        </w:rPr>
      </w:pPr>
    </w:p>
    <w:p w14:paraId="76781F81">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7B2F9E44">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0EB3B938">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57F2BBD6">
      <w:pPr>
        <w:rPr>
          <w:rFonts w:ascii="楷体" w:hAnsi="楷体" w:eastAsia="楷体" w:cs="楷体"/>
          <w:color w:val="auto"/>
          <w:sz w:val="44"/>
          <w:szCs w:val="44"/>
          <w:highlight w:val="none"/>
        </w:rPr>
      </w:pPr>
    </w:p>
    <w:p w14:paraId="0601BD78">
      <w:pPr>
        <w:rPr>
          <w:rFonts w:ascii="楷体" w:hAnsi="楷体" w:eastAsia="楷体" w:cs="楷体"/>
          <w:color w:val="auto"/>
          <w:sz w:val="44"/>
          <w:szCs w:val="44"/>
          <w:highlight w:val="none"/>
        </w:rPr>
      </w:pPr>
    </w:p>
    <w:p w14:paraId="13134ECB">
      <w:pPr>
        <w:pStyle w:val="4"/>
        <w:jc w:val="center"/>
        <w:rPr>
          <w:rFonts w:ascii="楷体" w:hAnsi="楷体" w:eastAsia="楷体" w:cs="楷体"/>
          <w:color w:val="auto"/>
          <w:sz w:val="44"/>
          <w:szCs w:val="44"/>
          <w:highlight w:val="none"/>
        </w:rPr>
      </w:pPr>
    </w:p>
    <w:p w14:paraId="193A860D">
      <w:pPr>
        <w:pStyle w:val="4"/>
        <w:jc w:val="center"/>
        <w:rPr>
          <w:rFonts w:ascii="楷体" w:hAnsi="楷体" w:eastAsia="楷体" w:cs="楷体"/>
          <w:color w:val="auto"/>
          <w:sz w:val="44"/>
          <w:szCs w:val="44"/>
          <w:highlight w:val="none"/>
        </w:rPr>
      </w:pPr>
    </w:p>
    <w:p w14:paraId="60DF1D95">
      <w:pPr>
        <w:pStyle w:val="4"/>
        <w:jc w:val="center"/>
        <w:rPr>
          <w:rFonts w:ascii="楷体" w:hAnsi="楷体" w:eastAsia="楷体" w:cs="楷体"/>
          <w:color w:val="auto"/>
          <w:sz w:val="44"/>
          <w:szCs w:val="44"/>
          <w:highlight w:val="none"/>
        </w:rPr>
      </w:pPr>
      <w:bookmarkStart w:id="496" w:name="_Toc9462"/>
    </w:p>
    <w:p w14:paraId="475E0A7E">
      <w:pPr>
        <w:pStyle w:val="4"/>
        <w:jc w:val="center"/>
        <w:rPr>
          <w:rFonts w:ascii="楷体" w:hAnsi="楷体" w:eastAsia="楷体" w:cs="楷体"/>
          <w:color w:val="auto"/>
          <w:sz w:val="44"/>
          <w:szCs w:val="44"/>
          <w:highlight w:val="none"/>
        </w:rPr>
      </w:pPr>
    </w:p>
    <w:p w14:paraId="01A39254">
      <w:pPr>
        <w:pStyle w:val="4"/>
        <w:jc w:val="center"/>
        <w:rPr>
          <w:rFonts w:ascii="楷体" w:hAnsi="楷体" w:eastAsia="楷体" w:cs="楷体"/>
          <w:color w:val="auto"/>
          <w:sz w:val="44"/>
          <w:szCs w:val="44"/>
          <w:highlight w:val="none"/>
        </w:rPr>
      </w:pPr>
    </w:p>
    <w:p w14:paraId="54C79D6B">
      <w:pPr>
        <w:pStyle w:val="4"/>
        <w:jc w:val="center"/>
        <w:rPr>
          <w:rFonts w:ascii="楷体" w:hAnsi="楷体" w:eastAsia="楷体" w:cs="楷体"/>
          <w:color w:val="auto"/>
          <w:sz w:val="44"/>
          <w:szCs w:val="44"/>
          <w:highlight w:val="none"/>
        </w:rPr>
      </w:pPr>
      <w:bookmarkStart w:id="497" w:name="_Toc18162"/>
      <w:r>
        <w:rPr>
          <w:rFonts w:hint="eastAsia" w:ascii="楷体" w:hAnsi="楷体" w:eastAsia="楷体" w:cs="楷体"/>
          <w:color w:val="auto"/>
          <w:sz w:val="44"/>
          <w:szCs w:val="44"/>
          <w:highlight w:val="none"/>
        </w:rPr>
        <w:t>第四部分技术文件</w:t>
      </w:r>
      <w:bookmarkEnd w:id="488"/>
      <w:bookmarkEnd w:id="489"/>
      <w:bookmarkEnd w:id="490"/>
      <w:bookmarkEnd w:id="491"/>
      <w:bookmarkEnd w:id="492"/>
      <w:bookmarkEnd w:id="493"/>
      <w:bookmarkEnd w:id="494"/>
      <w:bookmarkEnd w:id="496"/>
      <w:bookmarkEnd w:id="497"/>
    </w:p>
    <w:p w14:paraId="2D0D1817">
      <w:pPr>
        <w:rPr>
          <w:rFonts w:ascii="楷体" w:hAnsi="楷体" w:eastAsia="楷体" w:cs="楷体"/>
          <w:color w:val="auto"/>
          <w:highlight w:val="none"/>
        </w:rPr>
      </w:pPr>
    </w:p>
    <w:p w14:paraId="3C869823">
      <w:pPr>
        <w:pStyle w:val="5"/>
        <w:jc w:val="center"/>
        <w:rPr>
          <w:rFonts w:ascii="楷体" w:hAnsi="楷体" w:eastAsia="楷体" w:cs="楷体"/>
          <w:color w:val="auto"/>
          <w:highlight w:val="none"/>
        </w:rPr>
        <w:sectPr>
          <w:pgSz w:w="11906" w:h="16838"/>
          <w:pgMar w:top="1440" w:right="1800" w:bottom="1440" w:left="1800" w:header="851" w:footer="822" w:gutter="0"/>
          <w:cols w:space="720" w:num="1"/>
          <w:docGrid w:linePitch="312" w:charSpace="0"/>
        </w:sectPr>
      </w:pPr>
      <w:bookmarkStart w:id="498" w:name="_Toc423021974"/>
      <w:bookmarkStart w:id="499" w:name="_Toc381489444"/>
    </w:p>
    <w:bookmarkEnd w:id="498"/>
    <w:bookmarkEnd w:id="499"/>
    <w:p w14:paraId="1650714A">
      <w:pPr>
        <w:pStyle w:val="5"/>
        <w:numPr>
          <w:ilvl w:val="0"/>
          <w:numId w:val="79"/>
        </w:numPr>
        <w:jc w:val="center"/>
        <w:rPr>
          <w:rFonts w:ascii="楷体" w:hAnsi="楷体" w:eastAsia="楷体" w:cs="楷体"/>
          <w:color w:val="auto"/>
          <w:highlight w:val="none"/>
        </w:rPr>
      </w:pPr>
      <w:bookmarkStart w:id="500" w:name="_Toc6686"/>
      <w:bookmarkStart w:id="501" w:name="_Toc32546"/>
      <w:bookmarkStart w:id="502" w:name="_Toc12264"/>
      <w:bookmarkStart w:id="503" w:name="_Toc16310"/>
      <w:bookmarkStart w:id="504" w:name="_Toc499"/>
      <w:bookmarkStart w:id="505" w:name="_Toc10912"/>
      <w:r>
        <w:rPr>
          <w:rFonts w:hint="eastAsia" w:ascii="楷体" w:hAnsi="楷体" w:eastAsia="楷体" w:cs="楷体"/>
          <w:color w:val="auto"/>
          <w:highlight w:val="none"/>
        </w:rPr>
        <w:t>组织实施方案</w:t>
      </w:r>
      <w:bookmarkEnd w:id="500"/>
      <w:bookmarkEnd w:id="501"/>
      <w:bookmarkEnd w:id="502"/>
      <w:bookmarkEnd w:id="503"/>
      <w:bookmarkEnd w:id="504"/>
      <w:bookmarkEnd w:id="505"/>
    </w:p>
    <w:p w14:paraId="5CC66BFD">
      <w:pPr>
        <w:adjustRightInd w:val="0"/>
        <w:snapToGrid w:val="0"/>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投标人应按招标文件要求的内容和顺序，对完成整个项目提出相应的实施方案。对含糊不清或欠具体明确之处，评标委员会可视为投标人履约能力不足或响应不全处理。组织实施方案的内容应包括：</w:t>
      </w:r>
    </w:p>
    <w:p w14:paraId="13941FE7">
      <w:pPr>
        <w:numPr>
          <w:ilvl w:val="0"/>
          <w:numId w:val="80"/>
        </w:numPr>
        <w:tabs>
          <w:tab w:val="left" w:pos="840"/>
        </w:tabs>
        <w:spacing w:line="360" w:lineRule="auto"/>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项目</w:t>
      </w:r>
      <w:r>
        <w:rPr>
          <w:rFonts w:hint="eastAsia" w:ascii="楷体" w:hAnsi="楷体" w:eastAsia="楷体" w:cs="楷体"/>
          <w:color w:val="auto"/>
          <w:kern w:val="0"/>
          <w:sz w:val="24"/>
          <w:highlight w:val="none"/>
          <w:lang w:val="en-US" w:eastAsia="zh-CN"/>
        </w:rPr>
        <w:t>实施技术方案</w:t>
      </w:r>
      <w:r>
        <w:rPr>
          <w:rFonts w:hint="eastAsia" w:ascii="楷体" w:hAnsi="楷体" w:eastAsia="楷体" w:cs="楷体"/>
          <w:color w:val="auto"/>
          <w:kern w:val="0"/>
          <w:sz w:val="24"/>
          <w:highlight w:val="none"/>
        </w:rPr>
        <w:t>；</w:t>
      </w:r>
    </w:p>
    <w:p w14:paraId="67B79513">
      <w:pPr>
        <w:numPr>
          <w:ilvl w:val="0"/>
          <w:numId w:val="80"/>
        </w:numPr>
        <w:tabs>
          <w:tab w:val="left" w:pos="840"/>
        </w:tabs>
        <w:spacing w:line="360" w:lineRule="auto"/>
        <w:rPr>
          <w:rFonts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项目重难点的理解、分析与对策</w:t>
      </w:r>
      <w:r>
        <w:rPr>
          <w:rFonts w:hint="eastAsia" w:ascii="楷体" w:hAnsi="楷体" w:eastAsia="楷体" w:cs="楷体"/>
          <w:color w:val="auto"/>
          <w:kern w:val="0"/>
          <w:sz w:val="24"/>
          <w:highlight w:val="none"/>
        </w:rPr>
        <w:t>；</w:t>
      </w:r>
    </w:p>
    <w:p w14:paraId="07466C12">
      <w:pPr>
        <w:numPr>
          <w:ilvl w:val="0"/>
          <w:numId w:val="80"/>
        </w:numPr>
        <w:tabs>
          <w:tab w:val="left" w:pos="840"/>
        </w:tabs>
        <w:spacing w:line="360" w:lineRule="auto"/>
        <w:rPr>
          <w:rFonts w:ascii="楷体" w:hAnsi="楷体" w:eastAsia="楷体" w:cs="楷体"/>
          <w:color w:val="auto"/>
          <w:kern w:val="0"/>
          <w:sz w:val="24"/>
          <w:highlight w:val="none"/>
        </w:rPr>
      </w:pPr>
      <w:r>
        <w:rPr>
          <w:rFonts w:hint="eastAsia" w:ascii="楷体" w:hAnsi="楷体" w:eastAsia="楷体" w:cs="楷体"/>
          <w:color w:val="auto"/>
          <w:kern w:val="0"/>
          <w:sz w:val="24"/>
          <w:highlight w:val="none"/>
          <w:lang w:val="en-US" w:eastAsia="zh-CN"/>
        </w:rPr>
        <w:t>工作进度计划</w:t>
      </w:r>
      <w:r>
        <w:rPr>
          <w:rFonts w:hint="eastAsia" w:ascii="楷体" w:hAnsi="楷体" w:eastAsia="楷体" w:cs="楷体"/>
          <w:color w:val="auto"/>
          <w:kern w:val="0"/>
          <w:sz w:val="24"/>
          <w:highlight w:val="none"/>
        </w:rPr>
        <w:t>；</w:t>
      </w:r>
    </w:p>
    <w:p w14:paraId="5DB1C460">
      <w:pPr>
        <w:numPr>
          <w:ilvl w:val="0"/>
          <w:numId w:val="80"/>
        </w:numPr>
        <w:tabs>
          <w:tab w:val="left" w:pos="840"/>
        </w:tabs>
        <w:spacing w:line="360" w:lineRule="auto"/>
        <w:rPr>
          <w:rFonts w:ascii="楷体" w:hAnsi="楷体" w:eastAsia="楷体" w:cs="楷体"/>
          <w:color w:val="auto"/>
          <w:kern w:val="0"/>
          <w:sz w:val="24"/>
          <w:highlight w:val="none"/>
        </w:rPr>
      </w:pPr>
      <w:r>
        <w:rPr>
          <w:rFonts w:hint="eastAsia" w:ascii="楷体" w:hAnsi="楷体" w:eastAsia="楷体" w:cs="楷体"/>
          <w:color w:val="auto"/>
          <w:kern w:val="0"/>
          <w:sz w:val="26"/>
          <w:szCs w:val="26"/>
          <w:highlight w:val="none"/>
          <w:lang w:val="en-US" w:eastAsia="zh-CN"/>
        </w:rPr>
        <w:t>项目质量保障措施</w:t>
      </w:r>
      <w:r>
        <w:rPr>
          <w:rFonts w:hint="eastAsia" w:ascii="楷体" w:hAnsi="楷体" w:eastAsia="楷体" w:cs="楷体"/>
          <w:color w:val="auto"/>
          <w:kern w:val="0"/>
          <w:sz w:val="26"/>
          <w:szCs w:val="26"/>
          <w:highlight w:val="none"/>
        </w:rPr>
        <w:t>；</w:t>
      </w:r>
    </w:p>
    <w:p w14:paraId="7743494B">
      <w:pPr>
        <w:numPr>
          <w:ilvl w:val="0"/>
          <w:numId w:val="80"/>
        </w:numPr>
        <w:tabs>
          <w:tab w:val="left" w:pos="840"/>
        </w:tabs>
        <w:spacing w:line="360" w:lineRule="auto"/>
        <w:rPr>
          <w:rFonts w:ascii="楷体" w:hAnsi="楷体" w:eastAsia="楷体" w:cs="楷体"/>
          <w:color w:val="auto"/>
          <w:kern w:val="0"/>
          <w:sz w:val="24"/>
          <w:highlight w:val="none"/>
        </w:rPr>
      </w:pPr>
      <w:r>
        <w:rPr>
          <w:rFonts w:hint="eastAsia" w:ascii="楷体" w:hAnsi="楷体" w:eastAsia="楷体" w:cs="楷体"/>
          <w:color w:val="auto"/>
          <w:kern w:val="0"/>
          <w:sz w:val="24"/>
          <w:highlight w:val="none"/>
        </w:rPr>
        <w:t>投标人认为有必要的其他事项。</w:t>
      </w:r>
    </w:p>
    <w:p w14:paraId="16756792">
      <w:pPr>
        <w:tabs>
          <w:tab w:val="left" w:pos="840"/>
        </w:tabs>
        <w:spacing w:line="360" w:lineRule="auto"/>
        <w:ind w:left="400"/>
        <w:rPr>
          <w:rFonts w:ascii="楷体" w:hAnsi="楷体" w:eastAsia="楷体" w:cs="楷体"/>
          <w:color w:val="auto"/>
          <w:sz w:val="24"/>
          <w:highlight w:val="none"/>
          <w:lang w:val="en-GB"/>
        </w:rPr>
      </w:pPr>
    </w:p>
    <w:p w14:paraId="462E2BED">
      <w:pPr>
        <w:adjustRightInd w:val="0"/>
        <w:snapToGrid w:val="0"/>
        <w:spacing w:line="300" w:lineRule="auto"/>
        <w:rPr>
          <w:rFonts w:ascii="楷体" w:hAnsi="楷体" w:eastAsia="楷体" w:cs="楷体"/>
          <w:color w:val="auto"/>
          <w:szCs w:val="21"/>
          <w:highlight w:val="none"/>
        </w:rPr>
      </w:pPr>
    </w:p>
    <w:p w14:paraId="4F54CD93">
      <w:pPr>
        <w:adjustRightInd w:val="0"/>
        <w:snapToGrid w:val="0"/>
        <w:spacing w:line="300" w:lineRule="auto"/>
        <w:rPr>
          <w:rFonts w:ascii="楷体" w:hAnsi="楷体" w:eastAsia="楷体" w:cs="楷体"/>
          <w:color w:val="auto"/>
          <w:szCs w:val="21"/>
          <w:highlight w:val="none"/>
        </w:rPr>
      </w:pPr>
      <w:r>
        <w:rPr>
          <w:rFonts w:hint="eastAsia" w:ascii="楷体" w:hAnsi="楷体" w:eastAsia="楷体" w:cs="楷体"/>
          <w:color w:val="auto"/>
          <w:kern w:val="0"/>
          <w:sz w:val="24"/>
          <w:highlight w:val="none"/>
        </w:rPr>
        <w:t>按《技术评审表》要求提供。</w:t>
      </w:r>
    </w:p>
    <w:p w14:paraId="6A51F878">
      <w:pPr>
        <w:adjustRightInd w:val="0"/>
        <w:snapToGrid w:val="0"/>
        <w:spacing w:line="300" w:lineRule="auto"/>
        <w:rPr>
          <w:rFonts w:ascii="楷体" w:hAnsi="楷体" w:eastAsia="楷体" w:cs="楷体"/>
          <w:color w:val="auto"/>
          <w:szCs w:val="21"/>
          <w:highlight w:val="none"/>
        </w:rPr>
      </w:pPr>
    </w:p>
    <w:p w14:paraId="44E66BF7">
      <w:pPr>
        <w:pStyle w:val="71"/>
        <w:rPr>
          <w:rFonts w:ascii="楷体" w:hAnsi="楷体" w:eastAsia="楷体" w:cs="楷体"/>
          <w:color w:val="auto"/>
          <w:highlight w:val="none"/>
        </w:rPr>
      </w:pPr>
    </w:p>
    <w:p w14:paraId="1CCD5E17">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投标人名称（加盖公章）：</w:t>
      </w:r>
    </w:p>
    <w:p w14:paraId="72A89387">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051F410">
      <w:pPr>
        <w:spacing w:before="72" w:after="72" w:line="400" w:lineRule="exact"/>
        <w:ind w:firstLine="3578" w:firstLineChars="1491"/>
        <w:rPr>
          <w:rFonts w:ascii="楷体" w:hAnsi="楷体" w:eastAsia="楷体" w:cs="楷体"/>
          <w:color w:val="auto"/>
          <w:sz w:val="24"/>
          <w:highlight w:val="none"/>
        </w:rPr>
      </w:pPr>
      <w:r>
        <w:rPr>
          <w:rFonts w:hint="eastAsia" w:ascii="楷体" w:hAnsi="楷体" w:eastAsia="楷体" w:cs="楷体"/>
          <w:color w:val="auto"/>
          <w:sz w:val="24"/>
          <w:highlight w:val="none"/>
        </w:rPr>
        <w:t>日期：   年   月   日</w:t>
      </w:r>
    </w:p>
    <w:p w14:paraId="43F75E12">
      <w:pPr>
        <w:widowControl/>
        <w:jc w:val="left"/>
        <w:rPr>
          <w:rFonts w:ascii="楷体" w:hAnsi="楷体" w:eastAsia="楷体" w:cs="楷体"/>
          <w:color w:val="auto"/>
          <w:sz w:val="24"/>
          <w:highlight w:val="none"/>
        </w:rPr>
      </w:pPr>
      <w:r>
        <w:rPr>
          <w:rFonts w:hint="eastAsia" w:ascii="楷体" w:hAnsi="楷体" w:eastAsia="楷体" w:cs="楷体"/>
          <w:color w:val="auto"/>
          <w:sz w:val="24"/>
          <w:highlight w:val="none"/>
        </w:rPr>
        <w:br w:type="page"/>
      </w:r>
    </w:p>
    <w:p w14:paraId="14C432FB">
      <w:pPr>
        <w:spacing w:before="72" w:after="72" w:line="400" w:lineRule="exact"/>
        <w:rPr>
          <w:rFonts w:ascii="楷体" w:hAnsi="楷体" w:eastAsia="楷体" w:cs="楷体"/>
          <w:color w:val="auto"/>
          <w:highlight w:val="none"/>
        </w:rPr>
      </w:pPr>
    </w:p>
    <w:p w14:paraId="594037F2">
      <w:pPr>
        <w:spacing w:before="72" w:after="72" w:line="400" w:lineRule="exact"/>
        <w:rPr>
          <w:rFonts w:ascii="楷体" w:hAnsi="楷体" w:eastAsia="楷体" w:cs="楷体"/>
          <w:color w:val="auto"/>
          <w:highlight w:val="none"/>
        </w:rPr>
      </w:pPr>
    </w:p>
    <w:p w14:paraId="784F5235">
      <w:pPr>
        <w:spacing w:before="72" w:after="72" w:line="400" w:lineRule="exact"/>
        <w:rPr>
          <w:rFonts w:ascii="楷体" w:hAnsi="楷体" w:eastAsia="楷体" w:cs="楷体"/>
          <w:color w:val="auto"/>
          <w:highlight w:val="none"/>
        </w:rPr>
      </w:pPr>
    </w:p>
    <w:p w14:paraId="29450F7D">
      <w:pPr>
        <w:spacing w:before="72" w:after="72" w:line="400" w:lineRule="exact"/>
        <w:rPr>
          <w:rFonts w:ascii="楷体" w:hAnsi="楷体" w:eastAsia="楷体" w:cs="楷体"/>
          <w:color w:val="auto"/>
          <w:highlight w:val="none"/>
        </w:rPr>
      </w:pPr>
    </w:p>
    <w:p w14:paraId="388BB2D2">
      <w:pPr>
        <w:spacing w:before="72" w:after="72" w:line="400" w:lineRule="exact"/>
        <w:rPr>
          <w:rFonts w:ascii="楷体" w:hAnsi="楷体" w:eastAsia="楷体" w:cs="楷体"/>
          <w:color w:val="auto"/>
          <w:highlight w:val="none"/>
        </w:rPr>
      </w:pPr>
    </w:p>
    <w:p w14:paraId="1FDA5D4C">
      <w:pPr>
        <w:spacing w:before="72" w:after="72" w:line="400" w:lineRule="exact"/>
        <w:rPr>
          <w:rFonts w:ascii="楷体" w:hAnsi="楷体" w:eastAsia="楷体" w:cs="楷体"/>
          <w:color w:val="auto"/>
          <w:highlight w:val="none"/>
        </w:rPr>
      </w:pPr>
    </w:p>
    <w:p w14:paraId="1EC484D2">
      <w:pPr>
        <w:spacing w:before="72" w:after="72" w:line="400" w:lineRule="exact"/>
        <w:rPr>
          <w:rFonts w:ascii="楷体" w:hAnsi="楷体" w:eastAsia="楷体" w:cs="楷体"/>
          <w:color w:val="auto"/>
          <w:highlight w:val="none"/>
        </w:rPr>
      </w:pPr>
    </w:p>
    <w:p w14:paraId="4C90179F">
      <w:pPr>
        <w:spacing w:before="72" w:after="72" w:line="400" w:lineRule="exact"/>
        <w:rPr>
          <w:rFonts w:ascii="楷体" w:hAnsi="楷体" w:eastAsia="楷体" w:cs="楷体"/>
          <w:color w:val="auto"/>
          <w:highlight w:val="none"/>
        </w:rPr>
      </w:pPr>
    </w:p>
    <w:p w14:paraId="678F3502">
      <w:pPr>
        <w:spacing w:before="72" w:after="72" w:line="400" w:lineRule="exact"/>
        <w:rPr>
          <w:rFonts w:ascii="楷体" w:hAnsi="楷体" w:eastAsia="楷体" w:cs="楷体"/>
          <w:color w:val="auto"/>
          <w:highlight w:val="none"/>
        </w:rPr>
      </w:pPr>
    </w:p>
    <w:p w14:paraId="2EBDD45B">
      <w:pPr>
        <w:spacing w:before="72" w:after="72" w:line="400" w:lineRule="exact"/>
        <w:rPr>
          <w:rFonts w:ascii="楷体" w:hAnsi="楷体" w:eastAsia="楷体" w:cs="楷体"/>
          <w:color w:val="auto"/>
          <w:highlight w:val="none"/>
        </w:rPr>
      </w:pPr>
    </w:p>
    <w:p w14:paraId="1D571D40">
      <w:pPr>
        <w:spacing w:before="72" w:after="72" w:line="400" w:lineRule="exact"/>
        <w:rPr>
          <w:rFonts w:ascii="楷体" w:hAnsi="楷体" w:eastAsia="楷体" w:cs="楷体"/>
          <w:color w:val="auto"/>
          <w:highlight w:val="none"/>
        </w:rPr>
      </w:pPr>
    </w:p>
    <w:p w14:paraId="40B933A4">
      <w:pPr>
        <w:spacing w:before="72" w:after="72" w:line="400" w:lineRule="exact"/>
        <w:rPr>
          <w:rFonts w:ascii="楷体" w:hAnsi="楷体" w:eastAsia="楷体" w:cs="楷体"/>
          <w:color w:val="auto"/>
          <w:highlight w:val="none"/>
        </w:rPr>
      </w:pPr>
    </w:p>
    <w:p w14:paraId="752CCF02">
      <w:pPr>
        <w:pStyle w:val="4"/>
        <w:jc w:val="center"/>
        <w:rPr>
          <w:rFonts w:ascii="楷体" w:hAnsi="楷体" w:eastAsia="楷体" w:cs="楷体"/>
          <w:color w:val="auto"/>
          <w:sz w:val="44"/>
          <w:szCs w:val="44"/>
          <w:highlight w:val="none"/>
        </w:rPr>
      </w:pPr>
      <w:bookmarkStart w:id="506" w:name="_Toc423021980"/>
      <w:bookmarkStart w:id="507" w:name="_Toc13665"/>
      <w:bookmarkStart w:id="508" w:name="_Toc7371"/>
      <w:bookmarkStart w:id="509" w:name="_Toc31162"/>
      <w:bookmarkStart w:id="510" w:name="_Toc11275"/>
      <w:bookmarkStart w:id="511" w:name="_Toc31491"/>
      <w:bookmarkStart w:id="512" w:name="_Toc483642784"/>
      <w:bookmarkStart w:id="513" w:name="_Toc381489454"/>
      <w:bookmarkStart w:id="514" w:name="_Toc22463"/>
      <w:r>
        <w:rPr>
          <w:rFonts w:hint="eastAsia" w:ascii="楷体" w:hAnsi="楷体" w:eastAsia="楷体" w:cs="楷体"/>
          <w:color w:val="auto"/>
          <w:sz w:val="44"/>
          <w:szCs w:val="44"/>
          <w:highlight w:val="none"/>
        </w:rPr>
        <w:t>第五部分报价文件</w:t>
      </w:r>
      <w:bookmarkEnd w:id="506"/>
      <w:bookmarkEnd w:id="507"/>
      <w:bookmarkEnd w:id="508"/>
      <w:bookmarkEnd w:id="509"/>
      <w:bookmarkEnd w:id="510"/>
      <w:bookmarkEnd w:id="511"/>
      <w:bookmarkEnd w:id="512"/>
      <w:bookmarkEnd w:id="513"/>
      <w:bookmarkEnd w:id="514"/>
    </w:p>
    <w:p w14:paraId="6363BCC6">
      <w:pPr>
        <w:pStyle w:val="79"/>
        <w:spacing w:beforeLines="100" w:afterLines="100" w:line="360" w:lineRule="auto"/>
        <w:rPr>
          <w:rFonts w:ascii="楷体" w:hAnsi="楷体" w:eastAsia="楷体" w:cs="楷体"/>
          <w:b/>
          <w:color w:val="auto"/>
          <w:kern w:val="2"/>
          <w:szCs w:val="32"/>
          <w:highlight w:val="none"/>
        </w:rPr>
        <w:sectPr>
          <w:pgSz w:w="11906" w:h="16838"/>
          <w:pgMar w:top="1440" w:right="1800" w:bottom="1440" w:left="1800" w:header="851" w:footer="822" w:gutter="0"/>
          <w:cols w:space="720" w:num="1"/>
          <w:docGrid w:linePitch="312" w:charSpace="0"/>
        </w:sectPr>
      </w:pPr>
      <w:bookmarkStart w:id="515" w:name="_Toc423021981"/>
      <w:bookmarkStart w:id="516" w:name="_Toc381489455"/>
      <w:bookmarkStart w:id="517" w:name="_Toc196294652"/>
      <w:bookmarkStart w:id="518" w:name="_Toc196109463"/>
      <w:bookmarkStart w:id="519" w:name="_Toc196109464"/>
      <w:bookmarkStart w:id="520" w:name="_Toc196294653"/>
    </w:p>
    <w:bookmarkEnd w:id="515"/>
    <w:bookmarkEnd w:id="516"/>
    <w:bookmarkEnd w:id="517"/>
    <w:bookmarkEnd w:id="518"/>
    <w:p w14:paraId="399C9947">
      <w:pPr>
        <w:pStyle w:val="5"/>
        <w:numPr>
          <w:ilvl w:val="0"/>
          <w:numId w:val="81"/>
        </w:numPr>
        <w:jc w:val="center"/>
        <w:rPr>
          <w:rFonts w:ascii="楷体" w:hAnsi="楷体" w:eastAsia="楷体" w:cs="楷体"/>
          <w:color w:val="auto"/>
          <w:highlight w:val="none"/>
        </w:rPr>
      </w:pPr>
      <w:bookmarkStart w:id="521" w:name="_Toc16143"/>
      <w:bookmarkStart w:id="522" w:name="_Toc14806"/>
      <w:bookmarkStart w:id="523" w:name="_Toc11257"/>
      <w:bookmarkStart w:id="524" w:name="_Toc2165"/>
      <w:bookmarkStart w:id="525" w:name="_Toc15464"/>
      <w:bookmarkStart w:id="526" w:name="_Toc483642785"/>
      <w:r>
        <w:rPr>
          <w:rFonts w:hint="eastAsia" w:ascii="楷体" w:hAnsi="楷体" w:eastAsia="楷体" w:cs="楷体"/>
          <w:color w:val="auto"/>
          <w:highlight w:val="none"/>
        </w:rPr>
        <w:t>开标一览表</w:t>
      </w:r>
      <w:bookmarkEnd w:id="521"/>
      <w:bookmarkEnd w:id="522"/>
      <w:bookmarkEnd w:id="523"/>
      <w:bookmarkEnd w:id="524"/>
      <w:bookmarkEnd w:id="525"/>
      <w:bookmarkEnd w:id="526"/>
    </w:p>
    <w:p w14:paraId="68345302">
      <w:pPr>
        <w:spacing w:before="72" w:after="72"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项目名称：</w:t>
      </w:r>
    </w:p>
    <w:p w14:paraId="736603F6">
      <w:pPr>
        <w:spacing w:before="72" w:after="72"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项目编号：</w:t>
      </w:r>
    </w:p>
    <w:tbl>
      <w:tblPr>
        <w:tblStyle w:val="44"/>
        <w:tblW w:w="42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3"/>
        <w:gridCol w:w="3057"/>
      </w:tblGrid>
      <w:tr w14:paraId="711C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903" w:type="pct"/>
            <w:shd w:val="clear" w:color="auto" w:fill="EEECE1"/>
            <w:vAlign w:val="center"/>
          </w:tcPr>
          <w:p w14:paraId="25AE6ADF">
            <w:pPr>
              <w:adjustRightInd w:val="0"/>
              <w:snapToGrid w:val="0"/>
              <w:spacing w:line="320" w:lineRule="exact"/>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投标报价</w:t>
            </w:r>
          </w:p>
          <w:p w14:paraId="63D0A213">
            <w:pPr>
              <w:adjustRightInd w:val="0"/>
              <w:snapToGrid w:val="0"/>
              <w:spacing w:line="320" w:lineRule="exact"/>
              <w:jc w:val="center"/>
              <w:rPr>
                <w:rFonts w:ascii="楷体" w:hAnsi="楷体" w:eastAsia="楷体" w:cs="楷体"/>
                <w:b/>
                <w:color w:val="auto"/>
                <w:sz w:val="24"/>
                <w:highlight w:val="none"/>
              </w:rPr>
            </w:pPr>
            <w:r>
              <w:rPr>
                <w:rFonts w:hint="eastAsia" w:ascii="楷体" w:hAnsi="楷体" w:eastAsia="楷体" w:cs="楷体"/>
                <w:b/>
                <w:color w:val="auto"/>
                <w:sz w:val="24"/>
                <w:highlight w:val="none"/>
              </w:rPr>
              <w:t>（人民币/元）</w:t>
            </w:r>
          </w:p>
        </w:tc>
        <w:tc>
          <w:tcPr>
            <w:tcW w:w="2096" w:type="pct"/>
            <w:shd w:val="clear" w:color="auto" w:fill="EEECE1"/>
            <w:vAlign w:val="center"/>
          </w:tcPr>
          <w:p w14:paraId="6F3CE771">
            <w:pPr>
              <w:adjustRightInd w:val="0"/>
              <w:snapToGrid w:val="0"/>
              <w:spacing w:line="320" w:lineRule="exact"/>
              <w:jc w:val="center"/>
              <w:rPr>
                <w:rFonts w:hint="eastAsia" w:ascii="楷体" w:hAnsi="楷体" w:eastAsia="楷体" w:cs="楷体"/>
                <w:b/>
                <w:color w:val="auto"/>
                <w:sz w:val="24"/>
                <w:highlight w:val="none"/>
                <w:lang w:eastAsia="zh-CN"/>
              </w:rPr>
            </w:pPr>
            <w:r>
              <w:rPr>
                <w:rFonts w:hint="eastAsia" w:ascii="楷体" w:hAnsi="楷体" w:eastAsia="楷体" w:cs="楷体"/>
                <w:b/>
                <w:color w:val="auto"/>
                <w:sz w:val="24"/>
                <w:highlight w:val="none"/>
                <w:lang w:eastAsia="zh-CN"/>
              </w:rPr>
              <w:t>服务期限</w:t>
            </w:r>
          </w:p>
        </w:tc>
      </w:tr>
      <w:tr w14:paraId="4044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903" w:type="pct"/>
            <w:vAlign w:val="center"/>
          </w:tcPr>
          <w:p w14:paraId="6EF8C2DC">
            <w:pPr>
              <w:adjustRightInd w:val="0"/>
              <w:snapToGrid w:val="0"/>
              <w:spacing w:line="320" w:lineRule="exact"/>
              <w:ind w:right="149" w:rightChars="71"/>
              <w:jc w:val="left"/>
              <w:rPr>
                <w:rFonts w:ascii="楷体" w:hAnsi="楷体" w:eastAsia="楷体" w:cs="楷体"/>
                <w:color w:val="auto"/>
                <w:sz w:val="24"/>
                <w:highlight w:val="none"/>
              </w:rPr>
            </w:pPr>
            <w:r>
              <w:rPr>
                <w:rFonts w:hint="eastAsia" w:ascii="楷体" w:hAnsi="楷体" w:eastAsia="楷体" w:cs="楷体"/>
                <w:color w:val="auto"/>
                <w:sz w:val="24"/>
                <w:highlight w:val="none"/>
              </w:rPr>
              <w:t>（小写）</w:t>
            </w:r>
          </w:p>
          <w:p w14:paraId="528FB856">
            <w:pPr>
              <w:adjustRightInd w:val="0"/>
              <w:snapToGrid w:val="0"/>
              <w:spacing w:line="320" w:lineRule="exact"/>
              <w:ind w:right="149" w:rightChars="71"/>
              <w:jc w:val="left"/>
              <w:rPr>
                <w:rFonts w:ascii="楷体" w:hAnsi="楷体" w:eastAsia="楷体" w:cs="楷体"/>
                <w:color w:val="auto"/>
                <w:sz w:val="24"/>
                <w:highlight w:val="none"/>
              </w:rPr>
            </w:pPr>
            <w:r>
              <w:rPr>
                <w:rFonts w:hint="eastAsia" w:ascii="楷体" w:hAnsi="楷体" w:eastAsia="楷体" w:cs="楷体"/>
                <w:color w:val="auto"/>
                <w:sz w:val="24"/>
                <w:highlight w:val="none"/>
              </w:rPr>
              <w:t>（大写）</w:t>
            </w:r>
          </w:p>
        </w:tc>
        <w:tc>
          <w:tcPr>
            <w:tcW w:w="2096" w:type="pct"/>
            <w:vAlign w:val="center"/>
          </w:tcPr>
          <w:p w14:paraId="052C9B2D">
            <w:pPr>
              <w:adjustRightInd w:val="0"/>
              <w:snapToGrid w:val="0"/>
              <w:spacing w:line="320" w:lineRule="exact"/>
              <w:jc w:val="center"/>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eastAsia="zh-CN"/>
              </w:rPr>
              <w:t>合同</w:t>
            </w:r>
            <w:r>
              <w:rPr>
                <w:rFonts w:hint="eastAsia" w:ascii="楷体" w:hAnsi="楷体" w:eastAsia="楷体" w:cs="楷体"/>
                <w:color w:val="auto"/>
                <w:sz w:val="24"/>
                <w:highlight w:val="none"/>
                <w:lang w:val="en-US" w:eastAsia="zh-CN"/>
              </w:rPr>
              <w:t>生效</w:t>
            </w:r>
            <w:r>
              <w:rPr>
                <w:rFonts w:hint="eastAsia" w:ascii="楷体" w:hAnsi="楷体" w:eastAsia="楷体" w:cs="楷体"/>
                <w:color w:val="auto"/>
                <w:sz w:val="24"/>
                <w:highlight w:val="none"/>
                <w:lang w:eastAsia="zh-CN"/>
              </w:rPr>
              <w:t>之日起20个工作日内完成本项目所有内容，并通过招标人验收。</w:t>
            </w:r>
          </w:p>
        </w:tc>
      </w:tr>
    </w:tbl>
    <w:p w14:paraId="366CE000">
      <w:pPr>
        <w:spacing w:line="360" w:lineRule="auto"/>
        <w:rPr>
          <w:rFonts w:ascii="楷体" w:hAnsi="楷体" w:eastAsia="楷体" w:cs="楷体"/>
          <w:color w:val="auto"/>
          <w:sz w:val="24"/>
          <w:highlight w:val="none"/>
        </w:rPr>
      </w:pPr>
    </w:p>
    <w:p w14:paraId="4C8AE110">
      <w:p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注：</w:t>
      </w:r>
    </w:p>
    <w:p w14:paraId="01199B12">
      <w:pPr>
        <w:numPr>
          <w:ilvl w:val="0"/>
          <w:numId w:val="82"/>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投标人须按要求填写所有信息（留有空白处默认为响应招标文件要求），不得随意更改本表格式。</w:t>
      </w:r>
    </w:p>
    <w:p w14:paraId="4E546F43">
      <w:pPr>
        <w:numPr>
          <w:ilvl w:val="0"/>
          <w:numId w:val="82"/>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所有价格均应以人民币报价，金额单位为元。</w:t>
      </w:r>
    </w:p>
    <w:p w14:paraId="4F1387EB">
      <w:pPr>
        <w:numPr>
          <w:ilvl w:val="0"/>
          <w:numId w:val="82"/>
        </w:numPr>
        <w:adjustRightInd w:val="0"/>
        <w:snapToGrid w:val="0"/>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此表是投标文件的必要文件，是投标文件的组成部分，还应另附一份并与优惠声明（若有）封装在唱标信封中，作为统计之用。</w:t>
      </w:r>
    </w:p>
    <w:p w14:paraId="462CDD32">
      <w:pPr>
        <w:spacing w:before="72" w:after="72" w:line="360" w:lineRule="auto"/>
        <w:rPr>
          <w:rFonts w:ascii="楷体" w:hAnsi="楷体" w:eastAsia="楷体" w:cs="楷体"/>
          <w:color w:val="auto"/>
          <w:sz w:val="24"/>
          <w:highlight w:val="none"/>
        </w:rPr>
      </w:pPr>
    </w:p>
    <w:p w14:paraId="74EECF83">
      <w:pPr>
        <w:pStyle w:val="17"/>
        <w:rPr>
          <w:rFonts w:ascii="楷体" w:hAnsi="楷体" w:eastAsia="楷体" w:cs="楷体"/>
          <w:color w:val="auto"/>
          <w:highlight w:val="none"/>
        </w:rPr>
      </w:pPr>
    </w:p>
    <w:p w14:paraId="3DD36040">
      <w:pPr>
        <w:adjustRightInd w:val="0"/>
        <w:snapToGrid w:val="0"/>
        <w:spacing w:before="72" w:after="72" w:line="480" w:lineRule="auto"/>
        <w:ind w:firstLine="3578" w:firstLineChars="1491"/>
        <w:rPr>
          <w:rFonts w:ascii="楷体" w:hAnsi="楷体" w:eastAsia="楷体" w:cs="楷体"/>
          <w:color w:val="auto"/>
          <w:sz w:val="24"/>
          <w:highlight w:val="none"/>
          <w:u w:val="single"/>
        </w:rPr>
      </w:pPr>
      <w:bookmarkStart w:id="527" w:name="_Toc381489457"/>
      <w:r>
        <w:rPr>
          <w:rFonts w:hint="eastAsia" w:ascii="楷体" w:hAnsi="楷体" w:eastAsia="楷体" w:cs="楷体"/>
          <w:color w:val="auto"/>
          <w:sz w:val="24"/>
          <w:highlight w:val="none"/>
        </w:rPr>
        <w:t>投标人名称（加盖公章）：</w:t>
      </w:r>
    </w:p>
    <w:p w14:paraId="7F56855B">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3AA5621">
      <w:pPr>
        <w:spacing w:before="72" w:after="72" w:line="400" w:lineRule="exact"/>
        <w:ind w:firstLine="3578" w:firstLineChars="1491"/>
        <w:rPr>
          <w:rFonts w:ascii="楷体" w:hAnsi="楷体" w:eastAsia="楷体" w:cs="楷体"/>
          <w:color w:val="auto"/>
          <w:sz w:val="24"/>
          <w:highlight w:val="none"/>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highlight w:val="none"/>
        </w:rPr>
        <w:t>日期：   年   月   日</w:t>
      </w:r>
    </w:p>
    <w:bookmarkEnd w:id="519"/>
    <w:bookmarkEnd w:id="520"/>
    <w:bookmarkEnd w:id="527"/>
    <w:p w14:paraId="558E93D5">
      <w:pPr>
        <w:pStyle w:val="5"/>
        <w:numPr>
          <w:ilvl w:val="0"/>
          <w:numId w:val="81"/>
        </w:numPr>
        <w:jc w:val="center"/>
        <w:rPr>
          <w:rFonts w:ascii="楷体" w:hAnsi="楷体" w:eastAsia="楷体" w:cs="楷体"/>
          <w:color w:val="auto"/>
          <w:highlight w:val="none"/>
        </w:rPr>
      </w:pPr>
      <w:bookmarkStart w:id="528" w:name="_Toc483642786"/>
      <w:bookmarkStart w:id="529" w:name="_Toc3122"/>
      <w:bookmarkStart w:id="530" w:name="_Toc17488"/>
      <w:bookmarkStart w:id="531" w:name="_Toc19453"/>
      <w:bookmarkStart w:id="532" w:name="_Toc15540"/>
      <w:bookmarkStart w:id="533" w:name="_Toc18489"/>
      <w:r>
        <w:rPr>
          <w:rFonts w:hint="eastAsia" w:ascii="楷体" w:hAnsi="楷体" w:eastAsia="楷体" w:cs="楷体"/>
          <w:color w:val="auto"/>
          <w:highlight w:val="none"/>
        </w:rPr>
        <w:t>投标明细报价表</w:t>
      </w:r>
      <w:bookmarkEnd w:id="528"/>
      <w:bookmarkEnd w:id="529"/>
      <w:bookmarkEnd w:id="530"/>
      <w:bookmarkEnd w:id="531"/>
      <w:bookmarkEnd w:id="532"/>
      <w:bookmarkEnd w:id="533"/>
    </w:p>
    <w:p w14:paraId="13D64095">
      <w:pPr>
        <w:spacing w:line="360" w:lineRule="auto"/>
        <w:jc w:val="left"/>
        <w:rPr>
          <w:rFonts w:ascii="楷体" w:hAnsi="楷体" w:eastAsia="楷体" w:cs="楷体"/>
          <w:color w:val="auto"/>
          <w:sz w:val="24"/>
          <w:highlight w:val="none"/>
        </w:rPr>
      </w:pPr>
      <w:r>
        <w:rPr>
          <w:rFonts w:hint="eastAsia" w:ascii="楷体" w:hAnsi="楷体" w:eastAsia="楷体" w:cs="楷体"/>
          <w:color w:val="auto"/>
          <w:sz w:val="24"/>
          <w:highlight w:val="none"/>
        </w:rPr>
        <w:t xml:space="preserve">项目名称： </w:t>
      </w:r>
    </w:p>
    <w:p w14:paraId="303253AC">
      <w:p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项目编号：</w:t>
      </w:r>
    </w:p>
    <w:p w14:paraId="0D60B1BF">
      <w:pPr>
        <w:pStyle w:val="70"/>
        <w:ind w:firstLine="0"/>
        <w:rPr>
          <w:rFonts w:ascii="楷体" w:hAnsi="楷体" w:eastAsia="楷体" w:cs="楷体"/>
          <w:color w:val="auto"/>
          <w:highlight w:val="none"/>
        </w:rPr>
      </w:pPr>
    </w:p>
    <w:p w14:paraId="4DEB6C97">
      <w:pPr>
        <w:adjustRightInd w:val="0"/>
        <w:snapToGrid w:val="0"/>
        <w:spacing w:line="360" w:lineRule="auto"/>
        <w:rPr>
          <w:rFonts w:ascii="楷体" w:hAnsi="楷体" w:eastAsia="楷体" w:cs="楷体"/>
          <w:color w:val="auto"/>
          <w:sz w:val="24"/>
          <w:highlight w:val="none"/>
        </w:rPr>
      </w:pPr>
    </w:p>
    <w:p w14:paraId="2C92A198">
      <w:pPr>
        <w:adjustRightInd w:val="0"/>
        <w:snapToGrid w:val="0"/>
        <w:spacing w:line="360" w:lineRule="auto"/>
        <w:rPr>
          <w:rFonts w:ascii="楷体" w:hAnsi="楷体" w:eastAsia="楷体" w:cs="楷体"/>
          <w:color w:val="auto"/>
          <w:sz w:val="24"/>
          <w:highlight w:val="none"/>
        </w:rPr>
      </w:pPr>
    </w:p>
    <w:p w14:paraId="07B1C419">
      <w:pPr>
        <w:adjustRightInd w:val="0"/>
        <w:snapToGrid w:val="0"/>
        <w:spacing w:line="360" w:lineRule="auto"/>
        <w:rPr>
          <w:rFonts w:ascii="楷体" w:hAnsi="楷体" w:eastAsia="楷体" w:cs="楷体"/>
          <w:color w:val="auto"/>
          <w:sz w:val="24"/>
          <w:highlight w:val="none"/>
        </w:rPr>
      </w:pPr>
    </w:p>
    <w:p w14:paraId="224BA818">
      <w:pPr>
        <w:adjustRightInd w:val="0"/>
        <w:snapToGrid w:val="0"/>
        <w:spacing w:line="360" w:lineRule="auto"/>
        <w:jc w:val="center"/>
        <w:rPr>
          <w:rFonts w:ascii="楷体" w:hAnsi="楷体" w:eastAsia="楷体" w:cs="楷体"/>
          <w:color w:val="auto"/>
          <w:sz w:val="24"/>
          <w:highlight w:val="none"/>
        </w:rPr>
      </w:pPr>
      <w:r>
        <w:rPr>
          <w:rFonts w:hint="eastAsia" w:ascii="楷体" w:hAnsi="楷体" w:eastAsia="楷体" w:cs="楷体"/>
          <w:color w:val="auto"/>
          <w:sz w:val="24"/>
          <w:highlight w:val="none"/>
        </w:rPr>
        <w:t>格式自拟</w:t>
      </w:r>
    </w:p>
    <w:p w14:paraId="06F3BB61">
      <w:pPr>
        <w:pStyle w:val="71"/>
        <w:rPr>
          <w:rFonts w:ascii="楷体" w:hAnsi="楷体" w:eastAsia="楷体" w:cs="楷体"/>
          <w:color w:val="auto"/>
          <w:highlight w:val="none"/>
        </w:rPr>
      </w:pPr>
    </w:p>
    <w:p w14:paraId="2C8796F1">
      <w:pPr>
        <w:tabs>
          <w:tab w:val="left" w:pos="840"/>
        </w:tabs>
        <w:spacing w:before="72" w:after="72" w:line="360" w:lineRule="auto"/>
        <w:rPr>
          <w:rFonts w:ascii="楷体" w:hAnsi="楷体" w:eastAsia="楷体" w:cs="楷体"/>
          <w:color w:val="auto"/>
          <w:sz w:val="24"/>
          <w:highlight w:val="none"/>
        </w:rPr>
      </w:pPr>
    </w:p>
    <w:p w14:paraId="1C3464B3">
      <w:pPr>
        <w:tabs>
          <w:tab w:val="left" w:pos="840"/>
        </w:tabs>
        <w:spacing w:before="72" w:after="72" w:line="360" w:lineRule="auto"/>
        <w:rPr>
          <w:rFonts w:ascii="楷体" w:hAnsi="楷体" w:eastAsia="楷体" w:cs="楷体"/>
          <w:color w:val="auto"/>
          <w:sz w:val="24"/>
          <w:highlight w:val="none"/>
        </w:rPr>
      </w:pPr>
    </w:p>
    <w:p w14:paraId="4769A8D4">
      <w:pPr>
        <w:adjustRightInd w:val="0"/>
        <w:snapToGrid w:val="0"/>
        <w:spacing w:before="72" w:after="72" w:line="480" w:lineRule="auto"/>
        <w:ind w:firstLine="3578" w:firstLineChars="1491"/>
        <w:rPr>
          <w:rFonts w:ascii="楷体" w:hAnsi="楷体" w:eastAsia="楷体" w:cs="楷体"/>
          <w:color w:val="auto"/>
          <w:sz w:val="24"/>
          <w:highlight w:val="none"/>
          <w:u w:val="single"/>
        </w:rPr>
      </w:pPr>
      <w:bookmarkStart w:id="534" w:name="_Toc423021983"/>
      <w:bookmarkStart w:id="535" w:name="_Toc18207"/>
      <w:r>
        <w:rPr>
          <w:rFonts w:hint="eastAsia" w:ascii="楷体" w:hAnsi="楷体" w:eastAsia="楷体" w:cs="楷体"/>
          <w:color w:val="auto"/>
          <w:sz w:val="24"/>
          <w:highlight w:val="none"/>
        </w:rPr>
        <w:t>投标人名称（加盖公章）：</w:t>
      </w:r>
    </w:p>
    <w:p w14:paraId="23FE2B85">
      <w:pPr>
        <w:adjustRightInd w:val="0"/>
        <w:snapToGrid w:val="0"/>
        <w:spacing w:before="72" w:after="72" w:line="480" w:lineRule="auto"/>
        <w:ind w:firstLine="3578" w:firstLineChars="1491"/>
        <w:rPr>
          <w:rFonts w:ascii="楷体" w:hAnsi="楷体" w:eastAsia="楷体" w:cs="楷体"/>
          <w:color w:val="auto"/>
          <w:sz w:val="24"/>
          <w:highlight w:val="none"/>
          <w:u w:val="single"/>
        </w:rPr>
      </w:pPr>
      <w:r>
        <w:rPr>
          <w:rFonts w:hint="eastAsia" w:ascii="楷体" w:hAnsi="楷体" w:eastAsia="楷体" w:cs="楷体"/>
          <w:color w:val="auto"/>
          <w:sz w:val="24"/>
          <w:highlight w:val="none"/>
        </w:rPr>
        <w:t>投标人法定代表人或其授权代表（签字）：</w:t>
      </w:r>
    </w:p>
    <w:p w14:paraId="2E257A3B">
      <w:pPr>
        <w:spacing w:before="72" w:after="72" w:line="400" w:lineRule="exact"/>
        <w:ind w:firstLine="3578" w:firstLineChars="1491"/>
        <w:rPr>
          <w:rFonts w:ascii="楷体" w:hAnsi="楷体" w:eastAsia="楷体" w:cs="楷体"/>
          <w:color w:val="auto"/>
          <w:highlight w:val="none"/>
        </w:rPr>
      </w:pPr>
      <w:r>
        <w:rPr>
          <w:rFonts w:hint="eastAsia" w:ascii="楷体" w:hAnsi="楷体" w:eastAsia="楷体" w:cs="楷体"/>
          <w:color w:val="auto"/>
          <w:sz w:val="24"/>
          <w:highlight w:val="none"/>
        </w:rPr>
        <w:t>日期：   年   月   日</w:t>
      </w:r>
      <w:bookmarkEnd w:id="534"/>
      <w:bookmarkEnd w:id="535"/>
    </w:p>
    <w:p w14:paraId="6495BB1F">
      <w:pPr>
        <w:spacing w:before="72" w:after="72" w:line="400" w:lineRule="exact"/>
        <w:rPr>
          <w:rFonts w:ascii="楷体" w:hAnsi="楷体" w:eastAsia="楷体" w:cs="楷体"/>
          <w:color w:val="auto"/>
          <w:highlight w:val="none"/>
        </w:rPr>
      </w:pPr>
    </w:p>
    <w:p w14:paraId="702B3400">
      <w:pPr>
        <w:pStyle w:val="70"/>
        <w:rPr>
          <w:rFonts w:ascii="楷体" w:hAnsi="楷体" w:eastAsia="楷体" w:cs="楷体"/>
          <w:color w:val="auto"/>
          <w:highlight w:val="none"/>
        </w:rPr>
      </w:pPr>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FC85">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40B0">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3C026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fill on="f" focussize="0,0"/>
              <v:stroke on="f"/>
              <v:imagedata o:title=""/>
              <o:lock v:ext="edit" aspectratio="f"/>
              <v:textbox inset="0mm,0mm,0mm,0mm" style="mso-fit-shape-to-text:t;">
                <w:txbxContent>
                  <w:p w14:paraId="3D3C026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广东鼎信招标采购有限公司编制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5CED">
    <w:pPr>
      <w:pBdr>
        <w:top w:val="single" w:color="auto" w:sz="4" w:space="0"/>
      </w:pBdr>
      <w:ind w:right="-58"/>
      <w:jc w:val="center"/>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77B960">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r6gl2wEAAMEDAAAOAAAAAAAAAAEA&#10;IAAAAB4BAABkcnMvZTJvRG9jLnhtbFBLBQYAAAAABgAGAFkBAABrBQAAAAA=&#10;">
              <v:fill on="f" focussize="0,0"/>
              <v:stroke on="f"/>
              <v:imagedata o:title=""/>
              <o:lock v:ext="edit" aspectratio="f"/>
              <v:textbox inset="0mm,0mm,0mm,0mm" style="mso-fit-shape-to-text:t;">
                <w:txbxContent>
                  <w:p w14:paraId="2277B960">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广东鼎信招标采购有限公司编制</w:t>
    </w:r>
  </w:p>
  <w:p w14:paraId="475F9449">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8A05">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5E6B">
    <w:pPr>
      <w:pBdr>
        <w:top w:val="single" w:color="auto" w:sz="4" w:space="0"/>
      </w:pBdr>
      <w:ind w:right="-58"/>
      <w:jc w:val="center"/>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E8C5D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kmifX2wEAAMEDAAAOAAAAAAAAAAEA&#10;IAAAAB4BAABkcnMvZTJvRG9jLnhtbFBLBQYAAAAABgAGAFkBAABrBQAAAAA=&#10;">
              <v:fill on="f" focussize="0,0"/>
              <v:stroke on="f"/>
              <v:imagedata o:title=""/>
              <o:lock v:ext="edit" aspectratio="f"/>
              <v:textbox inset="0mm,0mm,0mm,0mm" style="mso-fit-shape-to-text:t;">
                <w:txbxContent>
                  <w:p w14:paraId="4EE8C5D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广东鼎信招标采购有限公司编制</w:t>
    </w:r>
  </w:p>
  <w:p w14:paraId="4DD3BF56">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E7AC">
    <w:pPr>
      <w:pBdr>
        <w:top w:val="single" w:color="auto" w:sz="4" w:space="0"/>
      </w:pBdr>
      <w:ind w:right="-58"/>
      <w:rPr>
        <w:rFonts w:ascii="楷体" w:hAnsi="楷体" w:eastAsia="楷体" w:cs="楷体"/>
        <w:sz w:val="20"/>
        <w:szCs w:val="20"/>
      </w:rPr>
    </w:pPr>
    <w:r>
      <w:rPr>
        <w:rFonts w:ascii="楷体" w:hAnsi="楷体" w:eastAsia="楷体" w:cs="楷体"/>
        <w:sz w:val="20"/>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A22AAE">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97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pS1NsBAADCAwAADgAAAGRycy9lMm9Eb2MueG1srVPBjtMwEL0j8Q+W&#10;7zRph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DTlhx5oSlF798/3b58evy8ytb&#10;vkwC9R4r6rvz1BmHNzBQ85xHSibeQxts+iVGjOok7/kqrxoik+nSerVel1SSVJsPhF88XPcB4zsF&#10;lqWg5oHeL8sqTh8wjq1zS5rm4FYbk9/QuL8ShDlmVDbBdDsxGTdOURz2w0RvD82Z2PVkhJo78j1n&#10;5r0jnZNn5iDMwX4OhJMdkJsiZ2P4No7eOvqgDx0xWOb10b8+Rto1U0ijx3lEPR3oabMIkw2Td/48&#10;566H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ClLU2wEAAMIDAAAOAAAAAAAAAAEA&#10;IAAAAB4BAABkcnMvZTJvRG9jLnhtbFBLBQYAAAAABgAGAFkBAABrBQAAAAA=&#10;">
              <v:fill on="f" focussize="0,0"/>
              <v:stroke on="f"/>
              <v:imagedata o:title=""/>
              <o:lock v:ext="edit" aspectratio="f"/>
              <v:textbox inset="0mm,0mm,0mm,0mm" style="mso-fit-shape-to-text:t;">
                <w:txbxContent>
                  <w:p w14:paraId="3BA22AAE">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97</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75EF">
    <w:pPr>
      <w:pStyle w:val="29"/>
      <w:jc w:val="right"/>
      <w:rPr>
        <w:rFonts w:hint="eastAsia" w:ascii="楷体" w:hAnsi="楷体" w:eastAsia="楷体" w:cs="楷体"/>
        <w:lang w:eastAsia="zh-CN"/>
      </w:rPr>
    </w:pPr>
    <w:r>
      <w:rPr>
        <w:rFonts w:hint="eastAsia" w:ascii="楷体" w:hAnsi="楷体" w:eastAsia="楷体" w:cs="楷体"/>
        <w:szCs w:val="13"/>
      </w:rPr>
      <w:t xml:space="preserve">             项目名称：</w:t>
    </w:r>
    <w:r>
      <w:rPr>
        <w:rFonts w:hint="eastAsia" w:ascii="楷体" w:hAnsi="楷体" w:eastAsia="楷体" w:cs="楷体"/>
        <w:lang w:eastAsia="zh-CN"/>
      </w:rPr>
      <w:t>广东烟草清远市有限公司卷烟物流配送中心易地技术改造项目雷击风险评估项目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C847">
    <w:pPr>
      <w:pStyle w:val="29"/>
      <w:jc w:val="right"/>
      <w:rPr>
        <w:rFonts w:hint="eastAsia" w:ascii="楷体" w:hAnsi="楷体" w:eastAsia="楷体" w:cs="楷体"/>
        <w:sz w:val="20"/>
        <w:szCs w:val="20"/>
        <w:lang w:eastAsia="zh-CN"/>
      </w:rPr>
    </w:pPr>
    <w:r>
      <w:rPr>
        <w:rFonts w:hint="eastAsia" w:ascii="楷体" w:hAnsi="楷体" w:eastAsia="楷体" w:cs="楷体"/>
        <w:sz w:val="20"/>
        <w:szCs w:val="15"/>
      </w:rPr>
      <w:t xml:space="preserve">    项目名称：</w:t>
    </w:r>
    <w:r>
      <w:rPr>
        <w:rFonts w:hint="eastAsia" w:ascii="楷体" w:hAnsi="楷体" w:eastAsia="楷体" w:cs="楷体"/>
        <w:sz w:val="20"/>
        <w:szCs w:val="20"/>
        <w:lang w:eastAsia="zh-CN"/>
      </w:rPr>
      <w:t>广东烟草清远市有限公司卷烟物流配送中心易地技术改造项目雷击风险评估项目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4248">
    <w:pPr>
      <w:pStyle w:val="29"/>
      <w:jc w:val="right"/>
    </w:pPr>
    <w:r>
      <w:rPr>
        <w:rFonts w:hint="eastAsia" w:ascii="楷体" w:hAnsi="楷体" w:eastAsia="楷体" w:cs="楷体"/>
        <w:sz w:val="20"/>
        <w:szCs w:val="15"/>
      </w:rPr>
      <w:t xml:space="preserve">    项目名称：</w:t>
    </w:r>
    <w:r>
      <w:rPr>
        <w:rFonts w:hint="eastAsia" w:ascii="楷体" w:hAnsi="楷体" w:eastAsia="楷体" w:cs="楷体"/>
        <w:sz w:val="20"/>
        <w:szCs w:val="20"/>
        <w:lang w:eastAsia="zh-CN"/>
      </w:rPr>
      <w:t>广东烟草清远市有限公司卷烟物流配送中心易地技术改造项目雷击风险评估项目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CED1">
    <w:pPr>
      <w:pStyle w:val="2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FB4E">
    <w:pPr>
      <w:pStyle w:val="29"/>
      <w:jc w:val="right"/>
    </w:pPr>
    <w:r>
      <w:rPr>
        <w:rFonts w:hint="eastAsia" w:ascii="楷体" w:hAnsi="楷体" w:eastAsia="楷体" w:cs="楷体"/>
        <w:sz w:val="20"/>
        <w:szCs w:val="15"/>
      </w:rPr>
      <w:t xml:space="preserve">    项目名称：</w:t>
    </w:r>
    <w:r>
      <w:rPr>
        <w:rFonts w:hint="eastAsia" w:ascii="楷体" w:hAnsi="楷体" w:eastAsia="楷体" w:cs="楷体"/>
        <w:sz w:val="20"/>
        <w:szCs w:val="20"/>
        <w:lang w:eastAsia="zh-CN"/>
      </w:rPr>
      <w:t>广东烟草清远市有限公司卷烟物流配送中心易地技术改造项目雷击风险评估项目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BEC6">
    <w:pPr>
      <w:pStyle w:val="29"/>
      <w:jc w:val="right"/>
      <w:rPr>
        <w:rFonts w:hint="eastAsia" w:ascii="楷体" w:hAnsi="楷体" w:eastAsia="楷体" w:cs="楷体"/>
        <w:sz w:val="20"/>
        <w:szCs w:val="20"/>
        <w:lang w:eastAsia="zh-CN"/>
      </w:rPr>
    </w:pPr>
    <w:r>
      <w:rPr>
        <w:rFonts w:hint="eastAsia" w:ascii="楷体" w:hAnsi="楷体" w:eastAsia="楷体" w:cs="楷体"/>
        <w:sz w:val="20"/>
        <w:szCs w:val="20"/>
      </w:rPr>
      <w:t xml:space="preserve">    项目名称：</w:t>
    </w:r>
    <w:r>
      <w:rPr>
        <w:rFonts w:hint="eastAsia" w:ascii="楷体" w:hAnsi="楷体" w:eastAsia="楷体" w:cs="楷体"/>
        <w:sz w:val="20"/>
        <w:szCs w:val="20"/>
        <w:lang w:eastAsia="zh-CN"/>
      </w:rPr>
      <w:t>广东烟草清远市有限公司卷烟物流配送中心易地技术改造项目雷击风险评估项目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63EC4"/>
    <w:multiLevelType w:val="singleLevel"/>
    <w:tmpl w:val="9B463EC4"/>
    <w:lvl w:ilvl="0" w:tentative="0">
      <w:start w:val="1"/>
      <w:numFmt w:val="decimal"/>
      <w:suff w:val="nothing"/>
      <w:lvlText w:val="%1、"/>
      <w:lvlJc w:val="left"/>
    </w:lvl>
  </w:abstractNum>
  <w:abstractNum w:abstractNumId="1">
    <w:nsid w:val="C8CADA94"/>
    <w:multiLevelType w:val="singleLevel"/>
    <w:tmpl w:val="C8CADA94"/>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3">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5">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6">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C"/>
    <w:multiLevelType w:val="multilevel"/>
    <w:tmpl w:val="0000000C"/>
    <w:lvl w:ilvl="0" w:tentative="0">
      <w:start w:val="1"/>
      <w:numFmt w:val="decimal"/>
      <w:lvlText w:val="4.5.%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11">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7"/>
    <w:multiLevelType w:val="singleLevel"/>
    <w:tmpl w:val="00000017"/>
    <w:lvl w:ilvl="0" w:tentative="0">
      <w:start w:val="1"/>
      <w:numFmt w:val="decimal"/>
      <w:suff w:val="nothing"/>
      <w:lvlText w:val="%1、"/>
      <w:lvlJc w:val="left"/>
      <w:pPr>
        <w:ind w:left="0" w:firstLine="420"/>
      </w:pPr>
      <w:rPr>
        <w:rFonts w:hint="default"/>
      </w:rPr>
    </w:lvl>
  </w:abstractNum>
  <w:abstractNum w:abstractNumId="13">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16">
    <w:nsid w:val="0000001B"/>
    <w:multiLevelType w:val="singleLevel"/>
    <w:tmpl w:val="0000001B"/>
    <w:lvl w:ilvl="0" w:tentative="0">
      <w:start w:val="1"/>
      <w:numFmt w:val="decimal"/>
      <w:suff w:val="nothing"/>
      <w:lvlText w:val="%1、"/>
      <w:lvlJc w:val="left"/>
      <w:pPr>
        <w:ind w:left="0" w:firstLine="420"/>
      </w:pPr>
      <w:rPr>
        <w:rFonts w:hint="default"/>
      </w:rPr>
    </w:lvl>
  </w:abstractNum>
  <w:abstractNum w:abstractNumId="17">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000001E"/>
    <w:multiLevelType w:val="singleLevel"/>
    <w:tmpl w:val="0000001E"/>
    <w:lvl w:ilvl="0" w:tentative="0">
      <w:start w:val="1"/>
      <w:numFmt w:val="decimal"/>
      <w:lvlText w:val="%1."/>
      <w:lvlJc w:val="left"/>
      <w:pPr>
        <w:ind w:left="425" w:hanging="425"/>
      </w:pPr>
      <w:rPr>
        <w:rFonts w:hint="default"/>
      </w:rPr>
    </w:lvl>
  </w:abstractNum>
  <w:abstractNum w:abstractNumId="19">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30">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31">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33">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34">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35">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36">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37">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38">
    <w:nsid w:val="0000003F"/>
    <w:multiLevelType w:val="singleLevel"/>
    <w:tmpl w:val="0000003F"/>
    <w:lvl w:ilvl="0" w:tentative="0">
      <w:start w:val="1"/>
      <w:numFmt w:val="decimalEnclosedCircleChinese"/>
      <w:suff w:val="nothing"/>
      <w:lvlText w:val="%1　"/>
      <w:lvlJc w:val="left"/>
      <w:pPr>
        <w:ind w:left="0" w:firstLine="400"/>
      </w:pPr>
      <w:rPr>
        <w:rFonts w:hint="eastAsia"/>
      </w:rPr>
    </w:lvl>
  </w:abstractNum>
  <w:abstractNum w:abstractNumId="39">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00000058"/>
    <w:multiLevelType w:val="multilevel"/>
    <w:tmpl w:val="00000058"/>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0B4E49B9"/>
    <w:multiLevelType w:val="singleLevel"/>
    <w:tmpl w:val="0B4E49B9"/>
    <w:lvl w:ilvl="0" w:tentative="0">
      <w:start w:val="1"/>
      <w:numFmt w:val="decimal"/>
      <w:lvlText w:val="%1."/>
      <w:lvlJc w:val="left"/>
      <w:pPr>
        <w:tabs>
          <w:tab w:val="left" w:pos="312"/>
        </w:tabs>
      </w:pPr>
    </w:lvl>
  </w:abstractNum>
  <w:abstractNum w:abstractNumId="63">
    <w:nsid w:val="34FDC94D"/>
    <w:multiLevelType w:val="singleLevel"/>
    <w:tmpl w:val="34FDC94D"/>
    <w:lvl w:ilvl="0" w:tentative="0">
      <w:start w:val="1"/>
      <w:numFmt w:val="decimal"/>
      <w:suff w:val="nothing"/>
      <w:lvlText w:val="%1、"/>
      <w:lvlJc w:val="left"/>
    </w:lvl>
  </w:abstractNum>
  <w:abstractNum w:abstractNumId="64">
    <w:nsid w:val="44A3D4C1"/>
    <w:multiLevelType w:val="singleLevel"/>
    <w:tmpl w:val="44A3D4C1"/>
    <w:lvl w:ilvl="0" w:tentative="0">
      <w:start w:val="1"/>
      <w:numFmt w:val="chineseCounting"/>
      <w:suff w:val="nothing"/>
      <w:lvlText w:val="（%1）"/>
      <w:lvlJc w:val="left"/>
      <w:pPr>
        <w:ind w:left="0" w:firstLine="420"/>
      </w:pPr>
      <w:rPr>
        <w:rFonts w:hint="eastAsia"/>
      </w:rPr>
    </w:lvl>
  </w:abstractNum>
  <w:abstractNum w:abstractNumId="65">
    <w:nsid w:val="506F646B"/>
    <w:multiLevelType w:val="singleLevel"/>
    <w:tmpl w:val="506F646B"/>
    <w:lvl w:ilvl="0" w:tentative="0">
      <w:start w:val="1"/>
      <w:numFmt w:val="decimal"/>
      <w:suff w:val="nothing"/>
      <w:lvlText w:val="%1、"/>
      <w:lvlJc w:val="left"/>
    </w:lvl>
  </w:abstractNum>
  <w:abstractNum w:abstractNumId="66">
    <w:nsid w:val="528F0059"/>
    <w:multiLevelType w:val="multilevel"/>
    <w:tmpl w:val="528F0059"/>
    <w:lvl w:ilvl="0" w:tentative="0">
      <w:start w:val="1"/>
      <w:numFmt w:val="taiwaneseDigital"/>
      <w:pStyle w:val="129"/>
      <w:suff w:val="nothing"/>
      <w:lvlText w:val="%1、"/>
      <w:lvlJc w:val="left"/>
      <w:pPr>
        <w:ind w:left="3051" w:hanging="357"/>
      </w:pPr>
      <w:rPr>
        <w:rFonts w:hint="eastAsia"/>
        <w:b/>
      </w:rPr>
    </w:lvl>
    <w:lvl w:ilvl="1" w:tentative="0">
      <w:start w:val="1"/>
      <w:numFmt w:val="chineseCountingThousand"/>
      <w:suff w:val="nothing"/>
      <w:lvlText w:val="（%2）"/>
      <w:lvlJc w:val="left"/>
      <w:pPr>
        <w:ind w:left="4557" w:hanging="357"/>
      </w:pPr>
      <w:rPr>
        <w:rFonts w:hint="eastAsia"/>
        <w:b/>
      </w:rPr>
    </w:lvl>
    <w:lvl w:ilvl="2" w:tentative="0">
      <w:start w:val="3"/>
      <w:numFmt w:val="decimal"/>
      <w:suff w:val="nothing"/>
      <w:lvlText w:val="%3."/>
      <w:lvlJc w:val="left"/>
      <w:pPr>
        <w:ind w:left="357" w:hanging="357"/>
      </w:pPr>
      <w:rPr>
        <w:rFonts w:hint="eastAsia"/>
        <w:b/>
        <w:color w:val="auto"/>
      </w:rPr>
    </w:lvl>
    <w:lvl w:ilvl="3" w:tentative="0">
      <w:start w:val="1"/>
      <w:numFmt w:val="decimal"/>
      <w:lvlText w:val="（%4）"/>
      <w:lvlJc w:val="left"/>
      <w:pPr>
        <w:ind w:left="440" w:hanging="440"/>
      </w:pPr>
      <w:rPr>
        <w:rFonts w:hint="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7">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68">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69">
    <w:nsid w:val="58B6C459"/>
    <w:multiLevelType w:val="singleLevel"/>
    <w:tmpl w:val="58B6C459"/>
    <w:lvl w:ilvl="0" w:tentative="0">
      <w:start w:val="1"/>
      <w:numFmt w:val="decimal"/>
      <w:suff w:val="nothing"/>
      <w:lvlText w:val="%1、"/>
      <w:lvlJc w:val="left"/>
      <w:pPr>
        <w:ind w:left="6" w:firstLine="420"/>
      </w:pPr>
      <w:rPr>
        <w:rFonts w:hint="default"/>
      </w:rPr>
    </w:lvl>
  </w:abstractNum>
  <w:abstractNum w:abstractNumId="70">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71">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72">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5">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6">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8">
    <w:nsid w:val="59A5149F"/>
    <w:multiLevelType w:val="singleLevel"/>
    <w:tmpl w:val="59A5149F"/>
    <w:lvl w:ilvl="0" w:tentative="0">
      <w:start w:val="1"/>
      <w:numFmt w:val="decimal"/>
      <w:suff w:val="nothing"/>
      <w:lvlText w:val="%1、"/>
      <w:lvlJc w:val="left"/>
    </w:lvl>
  </w:abstractNum>
  <w:abstractNum w:abstractNumId="79">
    <w:nsid w:val="5A183BE3"/>
    <w:multiLevelType w:val="singleLevel"/>
    <w:tmpl w:val="5A183BE3"/>
    <w:lvl w:ilvl="0" w:tentative="0">
      <w:start w:val="1"/>
      <w:numFmt w:val="decimal"/>
      <w:lvlText w:val="%1."/>
      <w:lvlJc w:val="left"/>
      <w:pPr>
        <w:tabs>
          <w:tab w:val="left" w:pos="312"/>
        </w:tabs>
      </w:pPr>
    </w:lvl>
  </w:abstractNum>
  <w:abstractNum w:abstractNumId="80">
    <w:nsid w:val="5A9E05D7"/>
    <w:multiLevelType w:val="singleLevel"/>
    <w:tmpl w:val="5A9E05D7"/>
    <w:lvl w:ilvl="0" w:tentative="0">
      <w:start w:val="1"/>
      <w:numFmt w:val="chineseCounting"/>
      <w:suff w:val="nothing"/>
      <w:lvlText w:val="%1、"/>
      <w:lvlJc w:val="left"/>
      <w:rPr>
        <w:rFonts w:hint="eastAsia"/>
      </w:rPr>
    </w:lvl>
  </w:abstractNum>
  <w:abstractNum w:abstractNumId="81">
    <w:nsid w:val="7943CE33"/>
    <w:multiLevelType w:val="singleLevel"/>
    <w:tmpl w:val="7943CE33"/>
    <w:lvl w:ilvl="0" w:tentative="0">
      <w:start w:val="1"/>
      <w:numFmt w:val="chineseCounting"/>
      <w:suff w:val="nothing"/>
      <w:lvlText w:val="%1、"/>
      <w:lvlJc w:val="left"/>
      <w:rPr>
        <w:rFonts w:hint="eastAsia"/>
      </w:rPr>
    </w:lvl>
  </w:abstractNum>
  <w:num w:numId="1">
    <w:abstractNumId w:val="66"/>
  </w:num>
  <w:num w:numId="2">
    <w:abstractNumId w:val="71"/>
  </w:num>
  <w:num w:numId="3">
    <w:abstractNumId w:val="9"/>
  </w:num>
  <w:num w:numId="4">
    <w:abstractNumId w:val="10"/>
  </w:num>
  <w:num w:numId="5">
    <w:abstractNumId w:val="69"/>
  </w:num>
  <w:num w:numId="6">
    <w:abstractNumId w:val="67"/>
  </w:num>
  <w:num w:numId="7">
    <w:abstractNumId w:val="70"/>
  </w:num>
  <w:num w:numId="8">
    <w:abstractNumId w:val="4"/>
  </w:num>
  <w:num w:numId="9">
    <w:abstractNumId w:val="18"/>
  </w:num>
  <w:num w:numId="10">
    <w:abstractNumId w:val="17"/>
  </w:num>
  <w:num w:numId="11">
    <w:abstractNumId w:val="19"/>
  </w:num>
  <w:num w:numId="12">
    <w:abstractNumId w:val="72"/>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39"/>
  </w:num>
  <w:num w:numId="21">
    <w:abstractNumId w:val="73"/>
  </w:num>
  <w:num w:numId="22">
    <w:abstractNumId w:val="74"/>
  </w:num>
  <w:num w:numId="23">
    <w:abstractNumId w:val="40"/>
  </w:num>
  <w:num w:numId="24">
    <w:abstractNumId w:val="41"/>
  </w:num>
  <w:num w:numId="25">
    <w:abstractNumId w:val="42"/>
  </w:num>
  <w:num w:numId="26">
    <w:abstractNumId w:val="43"/>
  </w:num>
  <w:num w:numId="27">
    <w:abstractNumId w:val="77"/>
  </w:num>
  <w:num w:numId="28">
    <w:abstractNumId w:val="76"/>
  </w:num>
  <w:num w:numId="29">
    <w:abstractNumId w:val="44"/>
  </w:num>
  <w:num w:numId="30">
    <w:abstractNumId w:val="45"/>
  </w:num>
  <w:num w:numId="31">
    <w:abstractNumId w:val="46"/>
  </w:num>
  <w:num w:numId="32">
    <w:abstractNumId w:val="47"/>
  </w:num>
  <w:num w:numId="33">
    <w:abstractNumId w:val="48"/>
  </w:num>
  <w:num w:numId="34">
    <w:abstractNumId w:val="49"/>
  </w:num>
  <w:num w:numId="35">
    <w:abstractNumId w:val="50"/>
  </w:num>
  <w:num w:numId="36">
    <w:abstractNumId w:val="51"/>
  </w:num>
  <w:num w:numId="37">
    <w:abstractNumId w:val="52"/>
  </w:num>
  <w:num w:numId="38">
    <w:abstractNumId w:val="2"/>
  </w:num>
  <w:num w:numId="39">
    <w:abstractNumId w:val="53"/>
  </w:num>
  <w:num w:numId="40">
    <w:abstractNumId w:val="54"/>
  </w:num>
  <w:num w:numId="41">
    <w:abstractNumId w:val="55"/>
  </w:num>
  <w:num w:numId="42">
    <w:abstractNumId w:val="56"/>
  </w:num>
  <w:num w:numId="43">
    <w:abstractNumId w:val="57"/>
  </w:num>
  <w:num w:numId="44">
    <w:abstractNumId w:val="58"/>
  </w:num>
  <w:num w:numId="45">
    <w:abstractNumId w:val="59"/>
  </w:num>
  <w:num w:numId="46">
    <w:abstractNumId w:val="60"/>
  </w:num>
  <w:num w:numId="47">
    <w:abstractNumId w:val="5"/>
  </w:num>
  <w:num w:numId="48">
    <w:abstractNumId w:val="27"/>
  </w:num>
  <w:num w:numId="49">
    <w:abstractNumId w:val="28"/>
  </w:num>
  <w:num w:numId="50">
    <w:abstractNumId w:val="6"/>
  </w:num>
  <w:num w:numId="51">
    <w:abstractNumId w:val="29"/>
  </w:num>
  <w:num w:numId="52">
    <w:abstractNumId w:val="30"/>
  </w:num>
  <w:num w:numId="53">
    <w:abstractNumId w:val="31"/>
  </w:num>
  <w:num w:numId="54">
    <w:abstractNumId w:val="7"/>
  </w:num>
  <w:num w:numId="55">
    <w:abstractNumId w:val="61"/>
  </w:num>
  <w:num w:numId="56">
    <w:abstractNumId w:val="3"/>
  </w:num>
  <w:num w:numId="57">
    <w:abstractNumId w:val="8"/>
  </w:num>
  <w:num w:numId="58">
    <w:abstractNumId w:val="75"/>
  </w:num>
  <w:num w:numId="59">
    <w:abstractNumId w:val="80"/>
  </w:num>
  <w:num w:numId="60">
    <w:abstractNumId w:val="0"/>
  </w:num>
  <w:num w:numId="61">
    <w:abstractNumId w:val="63"/>
  </w:num>
  <w:num w:numId="62">
    <w:abstractNumId w:val="78"/>
  </w:num>
  <w:num w:numId="63">
    <w:abstractNumId w:val="65"/>
  </w:num>
  <w:num w:numId="64">
    <w:abstractNumId w:val="81"/>
  </w:num>
  <w:num w:numId="65">
    <w:abstractNumId w:val="64"/>
  </w:num>
  <w:num w:numId="66">
    <w:abstractNumId w:val="1"/>
  </w:num>
  <w:num w:numId="67">
    <w:abstractNumId w:val="62"/>
  </w:num>
  <w:num w:numId="68">
    <w:abstractNumId w:val="79"/>
  </w:num>
  <w:num w:numId="69">
    <w:abstractNumId w:val="11"/>
  </w:num>
  <w:num w:numId="70">
    <w:abstractNumId w:val="12"/>
  </w:num>
  <w:num w:numId="71">
    <w:abstractNumId w:val="32"/>
  </w:num>
  <w:num w:numId="72">
    <w:abstractNumId w:val="33"/>
  </w:num>
  <w:num w:numId="73">
    <w:abstractNumId w:val="13"/>
  </w:num>
  <w:num w:numId="74">
    <w:abstractNumId w:val="14"/>
  </w:num>
  <w:num w:numId="75">
    <w:abstractNumId w:val="34"/>
  </w:num>
  <w:num w:numId="76">
    <w:abstractNumId w:val="35"/>
  </w:num>
  <w:num w:numId="77">
    <w:abstractNumId w:val="36"/>
  </w:num>
  <w:num w:numId="78">
    <w:abstractNumId w:val="37"/>
  </w:num>
  <w:num w:numId="79">
    <w:abstractNumId w:val="15"/>
  </w:num>
  <w:num w:numId="80">
    <w:abstractNumId w:val="38"/>
  </w:num>
  <w:num w:numId="81">
    <w:abstractNumId w:val="16"/>
  </w:num>
  <w:num w:numId="8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mJjY2VhOGE1Mzg4Y2Y1ZGU4YTY0OWM4MWNjNzAifQ=="/>
    <w:docVar w:name="KSO_WPS_MARK_KEY" w:val="a07d3e54-4d39-45fd-b193-20591ed84c93"/>
  </w:docVars>
  <w:rsids>
    <w:rsidRoot w:val="00F3202A"/>
    <w:rsid w:val="00000057"/>
    <w:rsid w:val="00003706"/>
    <w:rsid w:val="0001663A"/>
    <w:rsid w:val="00016AB5"/>
    <w:rsid w:val="00022679"/>
    <w:rsid w:val="00053C98"/>
    <w:rsid w:val="000572D5"/>
    <w:rsid w:val="00070A94"/>
    <w:rsid w:val="000722F4"/>
    <w:rsid w:val="00077C9A"/>
    <w:rsid w:val="00091AE5"/>
    <w:rsid w:val="000953BE"/>
    <w:rsid w:val="000A4CAC"/>
    <w:rsid w:val="000A4D20"/>
    <w:rsid w:val="000A4D38"/>
    <w:rsid w:val="000A7EA7"/>
    <w:rsid w:val="000B6F28"/>
    <w:rsid w:val="000D3BF6"/>
    <w:rsid w:val="000D54A4"/>
    <w:rsid w:val="000D6699"/>
    <w:rsid w:val="000D6E1B"/>
    <w:rsid w:val="000E3FB3"/>
    <w:rsid w:val="000E73B5"/>
    <w:rsid w:val="000F3B5D"/>
    <w:rsid w:val="001018D2"/>
    <w:rsid w:val="0010238E"/>
    <w:rsid w:val="001109C6"/>
    <w:rsid w:val="001203BC"/>
    <w:rsid w:val="00124872"/>
    <w:rsid w:val="00126948"/>
    <w:rsid w:val="0013373D"/>
    <w:rsid w:val="00142F5B"/>
    <w:rsid w:val="00151869"/>
    <w:rsid w:val="001528C6"/>
    <w:rsid w:val="00171CDD"/>
    <w:rsid w:val="00173744"/>
    <w:rsid w:val="001775E3"/>
    <w:rsid w:val="001952FC"/>
    <w:rsid w:val="00196E48"/>
    <w:rsid w:val="001A2560"/>
    <w:rsid w:val="001A697E"/>
    <w:rsid w:val="001C08A9"/>
    <w:rsid w:val="001C2CAE"/>
    <w:rsid w:val="001C7428"/>
    <w:rsid w:val="001E0189"/>
    <w:rsid w:val="001F3C3D"/>
    <w:rsid w:val="001F4647"/>
    <w:rsid w:val="001F482A"/>
    <w:rsid w:val="001F581E"/>
    <w:rsid w:val="001F711C"/>
    <w:rsid w:val="00211449"/>
    <w:rsid w:val="002273BF"/>
    <w:rsid w:val="00232298"/>
    <w:rsid w:val="0024043A"/>
    <w:rsid w:val="002440A9"/>
    <w:rsid w:val="00246278"/>
    <w:rsid w:val="0025780A"/>
    <w:rsid w:val="002638A7"/>
    <w:rsid w:val="002767BB"/>
    <w:rsid w:val="00281014"/>
    <w:rsid w:val="002849A5"/>
    <w:rsid w:val="002941F1"/>
    <w:rsid w:val="002A5997"/>
    <w:rsid w:val="002A6240"/>
    <w:rsid w:val="002B2BE1"/>
    <w:rsid w:val="002B551F"/>
    <w:rsid w:val="002C5D63"/>
    <w:rsid w:val="002D3D37"/>
    <w:rsid w:val="002D700F"/>
    <w:rsid w:val="002E4CE1"/>
    <w:rsid w:val="002E7452"/>
    <w:rsid w:val="002F6665"/>
    <w:rsid w:val="00301CCF"/>
    <w:rsid w:val="0030448E"/>
    <w:rsid w:val="00310848"/>
    <w:rsid w:val="00310A27"/>
    <w:rsid w:val="00314E2A"/>
    <w:rsid w:val="00322C84"/>
    <w:rsid w:val="00331589"/>
    <w:rsid w:val="0033253A"/>
    <w:rsid w:val="0034075E"/>
    <w:rsid w:val="00341D3E"/>
    <w:rsid w:val="00352C66"/>
    <w:rsid w:val="00354ABB"/>
    <w:rsid w:val="00354B77"/>
    <w:rsid w:val="003553CC"/>
    <w:rsid w:val="00370972"/>
    <w:rsid w:val="00375C6B"/>
    <w:rsid w:val="003811DC"/>
    <w:rsid w:val="003824BC"/>
    <w:rsid w:val="00392C34"/>
    <w:rsid w:val="00394603"/>
    <w:rsid w:val="00394C28"/>
    <w:rsid w:val="00397E7B"/>
    <w:rsid w:val="003A23ED"/>
    <w:rsid w:val="003A2A4B"/>
    <w:rsid w:val="003A4875"/>
    <w:rsid w:val="003B089B"/>
    <w:rsid w:val="003B3025"/>
    <w:rsid w:val="003E08C8"/>
    <w:rsid w:val="003E1A6C"/>
    <w:rsid w:val="003E3ACF"/>
    <w:rsid w:val="003E61B3"/>
    <w:rsid w:val="003F2634"/>
    <w:rsid w:val="003F4AFC"/>
    <w:rsid w:val="003F5620"/>
    <w:rsid w:val="004020A0"/>
    <w:rsid w:val="004026C0"/>
    <w:rsid w:val="00403395"/>
    <w:rsid w:val="00403474"/>
    <w:rsid w:val="00405897"/>
    <w:rsid w:val="0040751B"/>
    <w:rsid w:val="004114F6"/>
    <w:rsid w:val="004144BB"/>
    <w:rsid w:val="00414EED"/>
    <w:rsid w:val="00420BEA"/>
    <w:rsid w:val="00423022"/>
    <w:rsid w:val="00423FF6"/>
    <w:rsid w:val="00430DFC"/>
    <w:rsid w:val="00433259"/>
    <w:rsid w:val="00435C23"/>
    <w:rsid w:val="00446998"/>
    <w:rsid w:val="00454BA5"/>
    <w:rsid w:val="00460240"/>
    <w:rsid w:val="004803DA"/>
    <w:rsid w:val="00481CCD"/>
    <w:rsid w:val="00483775"/>
    <w:rsid w:val="004903C1"/>
    <w:rsid w:val="004A30D4"/>
    <w:rsid w:val="004B1B8B"/>
    <w:rsid w:val="004C1A04"/>
    <w:rsid w:val="004C43D2"/>
    <w:rsid w:val="004D0519"/>
    <w:rsid w:val="004D7262"/>
    <w:rsid w:val="004E17D6"/>
    <w:rsid w:val="004E7C97"/>
    <w:rsid w:val="004F59EE"/>
    <w:rsid w:val="004F6F44"/>
    <w:rsid w:val="005017A2"/>
    <w:rsid w:val="00505329"/>
    <w:rsid w:val="0050773C"/>
    <w:rsid w:val="00520425"/>
    <w:rsid w:val="00521B76"/>
    <w:rsid w:val="005310CA"/>
    <w:rsid w:val="00531CD6"/>
    <w:rsid w:val="00531E9D"/>
    <w:rsid w:val="00532D30"/>
    <w:rsid w:val="00533AC1"/>
    <w:rsid w:val="00540A65"/>
    <w:rsid w:val="00545ED3"/>
    <w:rsid w:val="00547936"/>
    <w:rsid w:val="00553081"/>
    <w:rsid w:val="00560C48"/>
    <w:rsid w:val="00563694"/>
    <w:rsid w:val="00572125"/>
    <w:rsid w:val="00575205"/>
    <w:rsid w:val="00580826"/>
    <w:rsid w:val="00590424"/>
    <w:rsid w:val="00591DBC"/>
    <w:rsid w:val="005A1BAB"/>
    <w:rsid w:val="005A368B"/>
    <w:rsid w:val="005A6B87"/>
    <w:rsid w:val="005B1723"/>
    <w:rsid w:val="005C02E7"/>
    <w:rsid w:val="005C6880"/>
    <w:rsid w:val="005C7AA3"/>
    <w:rsid w:val="005D0DD2"/>
    <w:rsid w:val="005D382E"/>
    <w:rsid w:val="005D6633"/>
    <w:rsid w:val="005D7BD9"/>
    <w:rsid w:val="005F29CF"/>
    <w:rsid w:val="005F32B0"/>
    <w:rsid w:val="005F4A23"/>
    <w:rsid w:val="005F63FC"/>
    <w:rsid w:val="0060609C"/>
    <w:rsid w:val="006133C0"/>
    <w:rsid w:val="00613DFF"/>
    <w:rsid w:val="006140E3"/>
    <w:rsid w:val="0061418D"/>
    <w:rsid w:val="00615D6A"/>
    <w:rsid w:val="0061796A"/>
    <w:rsid w:val="0062567C"/>
    <w:rsid w:val="00625B9B"/>
    <w:rsid w:val="00630DE7"/>
    <w:rsid w:val="00630E10"/>
    <w:rsid w:val="00633165"/>
    <w:rsid w:val="0064277E"/>
    <w:rsid w:val="00643A60"/>
    <w:rsid w:val="00643BFC"/>
    <w:rsid w:val="00650D4B"/>
    <w:rsid w:val="00652DE8"/>
    <w:rsid w:val="00654E5D"/>
    <w:rsid w:val="00664D97"/>
    <w:rsid w:val="006678C9"/>
    <w:rsid w:val="00667BF6"/>
    <w:rsid w:val="00672026"/>
    <w:rsid w:val="0068500F"/>
    <w:rsid w:val="00685C39"/>
    <w:rsid w:val="0068724B"/>
    <w:rsid w:val="00695562"/>
    <w:rsid w:val="00697B26"/>
    <w:rsid w:val="006A3838"/>
    <w:rsid w:val="006B088B"/>
    <w:rsid w:val="006B4687"/>
    <w:rsid w:val="006C3CA0"/>
    <w:rsid w:val="006C4C8B"/>
    <w:rsid w:val="006C781D"/>
    <w:rsid w:val="006E296F"/>
    <w:rsid w:val="006E5FE6"/>
    <w:rsid w:val="006E75E5"/>
    <w:rsid w:val="006F4D2D"/>
    <w:rsid w:val="006F7654"/>
    <w:rsid w:val="00711031"/>
    <w:rsid w:val="007138AB"/>
    <w:rsid w:val="00713F9E"/>
    <w:rsid w:val="00714CD6"/>
    <w:rsid w:val="007152A5"/>
    <w:rsid w:val="0071594F"/>
    <w:rsid w:val="00715ADE"/>
    <w:rsid w:val="00716A85"/>
    <w:rsid w:val="007243E8"/>
    <w:rsid w:val="007263AC"/>
    <w:rsid w:val="0073711C"/>
    <w:rsid w:val="00742827"/>
    <w:rsid w:val="00746E1A"/>
    <w:rsid w:val="00754DE7"/>
    <w:rsid w:val="007563D4"/>
    <w:rsid w:val="0075730B"/>
    <w:rsid w:val="0077153F"/>
    <w:rsid w:val="00775F69"/>
    <w:rsid w:val="007822EC"/>
    <w:rsid w:val="00785915"/>
    <w:rsid w:val="00786008"/>
    <w:rsid w:val="0079046F"/>
    <w:rsid w:val="00792E58"/>
    <w:rsid w:val="007A15B3"/>
    <w:rsid w:val="007B24A9"/>
    <w:rsid w:val="007B5DAE"/>
    <w:rsid w:val="007C1E9B"/>
    <w:rsid w:val="007C7B7C"/>
    <w:rsid w:val="007D141B"/>
    <w:rsid w:val="007D2C92"/>
    <w:rsid w:val="007D71CC"/>
    <w:rsid w:val="007E491F"/>
    <w:rsid w:val="007E7F2A"/>
    <w:rsid w:val="007F6458"/>
    <w:rsid w:val="007F68E9"/>
    <w:rsid w:val="008009AF"/>
    <w:rsid w:val="00811438"/>
    <w:rsid w:val="008159F6"/>
    <w:rsid w:val="0082778F"/>
    <w:rsid w:val="0083082A"/>
    <w:rsid w:val="00832537"/>
    <w:rsid w:val="00837D49"/>
    <w:rsid w:val="008408F3"/>
    <w:rsid w:val="008442B2"/>
    <w:rsid w:val="008466DE"/>
    <w:rsid w:val="008470D7"/>
    <w:rsid w:val="00850187"/>
    <w:rsid w:val="00851A66"/>
    <w:rsid w:val="00854E83"/>
    <w:rsid w:val="00855D72"/>
    <w:rsid w:val="008566E7"/>
    <w:rsid w:val="00862018"/>
    <w:rsid w:val="00865862"/>
    <w:rsid w:val="00865A7F"/>
    <w:rsid w:val="00871A4E"/>
    <w:rsid w:val="0087699C"/>
    <w:rsid w:val="0087750F"/>
    <w:rsid w:val="00883F5D"/>
    <w:rsid w:val="00885BFD"/>
    <w:rsid w:val="00890103"/>
    <w:rsid w:val="008A7477"/>
    <w:rsid w:val="008B5ECB"/>
    <w:rsid w:val="008D6129"/>
    <w:rsid w:val="008D6E2F"/>
    <w:rsid w:val="008D7A06"/>
    <w:rsid w:val="008E473F"/>
    <w:rsid w:val="008E7554"/>
    <w:rsid w:val="008E7877"/>
    <w:rsid w:val="008F0879"/>
    <w:rsid w:val="008F22F8"/>
    <w:rsid w:val="008F4B41"/>
    <w:rsid w:val="008F5713"/>
    <w:rsid w:val="008F6350"/>
    <w:rsid w:val="00905EBD"/>
    <w:rsid w:val="00907650"/>
    <w:rsid w:val="00924A2E"/>
    <w:rsid w:val="009273EE"/>
    <w:rsid w:val="00931766"/>
    <w:rsid w:val="00937FA2"/>
    <w:rsid w:val="0094048B"/>
    <w:rsid w:val="00940F54"/>
    <w:rsid w:val="0095381B"/>
    <w:rsid w:val="0095673A"/>
    <w:rsid w:val="00956F5F"/>
    <w:rsid w:val="0098006F"/>
    <w:rsid w:val="0098242B"/>
    <w:rsid w:val="0098450C"/>
    <w:rsid w:val="0098673A"/>
    <w:rsid w:val="00993437"/>
    <w:rsid w:val="009A5002"/>
    <w:rsid w:val="009A6206"/>
    <w:rsid w:val="009C4051"/>
    <w:rsid w:val="009C51E2"/>
    <w:rsid w:val="009C5F89"/>
    <w:rsid w:val="009D0540"/>
    <w:rsid w:val="009D219F"/>
    <w:rsid w:val="009E1C70"/>
    <w:rsid w:val="009E6F94"/>
    <w:rsid w:val="009F3857"/>
    <w:rsid w:val="009F5E3D"/>
    <w:rsid w:val="00A04758"/>
    <w:rsid w:val="00A116C0"/>
    <w:rsid w:val="00A13F57"/>
    <w:rsid w:val="00A14CCA"/>
    <w:rsid w:val="00A1727D"/>
    <w:rsid w:val="00A263E9"/>
    <w:rsid w:val="00A30764"/>
    <w:rsid w:val="00A36F32"/>
    <w:rsid w:val="00A416D1"/>
    <w:rsid w:val="00A427AA"/>
    <w:rsid w:val="00A544D0"/>
    <w:rsid w:val="00A54E2B"/>
    <w:rsid w:val="00A60098"/>
    <w:rsid w:val="00A6379B"/>
    <w:rsid w:val="00A63A9F"/>
    <w:rsid w:val="00A83E4E"/>
    <w:rsid w:val="00A84118"/>
    <w:rsid w:val="00A90A53"/>
    <w:rsid w:val="00A942F6"/>
    <w:rsid w:val="00A95CCE"/>
    <w:rsid w:val="00AA1A76"/>
    <w:rsid w:val="00AB25AB"/>
    <w:rsid w:val="00AC2095"/>
    <w:rsid w:val="00AD09E6"/>
    <w:rsid w:val="00AD5429"/>
    <w:rsid w:val="00AD6CCB"/>
    <w:rsid w:val="00AD7293"/>
    <w:rsid w:val="00AD7777"/>
    <w:rsid w:val="00AE3BDE"/>
    <w:rsid w:val="00AF2DDB"/>
    <w:rsid w:val="00AF364F"/>
    <w:rsid w:val="00B0398D"/>
    <w:rsid w:val="00B123E8"/>
    <w:rsid w:val="00B20CEE"/>
    <w:rsid w:val="00B2450F"/>
    <w:rsid w:val="00B6026E"/>
    <w:rsid w:val="00B637EF"/>
    <w:rsid w:val="00B70BCB"/>
    <w:rsid w:val="00B810D6"/>
    <w:rsid w:val="00B91D60"/>
    <w:rsid w:val="00B93538"/>
    <w:rsid w:val="00B93CB6"/>
    <w:rsid w:val="00B9703D"/>
    <w:rsid w:val="00B9752B"/>
    <w:rsid w:val="00BA0C6E"/>
    <w:rsid w:val="00BA5626"/>
    <w:rsid w:val="00BA675D"/>
    <w:rsid w:val="00BA7D07"/>
    <w:rsid w:val="00BB6D72"/>
    <w:rsid w:val="00BC05D6"/>
    <w:rsid w:val="00BC322B"/>
    <w:rsid w:val="00BC55FA"/>
    <w:rsid w:val="00BD64C9"/>
    <w:rsid w:val="00BE5AC7"/>
    <w:rsid w:val="00BE712D"/>
    <w:rsid w:val="00BF3E77"/>
    <w:rsid w:val="00C02A9B"/>
    <w:rsid w:val="00C06023"/>
    <w:rsid w:val="00C06414"/>
    <w:rsid w:val="00C06444"/>
    <w:rsid w:val="00C07ADD"/>
    <w:rsid w:val="00C14D6D"/>
    <w:rsid w:val="00C229CA"/>
    <w:rsid w:val="00C25D15"/>
    <w:rsid w:val="00C30792"/>
    <w:rsid w:val="00C417C0"/>
    <w:rsid w:val="00C529FD"/>
    <w:rsid w:val="00C63379"/>
    <w:rsid w:val="00C6597D"/>
    <w:rsid w:val="00C659B4"/>
    <w:rsid w:val="00C65E6F"/>
    <w:rsid w:val="00C72C8F"/>
    <w:rsid w:val="00C7491B"/>
    <w:rsid w:val="00C80FA9"/>
    <w:rsid w:val="00C827D4"/>
    <w:rsid w:val="00C8348C"/>
    <w:rsid w:val="00CA4173"/>
    <w:rsid w:val="00CA4DA7"/>
    <w:rsid w:val="00CA52FD"/>
    <w:rsid w:val="00CA5445"/>
    <w:rsid w:val="00CB683A"/>
    <w:rsid w:val="00CC087C"/>
    <w:rsid w:val="00CD17C9"/>
    <w:rsid w:val="00CD19A7"/>
    <w:rsid w:val="00CD32DF"/>
    <w:rsid w:val="00CD7E9F"/>
    <w:rsid w:val="00CE1CF6"/>
    <w:rsid w:val="00CF49A3"/>
    <w:rsid w:val="00D064F3"/>
    <w:rsid w:val="00D20F43"/>
    <w:rsid w:val="00D23277"/>
    <w:rsid w:val="00D27A10"/>
    <w:rsid w:val="00D32D03"/>
    <w:rsid w:val="00D35FEC"/>
    <w:rsid w:val="00D51CC0"/>
    <w:rsid w:val="00D57A03"/>
    <w:rsid w:val="00D6473B"/>
    <w:rsid w:val="00D80372"/>
    <w:rsid w:val="00D85832"/>
    <w:rsid w:val="00D90DCB"/>
    <w:rsid w:val="00DA572D"/>
    <w:rsid w:val="00DB24BB"/>
    <w:rsid w:val="00DB4506"/>
    <w:rsid w:val="00DB50AE"/>
    <w:rsid w:val="00DB73D7"/>
    <w:rsid w:val="00DC2B82"/>
    <w:rsid w:val="00DC2E29"/>
    <w:rsid w:val="00DC671A"/>
    <w:rsid w:val="00DC7561"/>
    <w:rsid w:val="00DD1A06"/>
    <w:rsid w:val="00DD3364"/>
    <w:rsid w:val="00DD57F0"/>
    <w:rsid w:val="00DD6F3C"/>
    <w:rsid w:val="00DD707F"/>
    <w:rsid w:val="00DE1A61"/>
    <w:rsid w:val="00DE28EB"/>
    <w:rsid w:val="00DE72A2"/>
    <w:rsid w:val="00DE7B35"/>
    <w:rsid w:val="00DF0BB3"/>
    <w:rsid w:val="00E0560B"/>
    <w:rsid w:val="00E10981"/>
    <w:rsid w:val="00E12B5D"/>
    <w:rsid w:val="00E22732"/>
    <w:rsid w:val="00E22F07"/>
    <w:rsid w:val="00E24675"/>
    <w:rsid w:val="00E350B9"/>
    <w:rsid w:val="00E352F3"/>
    <w:rsid w:val="00E3624B"/>
    <w:rsid w:val="00E36E8D"/>
    <w:rsid w:val="00E43CED"/>
    <w:rsid w:val="00E52359"/>
    <w:rsid w:val="00E60389"/>
    <w:rsid w:val="00E63164"/>
    <w:rsid w:val="00E73D35"/>
    <w:rsid w:val="00E75332"/>
    <w:rsid w:val="00E848DE"/>
    <w:rsid w:val="00E91F1C"/>
    <w:rsid w:val="00E94869"/>
    <w:rsid w:val="00EA3609"/>
    <w:rsid w:val="00EA481A"/>
    <w:rsid w:val="00EB4E71"/>
    <w:rsid w:val="00EC494C"/>
    <w:rsid w:val="00EC4EE1"/>
    <w:rsid w:val="00EC6E08"/>
    <w:rsid w:val="00ED3026"/>
    <w:rsid w:val="00ED5C3E"/>
    <w:rsid w:val="00ED7217"/>
    <w:rsid w:val="00EE2383"/>
    <w:rsid w:val="00EE3309"/>
    <w:rsid w:val="00EF0E0F"/>
    <w:rsid w:val="00EF13A1"/>
    <w:rsid w:val="00EF1BD0"/>
    <w:rsid w:val="00EF238B"/>
    <w:rsid w:val="00F0094E"/>
    <w:rsid w:val="00F03370"/>
    <w:rsid w:val="00F1127B"/>
    <w:rsid w:val="00F119B2"/>
    <w:rsid w:val="00F1364E"/>
    <w:rsid w:val="00F13B7C"/>
    <w:rsid w:val="00F232A2"/>
    <w:rsid w:val="00F3202A"/>
    <w:rsid w:val="00F33ABD"/>
    <w:rsid w:val="00F3534E"/>
    <w:rsid w:val="00F45591"/>
    <w:rsid w:val="00F469D3"/>
    <w:rsid w:val="00F5735F"/>
    <w:rsid w:val="00F57949"/>
    <w:rsid w:val="00F60BBE"/>
    <w:rsid w:val="00F62E3B"/>
    <w:rsid w:val="00F64089"/>
    <w:rsid w:val="00F65618"/>
    <w:rsid w:val="00F66CF0"/>
    <w:rsid w:val="00F70F33"/>
    <w:rsid w:val="00F7186E"/>
    <w:rsid w:val="00F71B78"/>
    <w:rsid w:val="00F748FB"/>
    <w:rsid w:val="00F81983"/>
    <w:rsid w:val="00F841B1"/>
    <w:rsid w:val="00F902CA"/>
    <w:rsid w:val="00F92686"/>
    <w:rsid w:val="00F937B3"/>
    <w:rsid w:val="00FB2621"/>
    <w:rsid w:val="00FB6D26"/>
    <w:rsid w:val="00FD1D0E"/>
    <w:rsid w:val="00FD3066"/>
    <w:rsid w:val="00FD59A2"/>
    <w:rsid w:val="014B4315"/>
    <w:rsid w:val="015853FD"/>
    <w:rsid w:val="01FD2D7A"/>
    <w:rsid w:val="02235E3A"/>
    <w:rsid w:val="022C3206"/>
    <w:rsid w:val="02733093"/>
    <w:rsid w:val="028C042D"/>
    <w:rsid w:val="02BD1509"/>
    <w:rsid w:val="02C763DB"/>
    <w:rsid w:val="033575C4"/>
    <w:rsid w:val="03673423"/>
    <w:rsid w:val="037E6AB7"/>
    <w:rsid w:val="04506958"/>
    <w:rsid w:val="047270C1"/>
    <w:rsid w:val="04B36F0E"/>
    <w:rsid w:val="04FA68C4"/>
    <w:rsid w:val="05B23BFD"/>
    <w:rsid w:val="05B812BD"/>
    <w:rsid w:val="05C43595"/>
    <w:rsid w:val="05D9494F"/>
    <w:rsid w:val="062142C7"/>
    <w:rsid w:val="062D4646"/>
    <w:rsid w:val="06391244"/>
    <w:rsid w:val="066C7717"/>
    <w:rsid w:val="068044F8"/>
    <w:rsid w:val="06BB6284"/>
    <w:rsid w:val="06C72A6B"/>
    <w:rsid w:val="06CD4399"/>
    <w:rsid w:val="06E16969"/>
    <w:rsid w:val="070B62FA"/>
    <w:rsid w:val="070E472E"/>
    <w:rsid w:val="075538B1"/>
    <w:rsid w:val="075F62C5"/>
    <w:rsid w:val="077E2440"/>
    <w:rsid w:val="07940806"/>
    <w:rsid w:val="07B72DD6"/>
    <w:rsid w:val="082C1057"/>
    <w:rsid w:val="08350A80"/>
    <w:rsid w:val="08602EE2"/>
    <w:rsid w:val="08753839"/>
    <w:rsid w:val="088828FC"/>
    <w:rsid w:val="08A234FA"/>
    <w:rsid w:val="08A97A24"/>
    <w:rsid w:val="08D719C5"/>
    <w:rsid w:val="08E62DAD"/>
    <w:rsid w:val="09037615"/>
    <w:rsid w:val="091C7CDC"/>
    <w:rsid w:val="094663E2"/>
    <w:rsid w:val="09487BEC"/>
    <w:rsid w:val="095A164E"/>
    <w:rsid w:val="097E4DC8"/>
    <w:rsid w:val="09CD410F"/>
    <w:rsid w:val="0A2E2A9D"/>
    <w:rsid w:val="0A523407"/>
    <w:rsid w:val="0A623B1E"/>
    <w:rsid w:val="0A9D2E71"/>
    <w:rsid w:val="0AA064B9"/>
    <w:rsid w:val="0B044764"/>
    <w:rsid w:val="0B5860AE"/>
    <w:rsid w:val="0B631F1B"/>
    <w:rsid w:val="0B721B23"/>
    <w:rsid w:val="0BCD3C22"/>
    <w:rsid w:val="0BF80312"/>
    <w:rsid w:val="0C062CB0"/>
    <w:rsid w:val="0C182F1C"/>
    <w:rsid w:val="0C2124AB"/>
    <w:rsid w:val="0C2B072B"/>
    <w:rsid w:val="0C3A575A"/>
    <w:rsid w:val="0C6350BE"/>
    <w:rsid w:val="0C642C65"/>
    <w:rsid w:val="0C6A07D3"/>
    <w:rsid w:val="0C7645CC"/>
    <w:rsid w:val="0C9774E2"/>
    <w:rsid w:val="0CAF1FA8"/>
    <w:rsid w:val="0CB45B6A"/>
    <w:rsid w:val="0CE05EB8"/>
    <w:rsid w:val="0D10137A"/>
    <w:rsid w:val="0D1433CA"/>
    <w:rsid w:val="0D4922F4"/>
    <w:rsid w:val="0D5E7B21"/>
    <w:rsid w:val="0D65084A"/>
    <w:rsid w:val="0DD41DEC"/>
    <w:rsid w:val="0E0F77A6"/>
    <w:rsid w:val="0E1517FE"/>
    <w:rsid w:val="0E1F1149"/>
    <w:rsid w:val="0E2808D8"/>
    <w:rsid w:val="0E2D440E"/>
    <w:rsid w:val="0E7E3E53"/>
    <w:rsid w:val="0E8B693F"/>
    <w:rsid w:val="0EB628F1"/>
    <w:rsid w:val="0ECB5B6D"/>
    <w:rsid w:val="0EDA19C4"/>
    <w:rsid w:val="0EE67FC9"/>
    <w:rsid w:val="0EFA07EC"/>
    <w:rsid w:val="0F3C2003"/>
    <w:rsid w:val="0F871B88"/>
    <w:rsid w:val="0FEA6632"/>
    <w:rsid w:val="0FFD5E45"/>
    <w:rsid w:val="10233173"/>
    <w:rsid w:val="1025513D"/>
    <w:rsid w:val="10381943"/>
    <w:rsid w:val="10565E0B"/>
    <w:rsid w:val="10851806"/>
    <w:rsid w:val="108635A4"/>
    <w:rsid w:val="108F305E"/>
    <w:rsid w:val="10B74375"/>
    <w:rsid w:val="10CE721A"/>
    <w:rsid w:val="111F3BE3"/>
    <w:rsid w:val="114A2184"/>
    <w:rsid w:val="119B18B2"/>
    <w:rsid w:val="11A17C7A"/>
    <w:rsid w:val="11CD2258"/>
    <w:rsid w:val="11F50022"/>
    <w:rsid w:val="120F1A51"/>
    <w:rsid w:val="12195A6A"/>
    <w:rsid w:val="12686CB0"/>
    <w:rsid w:val="126E42E1"/>
    <w:rsid w:val="1290662F"/>
    <w:rsid w:val="12D46019"/>
    <w:rsid w:val="12EC5B77"/>
    <w:rsid w:val="1300693C"/>
    <w:rsid w:val="131C5FBB"/>
    <w:rsid w:val="13622015"/>
    <w:rsid w:val="13660DEA"/>
    <w:rsid w:val="13C8545C"/>
    <w:rsid w:val="13DB7C6E"/>
    <w:rsid w:val="142F44D4"/>
    <w:rsid w:val="145B48C0"/>
    <w:rsid w:val="145D19B3"/>
    <w:rsid w:val="14B46950"/>
    <w:rsid w:val="14BE790E"/>
    <w:rsid w:val="14BF020D"/>
    <w:rsid w:val="15082937"/>
    <w:rsid w:val="152357F3"/>
    <w:rsid w:val="15A8022C"/>
    <w:rsid w:val="15BE49DE"/>
    <w:rsid w:val="15CF2A72"/>
    <w:rsid w:val="15FC6C98"/>
    <w:rsid w:val="16481DCA"/>
    <w:rsid w:val="1658716F"/>
    <w:rsid w:val="16846826"/>
    <w:rsid w:val="16AD45FF"/>
    <w:rsid w:val="16B7252F"/>
    <w:rsid w:val="16D97D8D"/>
    <w:rsid w:val="16E35DDC"/>
    <w:rsid w:val="1724254E"/>
    <w:rsid w:val="174E3079"/>
    <w:rsid w:val="177E1C99"/>
    <w:rsid w:val="178E312F"/>
    <w:rsid w:val="18122DDE"/>
    <w:rsid w:val="181B23EB"/>
    <w:rsid w:val="187E29A7"/>
    <w:rsid w:val="18A0379D"/>
    <w:rsid w:val="18D13ABE"/>
    <w:rsid w:val="18E9297E"/>
    <w:rsid w:val="192625B3"/>
    <w:rsid w:val="19454E92"/>
    <w:rsid w:val="19AB4E42"/>
    <w:rsid w:val="19D77504"/>
    <w:rsid w:val="19D92803"/>
    <w:rsid w:val="1A150761"/>
    <w:rsid w:val="1A2B60D9"/>
    <w:rsid w:val="1A8F0AF9"/>
    <w:rsid w:val="1A915A1F"/>
    <w:rsid w:val="1A9F6652"/>
    <w:rsid w:val="1AAF430E"/>
    <w:rsid w:val="1AFC192A"/>
    <w:rsid w:val="1B1D736F"/>
    <w:rsid w:val="1B903EF3"/>
    <w:rsid w:val="1B920776"/>
    <w:rsid w:val="1B994ADE"/>
    <w:rsid w:val="1BA67D14"/>
    <w:rsid w:val="1BD87315"/>
    <w:rsid w:val="1C220782"/>
    <w:rsid w:val="1C284DFB"/>
    <w:rsid w:val="1C6164D4"/>
    <w:rsid w:val="1C68438E"/>
    <w:rsid w:val="1CB71D7A"/>
    <w:rsid w:val="1CBE6535"/>
    <w:rsid w:val="1CD530BF"/>
    <w:rsid w:val="1CD70397"/>
    <w:rsid w:val="1CF2252C"/>
    <w:rsid w:val="1D161A14"/>
    <w:rsid w:val="1D3E1C94"/>
    <w:rsid w:val="1D4170CB"/>
    <w:rsid w:val="1D4C63A4"/>
    <w:rsid w:val="1D5C5B3D"/>
    <w:rsid w:val="1D6200E8"/>
    <w:rsid w:val="1D6A6030"/>
    <w:rsid w:val="1D74214D"/>
    <w:rsid w:val="1D7F1D63"/>
    <w:rsid w:val="1D837231"/>
    <w:rsid w:val="1D911085"/>
    <w:rsid w:val="1DD04DE2"/>
    <w:rsid w:val="1E0263FB"/>
    <w:rsid w:val="1E301B9F"/>
    <w:rsid w:val="1E3E2708"/>
    <w:rsid w:val="1E506E24"/>
    <w:rsid w:val="1EB007A7"/>
    <w:rsid w:val="1EB33EEA"/>
    <w:rsid w:val="1EE968CC"/>
    <w:rsid w:val="1F1803EF"/>
    <w:rsid w:val="1F315ED8"/>
    <w:rsid w:val="1F415ABC"/>
    <w:rsid w:val="1F6E7CB4"/>
    <w:rsid w:val="1F80152B"/>
    <w:rsid w:val="1F8C4A08"/>
    <w:rsid w:val="1F8D4B2C"/>
    <w:rsid w:val="1F977E2A"/>
    <w:rsid w:val="1FBC0331"/>
    <w:rsid w:val="1FFDE4D4"/>
    <w:rsid w:val="1FFF441D"/>
    <w:rsid w:val="20062BDD"/>
    <w:rsid w:val="203573DE"/>
    <w:rsid w:val="203B38D6"/>
    <w:rsid w:val="207D718A"/>
    <w:rsid w:val="20B00A53"/>
    <w:rsid w:val="20B54A10"/>
    <w:rsid w:val="20C10042"/>
    <w:rsid w:val="20F123AA"/>
    <w:rsid w:val="20F13FD1"/>
    <w:rsid w:val="21284C33"/>
    <w:rsid w:val="2144216C"/>
    <w:rsid w:val="218B159D"/>
    <w:rsid w:val="21910C6F"/>
    <w:rsid w:val="21EE6567"/>
    <w:rsid w:val="21FA21C3"/>
    <w:rsid w:val="2227670D"/>
    <w:rsid w:val="222B0148"/>
    <w:rsid w:val="224A5946"/>
    <w:rsid w:val="22AE30DC"/>
    <w:rsid w:val="22C712E4"/>
    <w:rsid w:val="22C96F23"/>
    <w:rsid w:val="23277D0F"/>
    <w:rsid w:val="236F6AA3"/>
    <w:rsid w:val="23CD6A9E"/>
    <w:rsid w:val="24456607"/>
    <w:rsid w:val="24476F0F"/>
    <w:rsid w:val="24574BEB"/>
    <w:rsid w:val="24771929"/>
    <w:rsid w:val="24A70559"/>
    <w:rsid w:val="24AB59F2"/>
    <w:rsid w:val="251E05F3"/>
    <w:rsid w:val="252820EF"/>
    <w:rsid w:val="25D04BC0"/>
    <w:rsid w:val="262B2618"/>
    <w:rsid w:val="268C0DDD"/>
    <w:rsid w:val="268E0808"/>
    <w:rsid w:val="26B23657"/>
    <w:rsid w:val="26CA5E5C"/>
    <w:rsid w:val="26CD67C2"/>
    <w:rsid w:val="272950BB"/>
    <w:rsid w:val="273A3B66"/>
    <w:rsid w:val="27400876"/>
    <w:rsid w:val="275971D9"/>
    <w:rsid w:val="276775E3"/>
    <w:rsid w:val="2773258E"/>
    <w:rsid w:val="27983FEE"/>
    <w:rsid w:val="27B74E35"/>
    <w:rsid w:val="27E40677"/>
    <w:rsid w:val="282B6DED"/>
    <w:rsid w:val="28426557"/>
    <w:rsid w:val="284620D4"/>
    <w:rsid w:val="28791080"/>
    <w:rsid w:val="28BD30C2"/>
    <w:rsid w:val="28D5096F"/>
    <w:rsid w:val="2901713D"/>
    <w:rsid w:val="29090D35"/>
    <w:rsid w:val="2912272D"/>
    <w:rsid w:val="298B4E94"/>
    <w:rsid w:val="299C614B"/>
    <w:rsid w:val="29DF1E83"/>
    <w:rsid w:val="29FE1E11"/>
    <w:rsid w:val="2A2D0A8E"/>
    <w:rsid w:val="2A3723B5"/>
    <w:rsid w:val="2A401E01"/>
    <w:rsid w:val="2A4D340D"/>
    <w:rsid w:val="2A61307F"/>
    <w:rsid w:val="2A885F83"/>
    <w:rsid w:val="2B2945B3"/>
    <w:rsid w:val="2B3078C2"/>
    <w:rsid w:val="2B382072"/>
    <w:rsid w:val="2B3A2B98"/>
    <w:rsid w:val="2B6B0B6D"/>
    <w:rsid w:val="2B6C5D72"/>
    <w:rsid w:val="2B910373"/>
    <w:rsid w:val="2C3E5422"/>
    <w:rsid w:val="2C4B6D4D"/>
    <w:rsid w:val="2C9C1EFE"/>
    <w:rsid w:val="2CA156F3"/>
    <w:rsid w:val="2CB36ABA"/>
    <w:rsid w:val="2CBE4236"/>
    <w:rsid w:val="2CD90465"/>
    <w:rsid w:val="2CF75AF5"/>
    <w:rsid w:val="2D6D06D8"/>
    <w:rsid w:val="2D8D3ECA"/>
    <w:rsid w:val="2DCEA62F"/>
    <w:rsid w:val="2DD32649"/>
    <w:rsid w:val="2E3E4CA5"/>
    <w:rsid w:val="2E512252"/>
    <w:rsid w:val="2E605F3C"/>
    <w:rsid w:val="2E6A07BE"/>
    <w:rsid w:val="2E7BFD7B"/>
    <w:rsid w:val="2E9B432D"/>
    <w:rsid w:val="2EA1295C"/>
    <w:rsid w:val="2EBD1B49"/>
    <w:rsid w:val="2ECD1C6B"/>
    <w:rsid w:val="2ECF2E6C"/>
    <w:rsid w:val="2F0C75D6"/>
    <w:rsid w:val="2F3C64C6"/>
    <w:rsid w:val="2F580B25"/>
    <w:rsid w:val="2F7C73CB"/>
    <w:rsid w:val="2F8A753A"/>
    <w:rsid w:val="2FA974CF"/>
    <w:rsid w:val="2FB74983"/>
    <w:rsid w:val="2FC37E14"/>
    <w:rsid w:val="30005153"/>
    <w:rsid w:val="3015208B"/>
    <w:rsid w:val="301544AB"/>
    <w:rsid w:val="3059316E"/>
    <w:rsid w:val="307E4D3E"/>
    <w:rsid w:val="311834DF"/>
    <w:rsid w:val="31421255"/>
    <w:rsid w:val="31491EFA"/>
    <w:rsid w:val="31DF3148"/>
    <w:rsid w:val="321B35C0"/>
    <w:rsid w:val="32293C6E"/>
    <w:rsid w:val="322F4B2F"/>
    <w:rsid w:val="32672A40"/>
    <w:rsid w:val="3268794A"/>
    <w:rsid w:val="32AE1990"/>
    <w:rsid w:val="32E703E7"/>
    <w:rsid w:val="32F97908"/>
    <w:rsid w:val="33186469"/>
    <w:rsid w:val="33693D11"/>
    <w:rsid w:val="3375624A"/>
    <w:rsid w:val="3383123D"/>
    <w:rsid w:val="339262A6"/>
    <w:rsid w:val="339B4182"/>
    <w:rsid w:val="34020204"/>
    <w:rsid w:val="34067ECC"/>
    <w:rsid w:val="34110FF9"/>
    <w:rsid w:val="34212BD6"/>
    <w:rsid w:val="34440303"/>
    <w:rsid w:val="347E0FB0"/>
    <w:rsid w:val="34DE5A23"/>
    <w:rsid w:val="352047DF"/>
    <w:rsid w:val="35211562"/>
    <w:rsid w:val="355365EC"/>
    <w:rsid w:val="35572FC2"/>
    <w:rsid w:val="35871813"/>
    <w:rsid w:val="35E03366"/>
    <w:rsid w:val="35E9133F"/>
    <w:rsid w:val="362B5B29"/>
    <w:rsid w:val="364C0C41"/>
    <w:rsid w:val="36654E03"/>
    <w:rsid w:val="369E0C8B"/>
    <w:rsid w:val="36BF2A4B"/>
    <w:rsid w:val="36D821A9"/>
    <w:rsid w:val="36DA2C14"/>
    <w:rsid w:val="37357170"/>
    <w:rsid w:val="37517810"/>
    <w:rsid w:val="37564211"/>
    <w:rsid w:val="37752EBF"/>
    <w:rsid w:val="377F1446"/>
    <w:rsid w:val="37CC4B18"/>
    <w:rsid w:val="37D42BF8"/>
    <w:rsid w:val="38484C75"/>
    <w:rsid w:val="38560C26"/>
    <w:rsid w:val="38850EA3"/>
    <w:rsid w:val="38AD1864"/>
    <w:rsid w:val="38B3578B"/>
    <w:rsid w:val="38B86862"/>
    <w:rsid w:val="38F456F5"/>
    <w:rsid w:val="391A2715"/>
    <w:rsid w:val="3920628A"/>
    <w:rsid w:val="39290F4A"/>
    <w:rsid w:val="393923E4"/>
    <w:rsid w:val="399402D7"/>
    <w:rsid w:val="39B855BD"/>
    <w:rsid w:val="3A0820F9"/>
    <w:rsid w:val="3A234172"/>
    <w:rsid w:val="3A3B731D"/>
    <w:rsid w:val="3A470F81"/>
    <w:rsid w:val="3A881279"/>
    <w:rsid w:val="3AD92B3F"/>
    <w:rsid w:val="3AE5143C"/>
    <w:rsid w:val="3AEE41FA"/>
    <w:rsid w:val="3B726472"/>
    <w:rsid w:val="3B7DA33F"/>
    <w:rsid w:val="3B9E62BE"/>
    <w:rsid w:val="3BA9780C"/>
    <w:rsid w:val="3C3B145B"/>
    <w:rsid w:val="3C5D4DB2"/>
    <w:rsid w:val="3C7E4390"/>
    <w:rsid w:val="3C833745"/>
    <w:rsid w:val="3C8977A4"/>
    <w:rsid w:val="3CA439BC"/>
    <w:rsid w:val="3CBD687A"/>
    <w:rsid w:val="3CBD6F27"/>
    <w:rsid w:val="3CCB53BF"/>
    <w:rsid w:val="3D0D1601"/>
    <w:rsid w:val="3D3B6AAB"/>
    <w:rsid w:val="3D8B03F6"/>
    <w:rsid w:val="3E3068D7"/>
    <w:rsid w:val="3E483E97"/>
    <w:rsid w:val="3E5A2D2E"/>
    <w:rsid w:val="3F4E495D"/>
    <w:rsid w:val="3F5061FF"/>
    <w:rsid w:val="3F9C494E"/>
    <w:rsid w:val="3FAB10AD"/>
    <w:rsid w:val="3FB93AEA"/>
    <w:rsid w:val="3FD07AA9"/>
    <w:rsid w:val="3FEA233C"/>
    <w:rsid w:val="405E54A0"/>
    <w:rsid w:val="405F70F8"/>
    <w:rsid w:val="40B75801"/>
    <w:rsid w:val="40D74927"/>
    <w:rsid w:val="41134450"/>
    <w:rsid w:val="411805E2"/>
    <w:rsid w:val="414F6EE9"/>
    <w:rsid w:val="41523008"/>
    <w:rsid w:val="41603D08"/>
    <w:rsid w:val="416040A6"/>
    <w:rsid w:val="416845DA"/>
    <w:rsid w:val="416A241C"/>
    <w:rsid w:val="41E159F5"/>
    <w:rsid w:val="4228277E"/>
    <w:rsid w:val="42502E80"/>
    <w:rsid w:val="42A85862"/>
    <w:rsid w:val="42F6303C"/>
    <w:rsid w:val="43005817"/>
    <w:rsid w:val="433C2B9D"/>
    <w:rsid w:val="43610339"/>
    <w:rsid w:val="438070B3"/>
    <w:rsid w:val="439115F6"/>
    <w:rsid w:val="43CC70A2"/>
    <w:rsid w:val="4448730B"/>
    <w:rsid w:val="44957494"/>
    <w:rsid w:val="449E2F15"/>
    <w:rsid w:val="44A1715D"/>
    <w:rsid w:val="44BF6649"/>
    <w:rsid w:val="44C15E66"/>
    <w:rsid w:val="44DA2A74"/>
    <w:rsid w:val="44ED534F"/>
    <w:rsid w:val="4506388C"/>
    <w:rsid w:val="452F1C93"/>
    <w:rsid w:val="45560719"/>
    <w:rsid w:val="45697722"/>
    <w:rsid w:val="45857508"/>
    <w:rsid w:val="458C0A70"/>
    <w:rsid w:val="459C4852"/>
    <w:rsid w:val="45AB057C"/>
    <w:rsid w:val="45BD1528"/>
    <w:rsid w:val="45C705F8"/>
    <w:rsid w:val="45E160E7"/>
    <w:rsid w:val="45E175E7"/>
    <w:rsid w:val="46080501"/>
    <w:rsid w:val="46123B31"/>
    <w:rsid w:val="46324A7E"/>
    <w:rsid w:val="46472A10"/>
    <w:rsid w:val="4651107F"/>
    <w:rsid w:val="465574A1"/>
    <w:rsid w:val="465C5C72"/>
    <w:rsid w:val="4672101B"/>
    <w:rsid w:val="468F0B8A"/>
    <w:rsid w:val="46CB25D3"/>
    <w:rsid w:val="47133534"/>
    <w:rsid w:val="47233AA7"/>
    <w:rsid w:val="47826516"/>
    <w:rsid w:val="47A95B3A"/>
    <w:rsid w:val="47F93017"/>
    <w:rsid w:val="480A1226"/>
    <w:rsid w:val="480B131E"/>
    <w:rsid w:val="48714B71"/>
    <w:rsid w:val="488A48C9"/>
    <w:rsid w:val="489A24E8"/>
    <w:rsid w:val="48B76317"/>
    <w:rsid w:val="48BB3958"/>
    <w:rsid w:val="48BC14A1"/>
    <w:rsid w:val="48D85A12"/>
    <w:rsid w:val="48FF637B"/>
    <w:rsid w:val="491A2F72"/>
    <w:rsid w:val="49463622"/>
    <w:rsid w:val="49A1549B"/>
    <w:rsid w:val="49D0648D"/>
    <w:rsid w:val="4A1F0A85"/>
    <w:rsid w:val="4A215AAB"/>
    <w:rsid w:val="4A36062E"/>
    <w:rsid w:val="4A6961A2"/>
    <w:rsid w:val="4A7767A6"/>
    <w:rsid w:val="4AE10D6E"/>
    <w:rsid w:val="4AE3603B"/>
    <w:rsid w:val="4B8770AA"/>
    <w:rsid w:val="4B9F7A9C"/>
    <w:rsid w:val="4BB2750C"/>
    <w:rsid w:val="4BBF20A9"/>
    <w:rsid w:val="4BC24089"/>
    <w:rsid w:val="4BD552B9"/>
    <w:rsid w:val="4C30678B"/>
    <w:rsid w:val="4C5F6CA1"/>
    <w:rsid w:val="4C7E6A60"/>
    <w:rsid w:val="4CE97FD3"/>
    <w:rsid w:val="4D152462"/>
    <w:rsid w:val="4D3B4C66"/>
    <w:rsid w:val="4D743090"/>
    <w:rsid w:val="4D846CE5"/>
    <w:rsid w:val="4D8A326C"/>
    <w:rsid w:val="4DC200A2"/>
    <w:rsid w:val="4DE24AEA"/>
    <w:rsid w:val="4DE34A9B"/>
    <w:rsid w:val="4E0D0646"/>
    <w:rsid w:val="4E4336C1"/>
    <w:rsid w:val="4E7F5794"/>
    <w:rsid w:val="4EAF55F6"/>
    <w:rsid w:val="4EC06A86"/>
    <w:rsid w:val="4F6F0867"/>
    <w:rsid w:val="4F7D56F4"/>
    <w:rsid w:val="4FAE338C"/>
    <w:rsid w:val="4FAE5CA7"/>
    <w:rsid w:val="4FE1559E"/>
    <w:rsid w:val="5011737A"/>
    <w:rsid w:val="506E64A5"/>
    <w:rsid w:val="50841EA7"/>
    <w:rsid w:val="50C21EAD"/>
    <w:rsid w:val="50EC7C1F"/>
    <w:rsid w:val="51125647"/>
    <w:rsid w:val="512675EC"/>
    <w:rsid w:val="5134045D"/>
    <w:rsid w:val="52224331"/>
    <w:rsid w:val="52394042"/>
    <w:rsid w:val="523F1A06"/>
    <w:rsid w:val="52404E44"/>
    <w:rsid w:val="527419F5"/>
    <w:rsid w:val="527470D1"/>
    <w:rsid w:val="52975405"/>
    <w:rsid w:val="52A94F07"/>
    <w:rsid w:val="52B31D05"/>
    <w:rsid w:val="52B96A43"/>
    <w:rsid w:val="52ED0888"/>
    <w:rsid w:val="52EF06DB"/>
    <w:rsid w:val="5306231C"/>
    <w:rsid w:val="5319460C"/>
    <w:rsid w:val="532540B5"/>
    <w:rsid w:val="533B05E6"/>
    <w:rsid w:val="537F1245"/>
    <w:rsid w:val="53877353"/>
    <w:rsid w:val="53D86CDD"/>
    <w:rsid w:val="53FE181C"/>
    <w:rsid w:val="54C05753"/>
    <w:rsid w:val="54FF2BDD"/>
    <w:rsid w:val="553418C3"/>
    <w:rsid w:val="55522844"/>
    <w:rsid w:val="557B2B0C"/>
    <w:rsid w:val="55BB5A99"/>
    <w:rsid w:val="561145CC"/>
    <w:rsid w:val="5616736A"/>
    <w:rsid w:val="562754E3"/>
    <w:rsid w:val="56645CCD"/>
    <w:rsid w:val="5680749B"/>
    <w:rsid w:val="56C3728D"/>
    <w:rsid w:val="570D6275"/>
    <w:rsid w:val="57555612"/>
    <w:rsid w:val="57761358"/>
    <w:rsid w:val="5783052C"/>
    <w:rsid w:val="57874E10"/>
    <w:rsid w:val="57CB11C6"/>
    <w:rsid w:val="57EE2BFB"/>
    <w:rsid w:val="57FF0296"/>
    <w:rsid w:val="582337E2"/>
    <w:rsid w:val="58650817"/>
    <w:rsid w:val="58692938"/>
    <w:rsid w:val="58786725"/>
    <w:rsid w:val="58AE75D5"/>
    <w:rsid w:val="59977DAE"/>
    <w:rsid w:val="59CC7AE7"/>
    <w:rsid w:val="59CD058C"/>
    <w:rsid w:val="59E248C5"/>
    <w:rsid w:val="5A07674D"/>
    <w:rsid w:val="5ACF7D8B"/>
    <w:rsid w:val="5AEE086C"/>
    <w:rsid w:val="5AFD2B13"/>
    <w:rsid w:val="5B0319CF"/>
    <w:rsid w:val="5B583E14"/>
    <w:rsid w:val="5B7B13AF"/>
    <w:rsid w:val="5BF019AB"/>
    <w:rsid w:val="5C2A47C0"/>
    <w:rsid w:val="5C356211"/>
    <w:rsid w:val="5CA62B67"/>
    <w:rsid w:val="5CA85EFB"/>
    <w:rsid w:val="5CC72D08"/>
    <w:rsid w:val="5CCE3563"/>
    <w:rsid w:val="5D2A1A19"/>
    <w:rsid w:val="5D384789"/>
    <w:rsid w:val="5D3B758B"/>
    <w:rsid w:val="5D5C0AE7"/>
    <w:rsid w:val="5D7609CA"/>
    <w:rsid w:val="5E1F7CAC"/>
    <w:rsid w:val="5E2676F1"/>
    <w:rsid w:val="5E3020FD"/>
    <w:rsid w:val="5F62285E"/>
    <w:rsid w:val="5F757EE9"/>
    <w:rsid w:val="5F7600DC"/>
    <w:rsid w:val="5F8FD4AA"/>
    <w:rsid w:val="5FDB52AC"/>
    <w:rsid w:val="601A61C3"/>
    <w:rsid w:val="60CF1428"/>
    <w:rsid w:val="60F032EC"/>
    <w:rsid w:val="610B648F"/>
    <w:rsid w:val="61214EA3"/>
    <w:rsid w:val="61353054"/>
    <w:rsid w:val="615E61C7"/>
    <w:rsid w:val="61892790"/>
    <w:rsid w:val="618B7B89"/>
    <w:rsid w:val="61AF54D7"/>
    <w:rsid w:val="61BF7532"/>
    <w:rsid w:val="61F15435"/>
    <w:rsid w:val="622301A0"/>
    <w:rsid w:val="623A4025"/>
    <w:rsid w:val="62C665ED"/>
    <w:rsid w:val="62DB50CE"/>
    <w:rsid w:val="63041E6D"/>
    <w:rsid w:val="634D35BC"/>
    <w:rsid w:val="63561418"/>
    <w:rsid w:val="63620A31"/>
    <w:rsid w:val="63696264"/>
    <w:rsid w:val="63945A0E"/>
    <w:rsid w:val="63EF514A"/>
    <w:rsid w:val="63FF4368"/>
    <w:rsid w:val="649E3BDD"/>
    <w:rsid w:val="64BE77CC"/>
    <w:rsid w:val="65213BDB"/>
    <w:rsid w:val="6535408B"/>
    <w:rsid w:val="65B102EA"/>
    <w:rsid w:val="65B43BA3"/>
    <w:rsid w:val="65D17026"/>
    <w:rsid w:val="661E1452"/>
    <w:rsid w:val="66225A21"/>
    <w:rsid w:val="66382D1C"/>
    <w:rsid w:val="666E76AB"/>
    <w:rsid w:val="66865856"/>
    <w:rsid w:val="66896711"/>
    <w:rsid w:val="66E75210"/>
    <w:rsid w:val="67086D87"/>
    <w:rsid w:val="67157BBB"/>
    <w:rsid w:val="678C6708"/>
    <w:rsid w:val="67920C47"/>
    <w:rsid w:val="67A5555A"/>
    <w:rsid w:val="67FD3177"/>
    <w:rsid w:val="681D195F"/>
    <w:rsid w:val="682F1E5E"/>
    <w:rsid w:val="68CC0CD6"/>
    <w:rsid w:val="69085C00"/>
    <w:rsid w:val="699E71E5"/>
    <w:rsid w:val="69A007FA"/>
    <w:rsid w:val="69AD48AC"/>
    <w:rsid w:val="69CE6E20"/>
    <w:rsid w:val="69DF3283"/>
    <w:rsid w:val="6A194542"/>
    <w:rsid w:val="6A315DF5"/>
    <w:rsid w:val="6A541985"/>
    <w:rsid w:val="6A67407D"/>
    <w:rsid w:val="6A8713B1"/>
    <w:rsid w:val="6A8A1E57"/>
    <w:rsid w:val="6AB84399"/>
    <w:rsid w:val="6AC111E7"/>
    <w:rsid w:val="6AC95741"/>
    <w:rsid w:val="6AD62942"/>
    <w:rsid w:val="6B0413A0"/>
    <w:rsid w:val="6B0419DE"/>
    <w:rsid w:val="6B137AAB"/>
    <w:rsid w:val="6B242A8A"/>
    <w:rsid w:val="6B3A6097"/>
    <w:rsid w:val="6B472681"/>
    <w:rsid w:val="6BA50011"/>
    <w:rsid w:val="6BA9532A"/>
    <w:rsid w:val="6BEC0C66"/>
    <w:rsid w:val="6BF12836"/>
    <w:rsid w:val="6BF57A54"/>
    <w:rsid w:val="6BFC6D28"/>
    <w:rsid w:val="6C032BA3"/>
    <w:rsid w:val="6C231205"/>
    <w:rsid w:val="6C2E787B"/>
    <w:rsid w:val="6D382F3C"/>
    <w:rsid w:val="6D5011E3"/>
    <w:rsid w:val="6D7E39B6"/>
    <w:rsid w:val="6D974AB8"/>
    <w:rsid w:val="6DCF4719"/>
    <w:rsid w:val="6DEA5676"/>
    <w:rsid w:val="6DFB2026"/>
    <w:rsid w:val="6E075FA3"/>
    <w:rsid w:val="6E1462F1"/>
    <w:rsid w:val="6E2E09F0"/>
    <w:rsid w:val="6E5A3B90"/>
    <w:rsid w:val="6EB25F06"/>
    <w:rsid w:val="6EC57377"/>
    <w:rsid w:val="6ED8429D"/>
    <w:rsid w:val="6EFB528F"/>
    <w:rsid w:val="6F1053E6"/>
    <w:rsid w:val="6F184060"/>
    <w:rsid w:val="6F475D5A"/>
    <w:rsid w:val="6F520A2B"/>
    <w:rsid w:val="6F7D3B46"/>
    <w:rsid w:val="70025CE0"/>
    <w:rsid w:val="700B5A54"/>
    <w:rsid w:val="702205A9"/>
    <w:rsid w:val="70504075"/>
    <w:rsid w:val="705845CA"/>
    <w:rsid w:val="7059570F"/>
    <w:rsid w:val="705C75B7"/>
    <w:rsid w:val="70B07E23"/>
    <w:rsid w:val="70C70427"/>
    <w:rsid w:val="70E52DAA"/>
    <w:rsid w:val="71050AF1"/>
    <w:rsid w:val="710E785B"/>
    <w:rsid w:val="711E0D1B"/>
    <w:rsid w:val="71254610"/>
    <w:rsid w:val="71306445"/>
    <w:rsid w:val="714A783B"/>
    <w:rsid w:val="714D3E90"/>
    <w:rsid w:val="71685AA9"/>
    <w:rsid w:val="716D7778"/>
    <w:rsid w:val="72121BA5"/>
    <w:rsid w:val="72183630"/>
    <w:rsid w:val="72284A2D"/>
    <w:rsid w:val="722A3062"/>
    <w:rsid w:val="722F679F"/>
    <w:rsid w:val="72377386"/>
    <w:rsid w:val="725F3E00"/>
    <w:rsid w:val="72842453"/>
    <w:rsid w:val="729D55E2"/>
    <w:rsid w:val="72B87C2C"/>
    <w:rsid w:val="72FA22E2"/>
    <w:rsid w:val="73031C89"/>
    <w:rsid w:val="73444D5B"/>
    <w:rsid w:val="73621CCF"/>
    <w:rsid w:val="73806E8E"/>
    <w:rsid w:val="73860117"/>
    <w:rsid w:val="74045405"/>
    <w:rsid w:val="740F42BD"/>
    <w:rsid w:val="743F4AED"/>
    <w:rsid w:val="74494FC8"/>
    <w:rsid w:val="74D972B1"/>
    <w:rsid w:val="7505479B"/>
    <w:rsid w:val="751122B7"/>
    <w:rsid w:val="759ECD93"/>
    <w:rsid w:val="75A1646D"/>
    <w:rsid w:val="75B67B76"/>
    <w:rsid w:val="75EB2452"/>
    <w:rsid w:val="76127C57"/>
    <w:rsid w:val="763A399B"/>
    <w:rsid w:val="76676690"/>
    <w:rsid w:val="7685556B"/>
    <w:rsid w:val="76BC3F4C"/>
    <w:rsid w:val="76E76DDB"/>
    <w:rsid w:val="76EE3F2C"/>
    <w:rsid w:val="77434185"/>
    <w:rsid w:val="7746449A"/>
    <w:rsid w:val="77684356"/>
    <w:rsid w:val="776B7DCF"/>
    <w:rsid w:val="77843521"/>
    <w:rsid w:val="77A04669"/>
    <w:rsid w:val="77DC438A"/>
    <w:rsid w:val="77E12475"/>
    <w:rsid w:val="77E37F3B"/>
    <w:rsid w:val="77F78C1E"/>
    <w:rsid w:val="7847232C"/>
    <w:rsid w:val="78531BFB"/>
    <w:rsid w:val="785B420C"/>
    <w:rsid w:val="78640EFE"/>
    <w:rsid w:val="786772D6"/>
    <w:rsid w:val="78681101"/>
    <w:rsid w:val="786E4D72"/>
    <w:rsid w:val="79246C6F"/>
    <w:rsid w:val="79316C75"/>
    <w:rsid w:val="7940316B"/>
    <w:rsid w:val="794763A5"/>
    <w:rsid w:val="79772EE1"/>
    <w:rsid w:val="798B1853"/>
    <w:rsid w:val="798D58F3"/>
    <w:rsid w:val="799854F0"/>
    <w:rsid w:val="79ED1D6E"/>
    <w:rsid w:val="79EE6476"/>
    <w:rsid w:val="7A1F6CB4"/>
    <w:rsid w:val="7A467D6E"/>
    <w:rsid w:val="7A535BBA"/>
    <w:rsid w:val="7A542535"/>
    <w:rsid w:val="7A70438A"/>
    <w:rsid w:val="7AED10D1"/>
    <w:rsid w:val="7B014C15"/>
    <w:rsid w:val="7B2B6939"/>
    <w:rsid w:val="7B3F362A"/>
    <w:rsid w:val="7B5839D4"/>
    <w:rsid w:val="7B5B6AF4"/>
    <w:rsid w:val="7B5E1FE8"/>
    <w:rsid w:val="7B692BEB"/>
    <w:rsid w:val="7B7787DD"/>
    <w:rsid w:val="7B9C025B"/>
    <w:rsid w:val="7BAE7D13"/>
    <w:rsid w:val="7C010774"/>
    <w:rsid w:val="7C5E7D7E"/>
    <w:rsid w:val="7C6A0D99"/>
    <w:rsid w:val="7CF136B9"/>
    <w:rsid w:val="7D3730FC"/>
    <w:rsid w:val="7D5048D8"/>
    <w:rsid w:val="7D5524B2"/>
    <w:rsid w:val="7D5D07EC"/>
    <w:rsid w:val="7D6112F5"/>
    <w:rsid w:val="7D66655C"/>
    <w:rsid w:val="7D7D0A97"/>
    <w:rsid w:val="7DBF4D4E"/>
    <w:rsid w:val="7DDF09B7"/>
    <w:rsid w:val="7E2C603C"/>
    <w:rsid w:val="7E5112AD"/>
    <w:rsid w:val="7E514C77"/>
    <w:rsid w:val="7E5666C1"/>
    <w:rsid w:val="7E7FF718"/>
    <w:rsid w:val="7EE17B26"/>
    <w:rsid w:val="7EEB205B"/>
    <w:rsid w:val="7EF48D5D"/>
    <w:rsid w:val="7EF54389"/>
    <w:rsid w:val="7F046965"/>
    <w:rsid w:val="7F15345C"/>
    <w:rsid w:val="7F3F2B98"/>
    <w:rsid w:val="7F695C83"/>
    <w:rsid w:val="7F817745"/>
    <w:rsid w:val="7F9B41BD"/>
    <w:rsid w:val="7FA93AC2"/>
    <w:rsid w:val="7FE02829"/>
    <w:rsid w:val="7FE67123"/>
    <w:rsid w:val="7FF709BB"/>
    <w:rsid w:val="B7FEA023"/>
    <w:rsid w:val="BF4BDEBE"/>
    <w:rsid w:val="BFBC2EF8"/>
    <w:rsid w:val="CDFFF7FC"/>
    <w:rsid w:val="D3BF2A67"/>
    <w:rsid w:val="D741AD2C"/>
    <w:rsid w:val="D7F128D3"/>
    <w:rsid w:val="DBF1C71B"/>
    <w:rsid w:val="DBF5FAC1"/>
    <w:rsid w:val="DFDD57A5"/>
    <w:rsid w:val="F67DA9F6"/>
    <w:rsid w:val="F7FF8102"/>
    <w:rsid w:val="F9B7C600"/>
    <w:rsid w:val="FDFFD16B"/>
    <w:rsid w:val="FF5DBE7E"/>
    <w:rsid w:val="FF6F8D13"/>
    <w:rsid w:val="FFEFE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4">
    <w:name w:val="heading 2"/>
    <w:basedOn w:val="1"/>
    <w:next w:val="1"/>
    <w:link w:val="53"/>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tabs>
        <w:tab w:val="left" w:pos="720"/>
      </w:tabs>
      <w:spacing w:before="260" w:after="260" w:line="413" w:lineRule="auto"/>
      <w:ind w:left="720" w:hanging="432"/>
      <w:outlineLvl w:val="2"/>
    </w:pPr>
    <w:rPr>
      <w:b/>
      <w:bCs/>
      <w:sz w:val="32"/>
      <w:szCs w:val="32"/>
    </w:rPr>
  </w:style>
  <w:style w:type="paragraph" w:styleId="6">
    <w:name w:val="heading 4"/>
    <w:basedOn w:val="1"/>
    <w:next w:val="1"/>
    <w:link w:val="55"/>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5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napToGrid w:val="0"/>
      <w:spacing w:line="380" w:lineRule="exact"/>
      <w:ind w:left="-210" w:leftChars="-100" w:right="-171" w:firstLine="420"/>
    </w:pPr>
    <w:rPr>
      <w:rFonts w:ascii="Times New Roman" w:hAnsi="Times New Roman" w:cs="Times New Roman"/>
      <w:bCs/>
      <w:color w:val="000000"/>
      <w:szCs w:val="20"/>
    </w:rPr>
  </w:style>
  <w:style w:type="paragraph" w:styleId="12">
    <w:name w:val="toc 7"/>
    <w:basedOn w:val="1"/>
    <w:next w:val="1"/>
    <w:qFormat/>
    <w:uiPriority w:val="39"/>
    <w:pPr>
      <w:ind w:left="1260"/>
      <w:jc w:val="left"/>
    </w:pPr>
    <w:rPr>
      <w:sz w:val="20"/>
      <w:szCs w:val="20"/>
    </w:rPr>
  </w:style>
  <w:style w:type="paragraph" w:styleId="13">
    <w:name w:val="Normal Indent"/>
    <w:basedOn w:val="1"/>
    <w:link w:val="61"/>
    <w:qFormat/>
    <w:uiPriority w:val="99"/>
    <w:pPr>
      <w:ind w:firstLine="420"/>
    </w:pPr>
    <w:rPr>
      <w:szCs w:val="20"/>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62"/>
    <w:qFormat/>
    <w:uiPriority w:val="0"/>
    <w:rPr>
      <w:rFonts w:ascii="宋体"/>
      <w:sz w:val="18"/>
      <w:szCs w:val="18"/>
    </w:rPr>
  </w:style>
  <w:style w:type="paragraph" w:styleId="16">
    <w:name w:val="toa heading"/>
    <w:basedOn w:val="1"/>
    <w:next w:val="1"/>
    <w:unhideWhenUsed/>
    <w:qFormat/>
    <w:uiPriority w:val="99"/>
    <w:pPr>
      <w:spacing w:before="120"/>
    </w:pPr>
    <w:rPr>
      <w:rFonts w:ascii="Cambria" w:hAnsi="Cambria"/>
      <w:sz w:val="24"/>
    </w:rPr>
  </w:style>
  <w:style w:type="paragraph" w:styleId="17">
    <w:name w:val="annotation text"/>
    <w:basedOn w:val="1"/>
    <w:link w:val="63"/>
    <w:qFormat/>
    <w:uiPriority w:val="0"/>
    <w:pPr>
      <w:jc w:val="left"/>
    </w:pPr>
  </w:style>
  <w:style w:type="paragraph" w:styleId="18">
    <w:name w:val="Body Text"/>
    <w:basedOn w:val="1"/>
    <w:qFormat/>
    <w:uiPriority w:val="0"/>
    <w:pPr>
      <w:spacing w:after="120"/>
    </w:pPr>
  </w:style>
  <w:style w:type="paragraph" w:styleId="19">
    <w:name w:val="Body Text Indent"/>
    <w:basedOn w:val="1"/>
    <w:qFormat/>
    <w:uiPriority w:val="0"/>
    <w:pPr>
      <w:ind w:firstLine="830" w:firstLineChars="352"/>
    </w:pPr>
    <w:rPr>
      <w:rFonts w:ascii="仿宋_GB2312" w:eastAsia="仿宋_GB2312"/>
      <w:kern w:val="0"/>
      <w:sz w:val="32"/>
      <w:szCs w:val="20"/>
    </w:rPr>
  </w:style>
  <w:style w:type="paragraph" w:styleId="20">
    <w:name w:val="toc 5"/>
    <w:basedOn w:val="1"/>
    <w:next w:val="1"/>
    <w:qFormat/>
    <w:uiPriority w:val="39"/>
    <w:pPr>
      <w:ind w:left="840"/>
      <w:jc w:val="left"/>
    </w:pPr>
    <w:rPr>
      <w:sz w:val="20"/>
      <w:szCs w:val="20"/>
    </w:rPr>
  </w:style>
  <w:style w:type="paragraph" w:styleId="21">
    <w:name w:val="toc 3"/>
    <w:basedOn w:val="1"/>
    <w:next w:val="1"/>
    <w:qFormat/>
    <w:uiPriority w:val="39"/>
    <w:pPr>
      <w:ind w:left="420"/>
      <w:jc w:val="left"/>
    </w:pPr>
    <w:rPr>
      <w:sz w:val="20"/>
      <w:szCs w:val="20"/>
    </w:rPr>
  </w:style>
  <w:style w:type="paragraph" w:styleId="22">
    <w:name w:val="Plain Text"/>
    <w:basedOn w:val="1"/>
    <w:next w:val="23"/>
    <w:link w:val="64"/>
    <w:qFormat/>
    <w:uiPriority w:val="0"/>
    <w:rPr>
      <w:rFonts w:ascii="宋体" w:hAnsi="Courier New"/>
    </w:rPr>
  </w:style>
  <w:style w:type="paragraph" w:styleId="23">
    <w:name w:val="Body Text Indent 2"/>
    <w:basedOn w:val="1"/>
    <w:unhideWhenUsed/>
    <w:qFormat/>
    <w:uiPriority w:val="0"/>
    <w:pPr>
      <w:spacing w:after="120" w:line="480" w:lineRule="auto"/>
      <w:ind w:left="420" w:leftChars="200"/>
    </w:pPr>
  </w:style>
  <w:style w:type="paragraph" w:styleId="24">
    <w:name w:val="toc 8"/>
    <w:basedOn w:val="1"/>
    <w:next w:val="1"/>
    <w:qFormat/>
    <w:uiPriority w:val="39"/>
    <w:pPr>
      <w:ind w:left="1470"/>
      <w:jc w:val="left"/>
    </w:pPr>
    <w:rPr>
      <w:sz w:val="20"/>
      <w:szCs w:val="20"/>
    </w:rPr>
  </w:style>
  <w:style w:type="paragraph" w:styleId="25">
    <w:name w:val="Date"/>
    <w:basedOn w:val="1"/>
    <w:next w:val="1"/>
    <w:qFormat/>
    <w:uiPriority w:val="0"/>
    <w:pPr>
      <w:ind w:left="100" w:leftChars="2500"/>
    </w:pPr>
  </w:style>
  <w:style w:type="paragraph" w:styleId="26">
    <w:name w:val="Balloon Text"/>
    <w:basedOn w:val="1"/>
    <w:link w:val="65"/>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sz w:val="18"/>
    </w:rPr>
  </w:style>
  <w:style w:type="paragraph" w:styleId="28">
    <w:name w:val="envelope return"/>
    <w:basedOn w:val="1"/>
    <w:qFormat/>
    <w:uiPriority w:val="0"/>
    <w:pPr>
      <w:snapToGrid w:val="0"/>
      <w:spacing w:after="200"/>
    </w:pPr>
    <w:rPr>
      <w:rFonts w:ascii="Arial" w:hAnsi="Arial" w:eastAsia="微软雅黑"/>
      <w:sz w:val="22"/>
      <w:szCs w:val="22"/>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jc w:val="left"/>
    </w:pPr>
    <w:rPr>
      <w:b/>
      <w:bCs/>
      <w:i/>
      <w:iCs/>
      <w:sz w:val="24"/>
    </w:rPr>
  </w:style>
  <w:style w:type="paragraph" w:styleId="31">
    <w:name w:val="toc 4"/>
    <w:basedOn w:val="1"/>
    <w:next w:val="1"/>
    <w:qFormat/>
    <w:uiPriority w:val="39"/>
    <w:pPr>
      <w:ind w:left="630"/>
      <w:jc w:val="left"/>
    </w:pPr>
    <w:rPr>
      <w:sz w:val="20"/>
      <w:szCs w:val="20"/>
    </w:rPr>
  </w:style>
  <w:style w:type="paragraph" w:styleId="32">
    <w:name w:val="index heading"/>
    <w:basedOn w:val="1"/>
    <w:next w:val="33"/>
    <w:qFormat/>
    <w:uiPriority w:val="0"/>
    <w:rPr>
      <w:szCs w:val="20"/>
    </w:rPr>
  </w:style>
  <w:style w:type="paragraph" w:styleId="33">
    <w:name w:val="index 1"/>
    <w:basedOn w:val="1"/>
    <w:next w:val="1"/>
    <w:qFormat/>
    <w:uiPriority w:val="0"/>
    <w:rPr>
      <w:szCs w:val="20"/>
    </w:rPr>
  </w:style>
  <w:style w:type="paragraph" w:styleId="34">
    <w:name w:val="toc 6"/>
    <w:basedOn w:val="1"/>
    <w:next w:val="1"/>
    <w:qFormat/>
    <w:uiPriority w:val="39"/>
    <w:pPr>
      <w:ind w:left="1050"/>
      <w:jc w:val="left"/>
    </w:pPr>
    <w:rPr>
      <w:sz w:val="20"/>
      <w:szCs w:val="20"/>
    </w:rPr>
  </w:style>
  <w:style w:type="paragraph" w:styleId="35">
    <w:name w:val="Body Text Indent 3"/>
    <w:basedOn w:val="1"/>
    <w:qFormat/>
    <w:uiPriority w:val="0"/>
    <w:pPr>
      <w:spacing w:after="120"/>
      <w:ind w:left="420" w:leftChars="200"/>
    </w:pPr>
    <w:rPr>
      <w:sz w:val="16"/>
      <w:szCs w:val="16"/>
    </w:rPr>
  </w:style>
  <w:style w:type="paragraph" w:styleId="36">
    <w:name w:val="toc 2"/>
    <w:basedOn w:val="1"/>
    <w:next w:val="1"/>
    <w:link w:val="68"/>
    <w:qFormat/>
    <w:uiPriority w:val="39"/>
    <w:pPr>
      <w:spacing w:before="120"/>
      <w:ind w:left="210"/>
      <w:jc w:val="left"/>
    </w:pPr>
    <w:rPr>
      <w:b/>
      <w:bCs/>
      <w:sz w:val="22"/>
      <w:szCs w:val="22"/>
    </w:rPr>
  </w:style>
  <w:style w:type="paragraph" w:styleId="37">
    <w:name w:val="toc 9"/>
    <w:basedOn w:val="1"/>
    <w:next w:val="1"/>
    <w:qFormat/>
    <w:uiPriority w:val="39"/>
    <w:pPr>
      <w:ind w:left="1680"/>
      <w:jc w:val="left"/>
    </w:pPr>
    <w:rPr>
      <w:sz w:val="20"/>
      <w:szCs w:val="20"/>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Autospacing="1" w:afterAutospacing="1"/>
      <w:jc w:val="left"/>
    </w:pPr>
    <w:rPr>
      <w:rFonts w:hint="eastAsia" w:ascii="宋体" w:hAnsi="宋体"/>
      <w:kern w:val="0"/>
      <w:sz w:val="24"/>
    </w:rPr>
  </w:style>
  <w:style w:type="paragraph" w:styleId="40">
    <w:name w:val="Title"/>
    <w:basedOn w:val="1"/>
    <w:next w:val="1"/>
    <w:qFormat/>
    <w:uiPriority w:val="0"/>
    <w:pPr>
      <w:spacing w:before="240" w:after="60"/>
      <w:jc w:val="center"/>
      <w:outlineLvl w:val="0"/>
    </w:pPr>
    <w:rPr>
      <w:rFonts w:ascii="Cambria" w:hAnsi="Cambria"/>
      <w:b/>
      <w:bCs/>
      <w:sz w:val="32"/>
      <w:szCs w:val="32"/>
    </w:rPr>
  </w:style>
  <w:style w:type="paragraph" w:styleId="41">
    <w:name w:val="annotation subject"/>
    <w:basedOn w:val="17"/>
    <w:next w:val="17"/>
    <w:link w:val="69"/>
    <w:qFormat/>
    <w:uiPriority w:val="99"/>
  </w:style>
  <w:style w:type="paragraph" w:styleId="42">
    <w:name w:val="Body Text First Indent"/>
    <w:basedOn w:val="18"/>
    <w:qFormat/>
    <w:uiPriority w:val="0"/>
    <w:pPr>
      <w:ind w:firstLine="420" w:firstLineChars="100"/>
    </w:pPr>
  </w:style>
  <w:style w:type="paragraph" w:styleId="43">
    <w:name w:val="Body Text First Indent 2"/>
    <w:basedOn w:val="19"/>
    <w:qFormat/>
    <w:uiPriority w:val="0"/>
    <w:pPr>
      <w:tabs>
        <w:tab w:val="left" w:pos="720"/>
        <w:tab w:val="left" w:pos="9240"/>
      </w:tabs>
      <w:spacing w:line="360" w:lineRule="auto"/>
      <w:ind w:firstLine="420" w:firstLineChars="200"/>
    </w:pPr>
    <w:rPr>
      <w:rFonts w:ascii="Times New Roman"/>
      <w:sz w:val="24"/>
      <w:szCs w:val="24"/>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page number"/>
    <w:qFormat/>
    <w:uiPriority w:val="0"/>
  </w:style>
  <w:style w:type="character" w:styleId="48">
    <w:name w:val="FollowedHyperlink"/>
    <w:basedOn w:val="46"/>
    <w:semiHidden/>
    <w:unhideWhenUsed/>
    <w:qFormat/>
    <w:uiPriority w:val="99"/>
    <w:rPr>
      <w:rFonts w:hint="eastAsia" w:ascii="微软雅黑" w:hAnsi="微软雅黑" w:eastAsia="微软雅黑" w:cs="微软雅黑"/>
      <w:color w:val="02396F"/>
      <w:u w:val="single"/>
    </w:rPr>
  </w:style>
  <w:style w:type="character" w:styleId="49">
    <w:name w:val="Emphasis"/>
    <w:qFormat/>
    <w:uiPriority w:val="20"/>
    <w:rPr>
      <w:i/>
    </w:rPr>
  </w:style>
  <w:style w:type="character" w:styleId="50">
    <w:name w:val="Hyperlink"/>
    <w:qFormat/>
    <w:uiPriority w:val="99"/>
    <w:rPr>
      <w:color w:val="0563C1"/>
      <w:u w:val="single"/>
    </w:rPr>
  </w:style>
  <w:style w:type="character" w:styleId="51">
    <w:name w:val="annotation reference"/>
    <w:qFormat/>
    <w:uiPriority w:val="99"/>
    <w:rPr>
      <w:sz w:val="21"/>
      <w:szCs w:val="21"/>
    </w:rPr>
  </w:style>
  <w:style w:type="paragraph" w:customStyle="1" w:styleId="52">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character" w:customStyle="1" w:styleId="53">
    <w:name w:val="标题 2 Char"/>
    <w:link w:val="4"/>
    <w:qFormat/>
    <w:uiPriority w:val="0"/>
    <w:rPr>
      <w:rFonts w:ascii="Arial" w:hAnsi="Arial" w:eastAsia="黑体"/>
      <w:b/>
      <w:bCs/>
      <w:kern w:val="2"/>
      <w:sz w:val="32"/>
      <w:szCs w:val="32"/>
    </w:rPr>
  </w:style>
  <w:style w:type="character" w:customStyle="1" w:styleId="54">
    <w:name w:val="标题 3 Char"/>
    <w:link w:val="5"/>
    <w:qFormat/>
    <w:uiPriority w:val="0"/>
    <w:rPr>
      <w:b/>
      <w:bCs/>
      <w:kern w:val="2"/>
      <w:sz w:val="32"/>
      <w:szCs w:val="32"/>
    </w:rPr>
  </w:style>
  <w:style w:type="character" w:customStyle="1" w:styleId="55">
    <w:name w:val="标题 4 Char"/>
    <w:link w:val="6"/>
    <w:qFormat/>
    <w:uiPriority w:val="0"/>
    <w:rPr>
      <w:rFonts w:ascii="Arial" w:hAnsi="Arial" w:eastAsia="黑体"/>
      <w:b/>
      <w:bCs/>
      <w:kern w:val="2"/>
      <w:sz w:val="28"/>
      <w:szCs w:val="28"/>
    </w:rPr>
  </w:style>
  <w:style w:type="character" w:customStyle="1" w:styleId="56">
    <w:name w:val="标题 5 Char"/>
    <w:link w:val="7"/>
    <w:qFormat/>
    <w:uiPriority w:val="0"/>
    <w:rPr>
      <w:rFonts w:ascii="Times New Roman" w:hAnsi="Times New Roman" w:eastAsia="宋体" w:cs="Times New Roman"/>
      <w:b/>
      <w:bCs/>
      <w:kern w:val="2"/>
      <w:sz w:val="28"/>
      <w:szCs w:val="28"/>
    </w:rPr>
  </w:style>
  <w:style w:type="character" w:customStyle="1" w:styleId="57">
    <w:name w:val="标题 6 Char"/>
    <w:link w:val="8"/>
    <w:qFormat/>
    <w:uiPriority w:val="0"/>
    <w:rPr>
      <w:rFonts w:ascii="Arial" w:hAnsi="Arial" w:eastAsia="黑体" w:cs="Times New Roman"/>
      <w:b/>
      <w:bCs/>
      <w:kern w:val="2"/>
      <w:sz w:val="24"/>
      <w:szCs w:val="24"/>
    </w:rPr>
  </w:style>
  <w:style w:type="character" w:customStyle="1" w:styleId="58">
    <w:name w:val="标题 7 Char"/>
    <w:link w:val="9"/>
    <w:qFormat/>
    <w:uiPriority w:val="0"/>
    <w:rPr>
      <w:rFonts w:ascii="Times New Roman" w:hAnsi="Times New Roman" w:eastAsia="宋体" w:cs="Times New Roman"/>
      <w:b/>
      <w:bCs/>
      <w:kern w:val="2"/>
      <w:sz w:val="24"/>
      <w:szCs w:val="24"/>
    </w:rPr>
  </w:style>
  <w:style w:type="character" w:customStyle="1" w:styleId="59">
    <w:name w:val="标题 8 Char"/>
    <w:link w:val="10"/>
    <w:qFormat/>
    <w:uiPriority w:val="0"/>
    <w:rPr>
      <w:rFonts w:ascii="Arial" w:hAnsi="Arial" w:eastAsia="黑体" w:cs="Times New Roman"/>
      <w:kern w:val="2"/>
      <w:sz w:val="24"/>
      <w:szCs w:val="24"/>
    </w:rPr>
  </w:style>
  <w:style w:type="character" w:customStyle="1" w:styleId="60">
    <w:name w:val="标题 9 Char"/>
    <w:link w:val="11"/>
    <w:qFormat/>
    <w:uiPriority w:val="0"/>
    <w:rPr>
      <w:rFonts w:ascii="Arial" w:hAnsi="Arial" w:eastAsia="黑体" w:cs="Times New Roman"/>
      <w:kern w:val="2"/>
      <w:sz w:val="28"/>
      <w:szCs w:val="21"/>
    </w:rPr>
  </w:style>
  <w:style w:type="character" w:customStyle="1" w:styleId="61">
    <w:name w:val="正文缩进 Char"/>
    <w:link w:val="13"/>
    <w:qFormat/>
    <w:uiPriority w:val="99"/>
    <w:rPr>
      <w:kern w:val="2"/>
      <w:sz w:val="21"/>
    </w:rPr>
  </w:style>
  <w:style w:type="character" w:customStyle="1" w:styleId="62">
    <w:name w:val="文档结构图 Char"/>
    <w:link w:val="15"/>
    <w:qFormat/>
    <w:uiPriority w:val="0"/>
    <w:rPr>
      <w:rFonts w:ascii="宋体" w:eastAsia="宋体"/>
      <w:kern w:val="2"/>
      <w:sz w:val="18"/>
      <w:szCs w:val="18"/>
    </w:rPr>
  </w:style>
  <w:style w:type="character" w:customStyle="1" w:styleId="63">
    <w:name w:val="批注文字 Char"/>
    <w:link w:val="17"/>
    <w:qFormat/>
    <w:uiPriority w:val="0"/>
    <w:rPr>
      <w:kern w:val="2"/>
      <w:sz w:val="21"/>
      <w:szCs w:val="24"/>
    </w:rPr>
  </w:style>
  <w:style w:type="character" w:customStyle="1" w:styleId="64">
    <w:name w:val="纯文本 Char"/>
    <w:link w:val="22"/>
    <w:qFormat/>
    <w:uiPriority w:val="0"/>
    <w:rPr>
      <w:rFonts w:ascii="宋体" w:hAnsi="Courier New"/>
      <w:kern w:val="2"/>
      <w:sz w:val="21"/>
      <w:szCs w:val="24"/>
    </w:rPr>
  </w:style>
  <w:style w:type="character" w:customStyle="1" w:styleId="65">
    <w:name w:val="批注框文本 Char"/>
    <w:link w:val="26"/>
    <w:qFormat/>
    <w:uiPriority w:val="99"/>
    <w:rPr>
      <w:kern w:val="2"/>
      <w:sz w:val="18"/>
      <w:szCs w:val="18"/>
    </w:rPr>
  </w:style>
  <w:style w:type="character" w:customStyle="1" w:styleId="66">
    <w:name w:val="页脚 Char"/>
    <w:link w:val="27"/>
    <w:qFormat/>
    <w:uiPriority w:val="99"/>
    <w:rPr>
      <w:kern w:val="2"/>
      <w:sz w:val="18"/>
      <w:szCs w:val="24"/>
    </w:rPr>
  </w:style>
  <w:style w:type="character" w:customStyle="1" w:styleId="67">
    <w:name w:val="页眉 Char"/>
    <w:link w:val="29"/>
    <w:qFormat/>
    <w:uiPriority w:val="99"/>
    <w:rPr>
      <w:kern w:val="2"/>
      <w:sz w:val="18"/>
      <w:szCs w:val="18"/>
    </w:rPr>
  </w:style>
  <w:style w:type="character" w:customStyle="1" w:styleId="68">
    <w:name w:val="目录 2 Char"/>
    <w:link w:val="36"/>
    <w:qFormat/>
    <w:uiPriority w:val="39"/>
    <w:rPr>
      <w:b/>
      <w:bCs/>
      <w:kern w:val="2"/>
      <w:sz w:val="22"/>
      <w:szCs w:val="22"/>
    </w:rPr>
  </w:style>
  <w:style w:type="character" w:customStyle="1" w:styleId="69">
    <w:name w:val="批注主题 Char"/>
    <w:link w:val="41"/>
    <w:qFormat/>
    <w:uiPriority w:val="99"/>
    <w:rPr>
      <w:kern w:val="2"/>
      <w:sz w:val="21"/>
      <w:szCs w:val="24"/>
    </w:rPr>
  </w:style>
  <w:style w:type="paragraph" w:customStyle="1" w:styleId="70">
    <w:name w:val="_Style 3"/>
    <w:basedOn w:val="1"/>
    <w:next w:val="35"/>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71">
    <w:name w:val="正文正"/>
    <w:basedOn w:val="1"/>
    <w:qFormat/>
    <w:uiPriority w:val="0"/>
    <w:pPr>
      <w:spacing w:line="560" w:lineRule="exact"/>
      <w:ind w:firstLine="561"/>
    </w:pPr>
    <w:rPr>
      <w:rFonts w:eastAsia="仿宋_GB2312"/>
      <w:sz w:val="28"/>
    </w:rPr>
  </w:style>
  <w:style w:type="character" w:customStyle="1" w:styleId="72">
    <w:name w:val="列出段落 Char"/>
    <w:link w:val="73"/>
    <w:qFormat/>
    <w:uiPriority w:val="34"/>
    <w:rPr>
      <w:kern w:val="2"/>
      <w:sz w:val="21"/>
      <w:szCs w:val="24"/>
    </w:rPr>
  </w:style>
  <w:style w:type="paragraph" w:styleId="73">
    <w:name w:val="List Paragraph"/>
    <w:basedOn w:val="1"/>
    <w:link w:val="72"/>
    <w:qFormat/>
    <w:uiPriority w:val="34"/>
    <w:pPr>
      <w:ind w:firstLine="420" w:firstLineChars="200"/>
    </w:pPr>
  </w:style>
  <w:style w:type="character" w:customStyle="1" w:styleId="74">
    <w:name w:val="p141"/>
    <w:qFormat/>
    <w:uiPriority w:val="0"/>
    <w:rPr>
      <w:sz w:val="21"/>
    </w:rPr>
  </w:style>
  <w:style w:type="character" w:customStyle="1" w:styleId="75">
    <w:name w:val="不明显强调1"/>
    <w:qFormat/>
    <w:uiPriority w:val="19"/>
    <w:rPr>
      <w:i/>
      <w:iCs/>
      <w:color w:val="404040"/>
    </w:rPr>
  </w:style>
  <w:style w:type="paragraph" w:customStyle="1" w:styleId="76">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7">
    <w:name w:val="题注4"/>
    <w:basedOn w:val="1"/>
    <w:next w:val="14"/>
    <w:qFormat/>
    <w:uiPriority w:val="0"/>
    <w:pPr>
      <w:ind w:left="-132" w:leftChars="-64" w:right="-105" w:rightChars="-50" w:hanging="2"/>
      <w:jc w:val="center"/>
    </w:pPr>
    <w:rPr>
      <w:b/>
      <w:color w:val="FF0000"/>
      <w:szCs w:val="21"/>
      <w:lang w:val="en-GB"/>
    </w:rPr>
  </w:style>
  <w:style w:type="paragraph" w:customStyle="1" w:styleId="78">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7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80">
    <w:name w:val="修订1"/>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styleId="8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题注5"/>
    <w:basedOn w:val="1"/>
    <w:next w:val="14"/>
    <w:qFormat/>
    <w:uiPriority w:val="0"/>
    <w:pPr>
      <w:jc w:val="center"/>
    </w:pPr>
    <w:rPr>
      <w:b/>
      <w:color w:val="000000"/>
      <w:sz w:val="24"/>
      <w:szCs w:val="21"/>
    </w:rPr>
  </w:style>
  <w:style w:type="paragraph" w:customStyle="1" w:styleId="84">
    <w:name w:val="修订2"/>
    <w:qFormat/>
    <w:uiPriority w:val="99"/>
    <w:rPr>
      <w:rFonts w:ascii="Times New Roman" w:hAnsi="Times New Roman" w:eastAsia="宋体" w:cs="Times New Roman"/>
      <w:kern w:val="2"/>
      <w:sz w:val="21"/>
      <w:szCs w:val="24"/>
      <w:lang w:val="en-US" w:eastAsia="zh-CN" w:bidi="ar-SA"/>
    </w:rPr>
  </w:style>
  <w:style w:type="paragraph" w:customStyle="1" w:styleId="85">
    <w:name w:val="表格文字"/>
    <w:basedOn w:val="1"/>
    <w:qFormat/>
    <w:uiPriority w:val="0"/>
    <w:pPr>
      <w:spacing w:before="25" w:after="25"/>
      <w:jc w:val="left"/>
    </w:pPr>
    <w:rPr>
      <w:bCs/>
      <w:spacing w:val="10"/>
      <w:kern w:val="0"/>
      <w:sz w:val="24"/>
      <w:szCs w:val="20"/>
    </w:rPr>
  </w:style>
  <w:style w:type="paragraph" w:customStyle="1" w:styleId="8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Table Paragraph"/>
    <w:basedOn w:val="1"/>
    <w:qFormat/>
    <w:uiPriority w:val="1"/>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列出段落2"/>
    <w:basedOn w:val="1"/>
    <w:qFormat/>
    <w:uiPriority w:val="99"/>
    <w:pPr>
      <w:ind w:firstLine="420" w:firstLineChars="200"/>
    </w:pPr>
    <w:rPr>
      <w:szCs w:val="22"/>
    </w:rPr>
  </w:style>
  <w:style w:type="paragraph" w:customStyle="1" w:styleId="90">
    <w:name w:val="列出段落1"/>
    <w:basedOn w:val="1"/>
    <w:next w:val="1"/>
    <w:qFormat/>
    <w:uiPriority w:val="34"/>
    <w:pPr>
      <w:ind w:firstLine="420" w:firstLineChars="200"/>
    </w:pPr>
  </w:style>
  <w:style w:type="paragraph" w:customStyle="1" w:styleId="91">
    <w:name w:val="列出段落3"/>
    <w:basedOn w:val="1"/>
    <w:qFormat/>
    <w:uiPriority w:val="34"/>
    <w:pPr>
      <w:ind w:firstLine="420" w:firstLineChars="200"/>
    </w:pPr>
    <w:rPr>
      <w:szCs w:val="22"/>
    </w:rPr>
  </w:style>
  <w:style w:type="paragraph" w:customStyle="1" w:styleId="92">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首行缩进"/>
    <w:basedOn w:val="1"/>
    <w:qFormat/>
    <w:uiPriority w:val="0"/>
    <w:pPr>
      <w:ind w:firstLine="480" w:firstLineChars="200"/>
    </w:pPr>
    <w:rPr>
      <w:lang w:val="zh-CN"/>
    </w:rPr>
  </w:style>
  <w:style w:type="paragraph" w:customStyle="1" w:styleId="94">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5">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6">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7">
    <w:name w:val="单元格文字（居左）"/>
    <w:basedOn w:val="1"/>
    <w:qFormat/>
    <w:uiPriority w:val="0"/>
    <w:pPr>
      <w:spacing w:line="312" w:lineRule="auto"/>
    </w:pPr>
    <w:rPr>
      <w:rFonts w:cs="宋体"/>
      <w:szCs w:val="20"/>
    </w:rPr>
  </w:style>
  <w:style w:type="character" w:customStyle="1" w:styleId="98">
    <w:name w:val="font01"/>
    <w:qFormat/>
    <w:uiPriority w:val="99"/>
    <w:rPr>
      <w:rFonts w:ascii="宋体" w:hAnsi="宋体" w:eastAsia="宋体" w:cs="宋体"/>
      <w:color w:val="000000"/>
      <w:sz w:val="24"/>
      <w:szCs w:val="24"/>
      <w:u w:val="none"/>
    </w:rPr>
  </w:style>
  <w:style w:type="paragraph" w:customStyle="1" w:styleId="99">
    <w:name w:val="*正文"/>
    <w:basedOn w:val="1"/>
    <w:qFormat/>
    <w:uiPriority w:val="0"/>
    <w:pPr>
      <w:widowControl/>
      <w:spacing w:line="360" w:lineRule="auto"/>
      <w:ind w:firstLine="480" w:firstLineChars="200"/>
    </w:pPr>
    <w:rPr>
      <w:rFonts w:hAnsi="宋体"/>
    </w:rPr>
  </w:style>
  <w:style w:type="paragraph" w:customStyle="1" w:styleId="100">
    <w:name w:val="缺省文本"/>
    <w:basedOn w:val="1"/>
    <w:qFormat/>
    <w:uiPriority w:val="0"/>
    <w:pPr>
      <w:jc w:val="left"/>
    </w:pPr>
    <w:rPr>
      <w:rFonts w:ascii="Calibri" w:hAnsi="Calibri"/>
    </w:rPr>
  </w:style>
  <w:style w:type="paragraph" w:customStyle="1" w:styleId="101">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02">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普通正文缩进2字符"/>
    <w:basedOn w:val="1"/>
    <w:qFormat/>
    <w:uiPriority w:val="99"/>
    <w:pPr>
      <w:ind w:firstLine="200" w:firstLineChars="200"/>
    </w:pPr>
    <w:rPr>
      <w:rFonts w:ascii="Courier New" w:hAnsi="Courier New" w:cs="Courier New"/>
    </w:rPr>
  </w:style>
  <w:style w:type="paragraph" w:customStyle="1" w:styleId="104">
    <w:name w:val="null3"/>
    <w:qFormat/>
    <w:uiPriority w:val="0"/>
    <w:rPr>
      <w:rFonts w:hint="eastAsia" w:ascii="Calibri" w:hAnsi="Calibri" w:eastAsia="宋体" w:cs="Times New Roman"/>
      <w:lang w:val="en-US" w:eastAsia="zh-CN" w:bidi="ar-SA"/>
    </w:rPr>
  </w:style>
  <w:style w:type="paragraph" w:customStyle="1" w:styleId="105">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06">
    <w:name w:val="displayarti"/>
    <w:basedOn w:val="46"/>
    <w:qFormat/>
    <w:uiPriority w:val="0"/>
    <w:rPr>
      <w:color w:val="FFFFFF"/>
      <w:shd w:val="clear" w:color="auto" w:fill="A00000"/>
    </w:rPr>
  </w:style>
  <w:style w:type="character" w:customStyle="1" w:styleId="107">
    <w:name w:val="prev"/>
    <w:basedOn w:val="46"/>
    <w:qFormat/>
    <w:uiPriority w:val="0"/>
    <w:rPr>
      <w:color w:val="888888"/>
    </w:rPr>
  </w:style>
  <w:style w:type="character" w:customStyle="1" w:styleId="108">
    <w:name w:val="prev1"/>
    <w:basedOn w:val="46"/>
    <w:qFormat/>
    <w:uiPriority w:val="0"/>
    <w:rPr>
      <w:rFonts w:ascii="微软雅黑" w:hAnsi="微软雅黑" w:eastAsia="微软雅黑" w:cs="微软雅黑"/>
      <w:sz w:val="21"/>
      <w:szCs w:val="21"/>
    </w:rPr>
  </w:style>
  <w:style w:type="character" w:customStyle="1" w:styleId="109">
    <w:name w:val="cfdate"/>
    <w:basedOn w:val="46"/>
    <w:qFormat/>
    <w:uiPriority w:val="0"/>
    <w:rPr>
      <w:color w:val="333333"/>
      <w:sz w:val="18"/>
      <w:szCs w:val="18"/>
    </w:rPr>
  </w:style>
  <w:style w:type="character" w:customStyle="1" w:styleId="110">
    <w:name w:val="gjfg"/>
    <w:basedOn w:val="46"/>
    <w:qFormat/>
    <w:uiPriority w:val="0"/>
  </w:style>
  <w:style w:type="character" w:customStyle="1" w:styleId="111">
    <w:name w:val="next2"/>
    <w:basedOn w:val="46"/>
    <w:qFormat/>
    <w:uiPriority w:val="0"/>
    <w:rPr>
      <w:color w:val="888888"/>
    </w:rPr>
  </w:style>
  <w:style w:type="character" w:customStyle="1" w:styleId="112">
    <w:name w:val="next3"/>
    <w:basedOn w:val="46"/>
    <w:qFormat/>
    <w:uiPriority w:val="0"/>
    <w:rPr>
      <w:rFonts w:hint="eastAsia" w:ascii="微软雅黑" w:hAnsi="微软雅黑" w:eastAsia="微软雅黑" w:cs="微软雅黑"/>
      <w:sz w:val="21"/>
      <w:szCs w:val="21"/>
    </w:rPr>
  </w:style>
  <w:style w:type="character" w:customStyle="1" w:styleId="113">
    <w:name w:val="redfilefwwh"/>
    <w:basedOn w:val="46"/>
    <w:qFormat/>
    <w:uiPriority w:val="0"/>
    <w:rPr>
      <w:color w:val="BA2636"/>
      <w:sz w:val="18"/>
      <w:szCs w:val="18"/>
    </w:rPr>
  </w:style>
  <w:style w:type="character" w:customStyle="1" w:styleId="114">
    <w:name w:val="qxdate"/>
    <w:basedOn w:val="46"/>
    <w:qFormat/>
    <w:uiPriority w:val="0"/>
    <w:rPr>
      <w:color w:val="333333"/>
      <w:sz w:val="18"/>
      <w:szCs w:val="18"/>
    </w:rPr>
  </w:style>
  <w:style w:type="character" w:customStyle="1" w:styleId="115">
    <w:name w:val="redfilenumber"/>
    <w:basedOn w:val="46"/>
    <w:qFormat/>
    <w:uiPriority w:val="0"/>
    <w:rPr>
      <w:color w:val="BA2636"/>
      <w:sz w:val="18"/>
      <w:szCs w:val="18"/>
    </w:rPr>
  </w:style>
  <w:style w:type="character" w:customStyle="1" w:styleId="116">
    <w:name w:val="next"/>
    <w:basedOn w:val="46"/>
    <w:qFormat/>
    <w:uiPriority w:val="0"/>
    <w:rPr>
      <w:rFonts w:ascii="微软雅黑" w:hAnsi="微软雅黑" w:eastAsia="微软雅黑" w:cs="微软雅黑"/>
      <w:sz w:val="21"/>
      <w:szCs w:val="21"/>
    </w:rPr>
  </w:style>
  <w:style w:type="character" w:customStyle="1" w:styleId="117">
    <w:name w:val="next1"/>
    <w:basedOn w:val="46"/>
    <w:qFormat/>
    <w:uiPriority w:val="0"/>
    <w:rPr>
      <w:color w:val="888888"/>
    </w:rPr>
  </w:style>
  <w:style w:type="character" w:customStyle="1" w:styleId="118">
    <w:name w:val="prev2"/>
    <w:basedOn w:val="46"/>
    <w:qFormat/>
    <w:uiPriority w:val="0"/>
    <w:rPr>
      <w:rFonts w:ascii="微软雅黑" w:hAnsi="微软雅黑" w:eastAsia="微软雅黑" w:cs="微软雅黑"/>
      <w:sz w:val="21"/>
      <w:szCs w:val="21"/>
    </w:rPr>
  </w:style>
  <w:style w:type="paragraph" w:customStyle="1" w:styleId="11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2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2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25">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26">
    <w:name w:val="正文缩进1"/>
    <w:basedOn w:val="1"/>
    <w:next w:val="1"/>
    <w:qFormat/>
    <w:uiPriority w:val="0"/>
    <w:pPr>
      <w:adjustRightInd w:val="0"/>
      <w:snapToGrid w:val="0"/>
      <w:spacing w:line="360" w:lineRule="auto"/>
      <w:ind w:left="1270"/>
      <w:textAlignment w:val="baseline"/>
    </w:pPr>
    <w:rPr>
      <w:rFonts w:ascii="Arial" w:hAnsi="Arial" w:eastAsia="仿宋_GB2312"/>
      <w:color w:val="000000"/>
      <w:kern w:val="0"/>
      <w:sz w:val="24"/>
      <w:szCs w:val="20"/>
    </w:rPr>
  </w:style>
  <w:style w:type="paragraph" w:customStyle="1" w:styleId="127">
    <w:name w:val="0d7c9686-6cc7-4172-bf19-7b8f5cff8c60"/>
    <w:basedOn w:val="5"/>
    <w:next w:val="128"/>
    <w:qFormat/>
    <w:uiPriority w:val="0"/>
    <w:pPr>
      <w:numPr>
        <w:ilvl w:val="0"/>
        <w:numId w:val="1"/>
      </w:numPr>
      <w:adjustRightInd w:val="0"/>
      <w:spacing w:line="600" w:lineRule="exact"/>
    </w:pPr>
    <w:rPr>
      <w:rFonts w:ascii="仿宋" w:hAnsi="仿宋" w:eastAsia="楷体"/>
      <w:color w:val="000000"/>
      <w:sz w:val="32"/>
    </w:rPr>
  </w:style>
  <w:style w:type="paragraph" w:customStyle="1" w:styleId="128">
    <w:name w:val="7e8dc108-4af0-426d-bb9c-8f96acaaca48"/>
    <w:basedOn w:val="18"/>
    <w:qFormat/>
    <w:uiPriority w:val="0"/>
    <w:pPr>
      <w:adjustRightInd w:val="0"/>
      <w:spacing w:after="0" w:line="600" w:lineRule="exact"/>
      <w:ind w:firstLine="0"/>
    </w:pPr>
    <w:rPr>
      <w:rFonts w:ascii="仿宋" w:hAnsi="仿宋" w:eastAsia="仿宋" w:cstheme="majorBidi"/>
      <w:color w:val="000000"/>
      <w:sz w:val="32"/>
    </w:rPr>
  </w:style>
  <w:style w:type="paragraph" w:customStyle="1" w:styleId="129">
    <w:name w:val="1e8f3434-5774-485d-9dbd-cb1217e81617"/>
    <w:basedOn w:val="6"/>
    <w:next w:val="128"/>
    <w:qFormat/>
    <w:uiPriority w:val="0"/>
    <w:pPr>
      <w:numPr>
        <w:ilvl w:val="0"/>
        <w:numId w:val="1"/>
      </w:numPr>
      <w:adjustRightInd w:val="0"/>
      <w:spacing w:line="600" w:lineRule="exact"/>
    </w:pPr>
    <w:rPr>
      <w:rFonts w:ascii="仿宋" w:hAnsi="仿宋" w:eastAsia="楷体"/>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17087</Words>
  <Characters>17830</Characters>
  <Lines>328</Lines>
  <Paragraphs>92</Paragraphs>
  <TotalTime>0</TotalTime>
  <ScaleCrop>false</ScaleCrop>
  <LinksUpToDate>false</LinksUpToDate>
  <CharactersWithSpaces>17958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李伟</dc:creator>
  <cp:lastModifiedBy>clb</cp:lastModifiedBy>
  <cp:lastPrinted>2021-05-11T16:56:00Z</cp:lastPrinted>
  <dcterms:modified xsi:type="dcterms:W3CDTF">2025-02-25T09:40:28Z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328A0B127B2F484F8E88CE88102134A4_13</vt:lpwstr>
  </property>
  <property fmtid="{D5CDD505-2E9C-101B-9397-08002B2CF9AE}" pid="4" name="KSOTemplateDocerSaveRecord">
    <vt:lpwstr>eyJoZGlkIjoiZDQwZDNiMmNiOWU1MGExZTQxZThiZTljOGQ2ZWNkMWIiLCJ1c2VySWQiOiIyNjA4MjU3MTIifQ==</vt:lpwstr>
  </property>
</Properties>
</file>