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F83C7E">
      <w:pPr>
        <w:spacing w:before="120" w:after="240"/>
        <w:rPr>
          <w:rFonts w:hint="eastAsia" w:ascii="仿宋_GB2312" w:hAnsi="宋体" w:eastAsia="仿宋_GB2312"/>
          <w:sz w:val="28"/>
        </w:rPr>
      </w:pPr>
    </w:p>
    <w:p w14:paraId="5E0DFC42">
      <w:pPr>
        <w:spacing w:before="120" w:after="240"/>
        <w:rPr>
          <w:rFonts w:hint="eastAsia" w:eastAsia="隶书"/>
          <w:sz w:val="52"/>
          <w:szCs w:val="52"/>
        </w:rPr>
      </w:pPr>
    </w:p>
    <w:p w14:paraId="5182FC4C">
      <w:pPr>
        <w:pStyle w:val="36"/>
        <w:spacing w:after="0" w:line="360" w:lineRule="auto"/>
        <w:rPr>
          <w:rFonts w:ascii="宋体" w:hAnsi="宋体" w:eastAsia="宋体"/>
          <w:b/>
          <w:bCs/>
          <w:color w:val="000000"/>
          <w:sz w:val="44"/>
          <w:szCs w:val="44"/>
        </w:rPr>
      </w:pPr>
      <w:r>
        <w:rPr>
          <w:rFonts w:hint="eastAsia" w:ascii="宋体" w:hAnsi="宋体" w:eastAsia="宋体"/>
          <w:b/>
          <w:bCs/>
          <w:color w:val="000000"/>
          <w:sz w:val="44"/>
          <w:szCs w:val="44"/>
          <w:lang w:val="en-US" w:eastAsia="zh-Hans"/>
        </w:rPr>
        <w:t>徐州分公司</w:t>
      </w:r>
      <w:r>
        <w:rPr>
          <w:rFonts w:hint="eastAsia" w:ascii="宋体" w:hAnsi="宋体" w:eastAsia="宋体"/>
          <w:b/>
          <w:bCs/>
          <w:color w:val="000000"/>
          <w:sz w:val="44"/>
          <w:szCs w:val="44"/>
          <w:lang w:eastAsia="zh-CN"/>
        </w:rPr>
        <w:t>沛县某单位湖畔佳苑智能化建设ICT项目</w:t>
      </w:r>
      <w:r>
        <w:rPr>
          <w:rFonts w:hint="eastAsia" w:ascii="宋体" w:hAnsi="宋体" w:eastAsia="宋体"/>
          <w:b/>
          <w:bCs/>
          <w:color w:val="000000"/>
          <w:sz w:val="44"/>
          <w:szCs w:val="44"/>
        </w:rPr>
        <w:t>合同</w:t>
      </w:r>
    </w:p>
    <w:p w14:paraId="283DAD1E">
      <w:pPr>
        <w:pStyle w:val="36"/>
        <w:spacing w:after="0" w:line="360" w:lineRule="auto"/>
        <w:jc w:val="both"/>
        <w:rPr>
          <w:rFonts w:ascii="宋体" w:hAnsi="宋体" w:eastAsia="宋体"/>
          <w:b/>
          <w:bCs/>
          <w:color w:val="000000"/>
          <w:sz w:val="44"/>
          <w:szCs w:val="44"/>
        </w:rPr>
      </w:pPr>
    </w:p>
    <w:p w14:paraId="020D8664">
      <w:pPr>
        <w:spacing w:before="120" w:after="120"/>
        <w:rPr>
          <w:rFonts w:hint="eastAsia"/>
          <w:b/>
          <w:spacing w:val="20"/>
          <w:sz w:val="24"/>
        </w:rPr>
      </w:pPr>
    </w:p>
    <w:p w14:paraId="204A7378">
      <w:pPr>
        <w:spacing w:before="120" w:after="120"/>
        <w:rPr>
          <w:rFonts w:hint="eastAsia"/>
          <w:b/>
          <w:spacing w:val="20"/>
          <w:sz w:val="24"/>
        </w:rPr>
      </w:pPr>
    </w:p>
    <w:p w14:paraId="731D1F6C">
      <w:pPr>
        <w:snapToGrid w:val="0"/>
        <w:spacing w:line="360" w:lineRule="auto"/>
        <w:ind w:left="281" w:leftChars="134" w:firstLine="542" w:firstLineChars="193"/>
        <w:rPr>
          <w:rFonts w:ascii="黑体" w:eastAsia="黑体"/>
          <w:b/>
          <w:color w:val="000000"/>
          <w:spacing w:val="20"/>
          <w:sz w:val="24"/>
          <w:szCs w:val="24"/>
        </w:rPr>
      </w:pPr>
    </w:p>
    <w:p w14:paraId="2D20F815">
      <w:pPr>
        <w:snapToGrid w:val="0"/>
        <w:spacing w:line="360" w:lineRule="auto"/>
        <w:ind w:left="281" w:leftChars="134" w:firstLine="542" w:firstLineChars="193"/>
        <w:rPr>
          <w:rFonts w:ascii="黑体" w:eastAsia="黑体"/>
          <w:b/>
          <w:color w:val="000000"/>
          <w:spacing w:val="20"/>
          <w:sz w:val="24"/>
          <w:szCs w:val="24"/>
        </w:rPr>
      </w:pPr>
    </w:p>
    <w:p w14:paraId="7988F956">
      <w:pPr>
        <w:snapToGrid w:val="0"/>
        <w:spacing w:line="360" w:lineRule="auto"/>
        <w:ind w:left="281" w:leftChars="134" w:firstLine="542" w:firstLineChars="193"/>
        <w:rPr>
          <w:rFonts w:ascii="黑体" w:eastAsia="黑体"/>
          <w:b/>
          <w:color w:val="000000"/>
          <w:spacing w:val="20"/>
          <w:sz w:val="24"/>
          <w:szCs w:val="24"/>
        </w:rPr>
      </w:pPr>
    </w:p>
    <w:p w14:paraId="66894A4B">
      <w:pPr>
        <w:pStyle w:val="8"/>
      </w:pPr>
    </w:p>
    <w:p w14:paraId="0E60AB9A">
      <w:pPr>
        <w:widowControl/>
        <w:autoSpaceDE w:val="0"/>
        <w:autoSpaceDN w:val="0"/>
        <w:spacing w:line="500" w:lineRule="exact"/>
        <w:ind w:left="840" w:leftChars="0" w:firstLine="420" w:firstLineChars="0"/>
        <w:jc w:val="left"/>
        <w:textAlignment w:val="bottom"/>
        <w:rPr>
          <w:rFonts w:hint="eastAsia" w:ascii="黑体" w:hAnsi="黑体" w:eastAsia="黑体"/>
          <w:b/>
          <w:sz w:val="30"/>
          <w:szCs w:val="30"/>
        </w:rPr>
      </w:pPr>
      <w:r>
        <w:rPr>
          <w:rFonts w:hint="eastAsia" w:ascii="黑体" w:hAnsi="黑体" w:eastAsia="黑体"/>
          <w:b/>
          <w:sz w:val="30"/>
          <w:szCs w:val="30"/>
        </w:rPr>
        <w:t xml:space="preserve">甲方：中国移动通信集团江苏有限公司徐州分公司 </w:t>
      </w:r>
    </w:p>
    <w:p w14:paraId="0384EA35">
      <w:pPr>
        <w:widowControl/>
        <w:autoSpaceDE w:val="0"/>
        <w:autoSpaceDN w:val="0"/>
        <w:spacing w:line="500" w:lineRule="exact"/>
        <w:ind w:left="840" w:leftChars="0" w:firstLine="420" w:firstLineChars="0"/>
        <w:jc w:val="left"/>
        <w:textAlignment w:val="bottom"/>
        <w:rPr>
          <w:rFonts w:ascii="黑体" w:hAnsi="黑体" w:eastAsia="黑体"/>
          <w:b/>
          <w:sz w:val="30"/>
          <w:szCs w:val="30"/>
        </w:rPr>
      </w:pPr>
      <w:r>
        <w:rPr>
          <w:rFonts w:hint="eastAsia" w:ascii="黑体" w:hAnsi="黑体" w:eastAsia="黑体" w:cs="Times New Roman"/>
          <w:b/>
          <w:sz w:val="30"/>
          <w:szCs w:val="30"/>
        </w:rPr>
        <w:t xml:space="preserve">乙方： </w:t>
      </w:r>
    </w:p>
    <w:p w14:paraId="52EEE6A5">
      <w:pPr>
        <w:rPr>
          <w:rFonts w:ascii="宋体" w:hAnsi="宋体"/>
          <w:b/>
          <w:szCs w:val="24"/>
        </w:rPr>
      </w:pPr>
    </w:p>
    <w:p w14:paraId="104A92B1">
      <w:pPr>
        <w:rPr>
          <w:rFonts w:ascii="宋体" w:hAnsi="宋体"/>
          <w:b/>
          <w:szCs w:val="24"/>
        </w:rPr>
      </w:pPr>
    </w:p>
    <w:p w14:paraId="519DEB7D">
      <w:pPr>
        <w:rPr>
          <w:rFonts w:ascii="宋体" w:hAnsi="宋体"/>
          <w:b/>
          <w:szCs w:val="24"/>
        </w:rPr>
      </w:pPr>
    </w:p>
    <w:p w14:paraId="7FC65900">
      <w:pPr>
        <w:rPr>
          <w:rFonts w:ascii="宋体" w:hAnsi="宋体"/>
          <w:b/>
          <w:szCs w:val="24"/>
        </w:rPr>
      </w:pPr>
    </w:p>
    <w:p w14:paraId="7698A18A">
      <w:pPr>
        <w:rPr>
          <w:rFonts w:ascii="宋体" w:hAnsi="宋体"/>
          <w:b/>
          <w:szCs w:val="24"/>
        </w:rPr>
      </w:pPr>
    </w:p>
    <w:p w14:paraId="380046E1">
      <w:pPr>
        <w:rPr>
          <w:rFonts w:ascii="宋体" w:hAnsi="宋体"/>
          <w:b/>
          <w:szCs w:val="24"/>
        </w:rPr>
      </w:pPr>
    </w:p>
    <w:p w14:paraId="312C02E3">
      <w:pPr>
        <w:rPr>
          <w:rFonts w:ascii="宋体" w:hAnsi="宋体"/>
          <w:b/>
          <w:szCs w:val="24"/>
        </w:rPr>
      </w:pPr>
    </w:p>
    <w:p w14:paraId="06436227">
      <w:pPr>
        <w:rPr>
          <w:rFonts w:ascii="宋体" w:hAnsi="宋体"/>
          <w:b/>
          <w:szCs w:val="24"/>
        </w:rPr>
      </w:pPr>
    </w:p>
    <w:p w14:paraId="2DB4E82E">
      <w:pPr>
        <w:jc w:val="center"/>
        <w:rPr>
          <w:rFonts w:ascii="宋体" w:hAnsi="宋体"/>
          <w:b/>
          <w:szCs w:val="24"/>
        </w:rPr>
      </w:pPr>
      <w:r>
        <w:rPr>
          <w:rFonts w:hint="eastAsia" w:ascii="宋体" w:hAnsi="宋体"/>
          <w:szCs w:val="24"/>
        </w:rPr>
        <w:t>20</w:t>
      </w:r>
      <w:r>
        <w:rPr>
          <w:rFonts w:hint="eastAsia" w:ascii="宋体" w:hAnsi="宋体"/>
          <w:szCs w:val="24"/>
          <w:lang w:val="en-US" w:eastAsia="zh-CN"/>
        </w:rPr>
        <w:t>25</w:t>
      </w:r>
      <w:r>
        <w:rPr>
          <w:rFonts w:hint="eastAsia" w:ascii="宋体" w:hAnsi="宋体"/>
          <w:szCs w:val="24"/>
        </w:rPr>
        <w:t>年</w:t>
      </w:r>
      <w:r>
        <w:rPr>
          <w:rFonts w:hint="eastAsia" w:ascii="宋体" w:hAnsi="宋体"/>
          <w:szCs w:val="24"/>
          <w:lang w:val="en-US" w:eastAsia="zh-CN"/>
        </w:rPr>
        <w:t>1</w:t>
      </w:r>
      <w:r>
        <w:rPr>
          <w:rFonts w:hint="eastAsia" w:ascii="宋体" w:hAnsi="宋体"/>
          <w:szCs w:val="24"/>
        </w:rPr>
        <w:t>月</w:t>
      </w:r>
    </w:p>
    <w:p w14:paraId="5F0EE720">
      <w:pPr>
        <w:snapToGrid w:val="0"/>
        <w:spacing w:line="360" w:lineRule="auto"/>
        <w:ind w:left="281" w:leftChars="134" w:firstLine="542" w:firstLineChars="193"/>
        <w:rPr>
          <w:rFonts w:ascii="黑体" w:eastAsia="黑体"/>
          <w:b/>
          <w:color w:val="000000"/>
          <w:spacing w:val="20"/>
          <w:sz w:val="24"/>
          <w:szCs w:val="24"/>
        </w:rPr>
      </w:pPr>
    </w:p>
    <w:p w14:paraId="1AE2E6F3">
      <w:pPr>
        <w:snapToGrid w:val="0"/>
        <w:spacing w:line="360" w:lineRule="auto"/>
        <w:ind w:left="281" w:leftChars="134" w:firstLine="542" w:firstLineChars="193"/>
        <w:rPr>
          <w:rFonts w:ascii="黑体" w:eastAsia="黑体"/>
          <w:b/>
          <w:color w:val="000000"/>
          <w:spacing w:val="20"/>
          <w:sz w:val="24"/>
          <w:szCs w:val="24"/>
        </w:rPr>
      </w:pPr>
    </w:p>
    <w:p w14:paraId="15D631FA">
      <w:pPr>
        <w:snapToGrid w:val="0"/>
        <w:spacing w:line="360" w:lineRule="auto"/>
        <w:ind w:left="281" w:leftChars="134" w:firstLine="542" w:firstLineChars="193"/>
        <w:rPr>
          <w:rFonts w:ascii="黑体" w:eastAsia="黑体"/>
          <w:b/>
          <w:color w:val="000000"/>
          <w:spacing w:val="20"/>
          <w:sz w:val="24"/>
          <w:szCs w:val="24"/>
        </w:rPr>
      </w:pPr>
    </w:p>
    <w:p w14:paraId="68A32913">
      <w:pPr>
        <w:snapToGrid w:val="0"/>
        <w:spacing w:line="360" w:lineRule="auto"/>
        <w:ind w:left="281" w:leftChars="134" w:firstLine="542" w:firstLineChars="193"/>
        <w:rPr>
          <w:rFonts w:ascii="黑体" w:eastAsia="黑体"/>
          <w:b/>
          <w:color w:val="000000"/>
          <w:spacing w:val="20"/>
          <w:sz w:val="24"/>
          <w:szCs w:val="24"/>
        </w:rPr>
      </w:pPr>
    </w:p>
    <w:p w14:paraId="1EBB0859">
      <w:pPr>
        <w:snapToGrid w:val="0"/>
        <w:spacing w:line="360" w:lineRule="auto"/>
        <w:ind w:left="281" w:leftChars="134" w:firstLine="542" w:firstLineChars="193"/>
        <w:rPr>
          <w:rFonts w:ascii="黑体" w:eastAsia="黑体"/>
          <w:b/>
          <w:color w:val="000000"/>
          <w:spacing w:val="20"/>
          <w:sz w:val="24"/>
          <w:szCs w:val="24"/>
        </w:rPr>
      </w:pPr>
    </w:p>
    <w:p w14:paraId="2580E8BB">
      <w:pPr>
        <w:snapToGrid w:val="0"/>
        <w:spacing w:line="360" w:lineRule="auto"/>
        <w:ind w:left="281" w:leftChars="134" w:firstLine="542" w:firstLineChars="193"/>
        <w:rPr>
          <w:rFonts w:ascii="黑体" w:eastAsia="黑体"/>
          <w:b/>
          <w:color w:val="000000"/>
          <w:spacing w:val="20"/>
          <w:sz w:val="24"/>
          <w:szCs w:val="24"/>
        </w:rPr>
      </w:pPr>
    </w:p>
    <w:p w14:paraId="50F8770F">
      <w:pPr>
        <w:snapToGrid w:val="0"/>
        <w:spacing w:line="360" w:lineRule="auto"/>
        <w:ind w:left="281" w:leftChars="134" w:firstLine="542" w:firstLineChars="193"/>
        <w:rPr>
          <w:rFonts w:ascii="黑体" w:eastAsia="黑体"/>
          <w:b/>
          <w:color w:val="000000"/>
          <w:spacing w:val="20"/>
          <w:sz w:val="24"/>
          <w:szCs w:val="24"/>
        </w:rPr>
      </w:pPr>
    </w:p>
    <w:p w14:paraId="6CEDA60D">
      <w:pPr>
        <w:snapToGrid w:val="0"/>
        <w:spacing w:line="360" w:lineRule="auto"/>
        <w:rPr>
          <w:rFonts w:hint="eastAsia" w:ascii="黑体" w:eastAsia="黑体"/>
          <w:b/>
          <w:color w:val="000000"/>
          <w:spacing w:val="20"/>
          <w:sz w:val="24"/>
          <w:szCs w:val="24"/>
        </w:rPr>
      </w:pPr>
    </w:p>
    <w:p w14:paraId="52F04DAA">
      <w:pPr>
        <w:rPr>
          <w:rFonts w:hint="eastAsia" w:ascii="宋体" w:hAnsi="宋体"/>
          <w:sz w:val="24"/>
        </w:rPr>
        <w:sectPr>
          <w:headerReference r:id="rId3" w:type="default"/>
          <w:footerReference r:id="rId4" w:type="default"/>
          <w:pgSz w:w="11906" w:h="16838"/>
          <w:pgMar w:top="1440" w:right="1797" w:bottom="1440" w:left="1797" w:header="851" w:footer="992" w:gutter="0"/>
          <w:cols w:space="720" w:num="1"/>
          <w:docGrid w:linePitch="312" w:charSpace="0"/>
        </w:sectPr>
      </w:pPr>
      <w:bookmarkStart w:id="0" w:name="_Toc48999686"/>
      <w:bookmarkStart w:id="1" w:name="_Toc48999874"/>
    </w:p>
    <w:p w14:paraId="6C0527F1">
      <w:pPr>
        <w:ind w:firstLine="480" w:firstLineChars="200"/>
        <w:rPr>
          <w:rFonts w:hint="eastAsia" w:ascii="宋体" w:hAnsi="宋体"/>
          <w:sz w:val="24"/>
        </w:rPr>
      </w:pPr>
      <w:r>
        <w:rPr>
          <w:rFonts w:hint="eastAsia" w:ascii="宋体" w:hAnsi="宋体"/>
          <w:sz w:val="24"/>
        </w:rPr>
        <w:t>甲方：【中国移动通信集团江苏有限公司徐州分公司】</w:t>
      </w:r>
    </w:p>
    <w:p w14:paraId="34B15AB8">
      <w:pPr>
        <w:spacing w:line="500" w:lineRule="exact"/>
        <w:ind w:firstLine="480" w:firstLineChars="200"/>
        <w:rPr>
          <w:rFonts w:hint="eastAsia" w:ascii="宋体" w:hAnsi="宋体"/>
          <w:sz w:val="24"/>
        </w:rPr>
      </w:pPr>
      <w:r>
        <w:rPr>
          <w:rFonts w:hint="eastAsia" w:ascii="宋体" w:hAnsi="宋体"/>
          <w:sz w:val="24"/>
        </w:rPr>
        <w:t>法定地址：【</w:t>
      </w:r>
      <w:r>
        <w:rPr>
          <w:rFonts w:hint="eastAsia" w:ascii="宋体" w:hAnsi="宋体"/>
          <w:sz w:val="24"/>
          <w:lang w:val="en-GB"/>
        </w:rPr>
        <w:t xml:space="preserve">徐州市云龙区绿地商务城（B6-1地块）1号楼 </w:t>
      </w:r>
      <w:r>
        <w:rPr>
          <w:rFonts w:hint="eastAsia" w:ascii="宋体" w:hAnsi="宋体"/>
          <w:sz w:val="24"/>
        </w:rPr>
        <w:t>】</w:t>
      </w:r>
    </w:p>
    <w:p w14:paraId="42E5EA47">
      <w:pPr>
        <w:spacing w:line="500" w:lineRule="exact"/>
        <w:ind w:firstLine="480" w:firstLineChars="200"/>
        <w:rPr>
          <w:rFonts w:hint="eastAsia" w:ascii="宋体" w:hAnsi="宋体"/>
          <w:sz w:val="24"/>
        </w:rPr>
      </w:pPr>
      <w:r>
        <w:rPr>
          <w:rFonts w:hint="eastAsia" w:ascii="宋体" w:hAnsi="宋体"/>
          <w:sz w:val="24"/>
        </w:rPr>
        <w:t>法定代表人/</w:t>
      </w:r>
      <w:r>
        <w:rPr>
          <w:rFonts w:hint="eastAsia" w:ascii="宋体" w:hAnsi="宋体"/>
          <w:sz w:val="24"/>
          <w:lang w:val="en-US" w:eastAsia="zh-Hans"/>
        </w:rPr>
        <w:t>负责人</w:t>
      </w:r>
      <w:r>
        <w:rPr>
          <w:rFonts w:hint="eastAsia" w:ascii="宋体" w:hAnsi="宋体"/>
          <w:sz w:val="24"/>
        </w:rPr>
        <w:t>：【</w:t>
      </w:r>
      <w:r>
        <w:rPr>
          <w:rFonts w:hint="eastAsia" w:ascii="宋体" w:hAnsi="宋体"/>
          <w:color w:val="auto"/>
          <w:sz w:val="24"/>
          <w:lang w:val="en-US" w:eastAsia="zh-CN"/>
        </w:rPr>
        <w:t>许兴盛</w:t>
      </w:r>
      <w:r>
        <w:rPr>
          <w:rFonts w:hint="eastAsia" w:ascii="宋体" w:hAnsi="宋体"/>
          <w:sz w:val="24"/>
        </w:rPr>
        <w:t>】</w:t>
      </w:r>
    </w:p>
    <w:p w14:paraId="0197F129">
      <w:pPr>
        <w:spacing w:line="500" w:lineRule="exact"/>
        <w:ind w:firstLine="480" w:firstLineChars="200"/>
        <w:rPr>
          <w:rFonts w:hint="eastAsia" w:ascii="宋体" w:hAnsi="宋体"/>
          <w:sz w:val="24"/>
        </w:rPr>
      </w:pPr>
    </w:p>
    <w:p w14:paraId="3F972C86">
      <w:pPr>
        <w:spacing w:line="500" w:lineRule="exact"/>
        <w:ind w:firstLine="480" w:firstLineChars="200"/>
        <w:rPr>
          <w:rFonts w:hint="eastAsia" w:ascii="宋体" w:hAnsi="宋体"/>
          <w:sz w:val="24"/>
        </w:rPr>
      </w:pPr>
      <w:r>
        <w:rPr>
          <w:rFonts w:hint="eastAsia" w:ascii="宋体" w:hAnsi="宋体"/>
          <w:sz w:val="24"/>
        </w:rPr>
        <w:t xml:space="preserve">乙方：【 </w:t>
      </w:r>
      <w:r>
        <w:rPr>
          <w:rFonts w:ascii="宋体" w:hAnsi="宋体"/>
          <w:sz w:val="24"/>
        </w:rPr>
        <w:t xml:space="preserve">                           </w:t>
      </w:r>
      <w:r>
        <w:rPr>
          <w:rFonts w:hint="eastAsia" w:ascii="宋体" w:hAnsi="宋体"/>
          <w:sz w:val="24"/>
        </w:rPr>
        <w:t>】</w:t>
      </w:r>
    </w:p>
    <w:p w14:paraId="04C15A04">
      <w:pPr>
        <w:spacing w:line="500" w:lineRule="exact"/>
        <w:ind w:firstLine="480" w:firstLineChars="200"/>
        <w:rPr>
          <w:rFonts w:hint="eastAsia" w:ascii="宋体" w:hAnsi="宋体"/>
          <w:sz w:val="24"/>
        </w:rPr>
      </w:pPr>
      <w:r>
        <w:rPr>
          <w:rFonts w:hint="eastAsia" w:ascii="宋体" w:hAnsi="宋体"/>
          <w:sz w:val="24"/>
        </w:rPr>
        <w:t xml:space="preserve">法定地址：【 </w:t>
      </w:r>
      <w:r>
        <w:rPr>
          <w:rFonts w:ascii="宋体" w:hAnsi="宋体"/>
          <w:sz w:val="24"/>
        </w:rPr>
        <w:t xml:space="preserve">                       </w:t>
      </w:r>
      <w:r>
        <w:rPr>
          <w:rFonts w:hint="eastAsia" w:ascii="宋体" w:hAnsi="宋体"/>
          <w:sz w:val="24"/>
        </w:rPr>
        <w:t>】</w:t>
      </w:r>
    </w:p>
    <w:p w14:paraId="3F67F56E">
      <w:pPr>
        <w:spacing w:line="500" w:lineRule="exact"/>
        <w:ind w:firstLine="480" w:firstLineChars="200"/>
        <w:rPr>
          <w:rFonts w:hint="eastAsia" w:ascii="宋体" w:hAnsi="宋体"/>
          <w:sz w:val="24"/>
        </w:rPr>
      </w:pPr>
      <w:r>
        <w:rPr>
          <w:rFonts w:hint="eastAsia" w:ascii="宋体" w:hAnsi="宋体"/>
          <w:sz w:val="24"/>
        </w:rPr>
        <w:t xml:space="preserve">法定代表人：【 </w:t>
      </w:r>
      <w:r>
        <w:rPr>
          <w:rFonts w:ascii="宋体" w:hAnsi="宋体"/>
          <w:sz w:val="24"/>
        </w:rPr>
        <w:t xml:space="preserve">   </w:t>
      </w:r>
      <w:r>
        <w:rPr>
          <w:rFonts w:hint="eastAsia" w:ascii="宋体" w:hAnsi="宋体"/>
          <w:sz w:val="24"/>
        </w:rPr>
        <w:t>】</w:t>
      </w:r>
    </w:p>
    <w:p w14:paraId="7AD0F768">
      <w:pPr>
        <w:spacing w:line="500" w:lineRule="exact"/>
        <w:ind w:firstLine="480" w:firstLineChars="200"/>
        <w:rPr>
          <w:rFonts w:ascii="宋体" w:hAnsi="宋体"/>
          <w:sz w:val="24"/>
        </w:rPr>
      </w:pPr>
    </w:p>
    <w:p w14:paraId="6D715EB8">
      <w:pPr>
        <w:spacing w:line="500" w:lineRule="exact"/>
        <w:ind w:firstLine="480" w:firstLineChars="200"/>
        <w:rPr>
          <w:rFonts w:ascii="宋体" w:hAnsi="宋体"/>
          <w:sz w:val="24"/>
        </w:rPr>
      </w:pPr>
      <w:r>
        <w:rPr>
          <w:rFonts w:hint="eastAsia" w:ascii="宋体" w:hAnsi="宋体"/>
          <w:sz w:val="24"/>
        </w:rPr>
        <w:t>依据《中华人民共和国民法典》及其他有关法律、行政法规，遵循平等、自愿、公平和诚实信用的原则，经甲、乙友好协商，就乙方向甲方提供</w:t>
      </w:r>
      <w:r>
        <w:rPr>
          <w:rFonts w:hint="eastAsia" w:ascii="宋体" w:hAnsi="宋体"/>
          <w:sz w:val="24"/>
          <w:u w:val="single"/>
          <w:lang w:eastAsia="zh-CN"/>
        </w:rPr>
        <w:t>沛县某单位湖畔佳苑智能化建设ICT项目</w:t>
      </w:r>
      <w:r>
        <w:rPr>
          <w:rFonts w:hint="eastAsia" w:ascii="宋体" w:hAnsi="宋体"/>
          <w:sz w:val="24"/>
          <w:u w:val="none"/>
        </w:rPr>
        <w:t>的技术服务</w:t>
      </w:r>
      <w:r>
        <w:rPr>
          <w:rFonts w:hint="eastAsia" w:ascii="宋体" w:hAnsi="宋体"/>
          <w:sz w:val="24"/>
        </w:rPr>
        <w:t>事宜达成如下协议：</w:t>
      </w:r>
    </w:p>
    <w:bookmarkEnd w:id="0"/>
    <w:bookmarkEnd w:id="1"/>
    <w:p w14:paraId="6447A53C">
      <w:pPr>
        <w:pStyle w:val="3"/>
        <w:keepNext/>
        <w:keepLines/>
        <w:tabs>
          <w:tab w:val="left" w:pos="855"/>
          <w:tab w:val="left" w:pos="1280"/>
        </w:tabs>
        <w:spacing w:before="360" w:after="360" w:line="400" w:lineRule="atLeast"/>
        <w:ind w:left="1280" w:hanging="855"/>
        <w:textAlignment w:val="auto"/>
        <w:rPr>
          <w:b w:val="0"/>
          <w:bCs w:val="0"/>
          <w:kern w:val="44"/>
          <w:sz w:val="28"/>
          <w:szCs w:val="20"/>
        </w:rPr>
      </w:pPr>
      <w:r>
        <w:rPr>
          <w:rFonts w:hint="eastAsia"/>
          <w:b w:val="0"/>
          <w:bCs w:val="0"/>
          <w:kern w:val="44"/>
          <w:sz w:val="28"/>
          <w:szCs w:val="20"/>
        </w:rPr>
        <w:t>第一条 服务内容及费用</w:t>
      </w:r>
    </w:p>
    <w:p w14:paraId="039CD18A">
      <w:pPr>
        <w:numPr>
          <w:ilvl w:val="1"/>
          <w:numId w:val="2"/>
        </w:numPr>
        <w:spacing w:line="500" w:lineRule="exact"/>
        <w:rPr>
          <w:rFonts w:ascii="宋体" w:hAnsi="宋体"/>
          <w:sz w:val="24"/>
        </w:rPr>
      </w:pPr>
      <w:r>
        <w:rPr>
          <w:rFonts w:ascii="宋体" w:hAnsi="宋体"/>
          <w:sz w:val="24"/>
        </w:rPr>
        <w:t>甲方委托乙方按照本协议约定</w:t>
      </w:r>
      <w:r>
        <w:rPr>
          <w:rFonts w:hint="eastAsia" w:ascii="宋体" w:hAnsi="宋体"/>
          <w:sz w:val="24"/>
        </w:rPr>
        <w:t>负责</w:t>
      </w:r>
      <w:r>
        <w:rPr>
          <w:rFonts w:hint="eastAsia" w:ascii="宋体" w:hAnsi="宋体"/>
          <w:sz w:val="24"/>
          <w:u w:val="single"/>
          <w:lang w:eastAsia="zh-CN"/>
        </w:rPr>
        <w:t>沛县某单位湖畔佳苑智能化建设ICT项目</w:t>
      </w:r>
      <w:r>
        <w:rPr>
          <w:rFonts w:hint="eastAsia" w:ascii="宋体" w:hAnsi="宋体"/>
          <w:sz w:val="24"/>
        </w:rPr>
        <w:t>的技术服务，具体包括软件开发、维护及集成服务（服务内容详见附件1），甲方按以下标准向乙</w:t>
      </w:r>
      <w:r>
        <w:rPr>
          <w:rFonts w:hint="eastAsia" w:ascii="宋体" w:hAnsi="宋体"/>
          <w:snapToGrid w:val="0"/>
          <w:kern w:val="0"/>
          <w:sz w:val="24"/>
        </w:rPr>
        <w:t>方支付服务费用</w:t>
      </w:r>
      <w:r>
        <w:rPr>
          <w:rFonts w:ascii="宋体" w:hAnsi="宋体"/>
          <w:snapToGrid w:val="0"/>
          <w:kern w:val="0"/>
          <w:sz w:val="24"/>
        </w:rPr>
        <w:t>。</w:t>
      </w:r>
    </w:p>
    <w:tbl>
      <w:tblPr>
        <w:tblStyle w:val="15"/>
        <w:tblW w:w="7292" w:type="dxa"/>
        <w:tblInd w:w="518" w:type="dxa"/>
        <w:tblLayout w:type="fixed"/>
        <w:tblCellMar>
          <w:top w:w="0" w:type="dxa"/>
          <w:left w:w="0" w:type="dxa"/>
          <w:bottom w:w="0" w:type="dxa"/>
          <w:right w:w="0" w:type="dxa"/>
        </w:tblCellMar>
      </w:tblPr>
      <w:tblGrid>
        <w:gridCol w:w="593"/>
        <w:gridCol w:w="1737"/>
        <w:gridCol w:w="1838"/>
        <w:gridCol w:w="997"/>
        <w:gridCol w:w="2127"/>
      </w:tblGrid>
      <w:tr w14:paraId="4079FB9B">
        <w:tblPrEx>
          <w:tblCellMar>
            <w:top w:w="0" w:type="dxa"/>
            <w:left w:w="0" w:type="dxa"/>
            <w:bottom w:w="0" w:type="dxa"/>
            <w:right w:w="0" w:type="dxa"/>
          </w:tblCellMar>
        </w:tblPrEx>
        <w:trPr>
          <w:trHeight w:val="252" w:hRule="atLeast"/>
        </w:trPr>
        <w:tc>
          <w:tcPr>
            <w:tcW w:w="593"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68DCD303">
            <w:pPr>
              <w:widowControl/>
              <w:jc w:val="center"/>
              <w:rPr>
                <w:rFonts w:hint="eastAsia" w:ascii="宋体" w:hAnsi="宋体" w:cs="宋体"/>
                <w:color w:val="000000"/>
                <w:kern w:val="0"/>
                <w:sz w:val="22"/>
                <w:szCs w:val="28"/>
              </w:rPr>
            </w:pPr>
            <w:r>
              <w:rPr>
                <w:rFonts w:hint="eastAsia" w:ascii="宋体" w:hAnsi="宋体" w:cs="宋体"/>
                <w:color w:val="000000"/>
                <w:kern w:val="0"/>
                <w:sz w:val="22"/>
                <w:szCs w:val="28"/>
              </w:rPr>
              <w:t>序号</w:t>
            </w:r>
          </w:p>
        </w:tc>
        <w:tc>
          <w:tcPr>
            <w:tcW w:w="1737"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7E8A2B22">
            <w:pPr>
              <w:widowControl/>
              <w:jc w:val="center"/>
              <w:rPr>
                <w:rFonts w:hint="eastAsia" w:ascii="宋体" w:hAnsi="宋体" w:cs="宋体"/>
                <w:color w:val="000000"/>
                <w:kern w:val="0"/>
                <w:sz w:val="22"/>
                <w:szCs w:val="28"/>
              </w:rPr>
            </w:pPr>
            <w:r>
              <w:rPr>
                <w:rFonts w:hint="eastAsia" w:ascii="宋体" w:hAnsi="宋体" w:cs="宋体"/>
                <w:color w:val="000000"/>
                <w:kern w:val="0"/>
                <w:sz w:val="22"/>
                <w:szCs w:val="28"/>
              </w:rPr>
              <w:t>类别</w:t>
            </w:r>
          </w:p>
        </w:tc>
        <w:tc>
          <w:tcPr>
            <w:tcW w:w="1838"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5E5F0D40">
            <w:pPr>
              <w:widowControl/>
              <w:jc w:val="center"/>
              <w:rPr>
                <w:rFonts w:hint="eastAsia" w:ascii="宋体" w:hAnsi="宋体" w:cs="宋体"/>
                <w:color w:val="000000"/>
                <w:kern w:val="0"/>
                <w:sz w:val="22"/>
                <w:szCs w:val="28"/>
              </w:rPr>
            </w:pPr>
            <w:r>
              <w:rPr>
                <w:rFonts w:hint="eastAsia" w:ascii="宋体" w:hAnsi="宋体" w:cs="宋体"/>
                <w:color w:val="000000"/>
                <w:kern w:val="0"/>
                <w:sz w:val="22"/>
                <w:szCs w:val="28"/>
              </w:rPr>
              <w:t>不含税金额（元）</w:t>
            </w:r>
          </w:p>
        </w:tc>
        <w:tc>
          <w:tcPr>
            <w:tcW w:w="997"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10BCFFAE">
            <w:pPr>
              <w:widowControl/>
              <w:jc w:val="center"/>
              <w:rPr>
                <w:rFonts w:hint="eastAsia" w:ascii="宋体" w:hAnsi="宋体" w:cs="宋体"/>
                <w:color w:val="000000"/>
                <w:kern w:val="0"/>
                <w:sz w:val="22"/>
                <w:szCs w:val="28"/>
              </w:rPr>
            </w:pPr>
            <w:r>
              <w:rPr>
                <w:rFonts w:hint="eastAsia" w:ascii="宋体" w:hAnsi="宋体" w:cs="宋体"/>
                <w:color w:val="000000"/>
                <w:kern w:val="0"/>
                <w:sz w:val="22"/>
                <w:szCs w:val="28"/>
              </w:rPr>
              <w:t>税率</w:t>
            </w:r>
          </w:p>
        </w:tc>
        <w:tc>
          <w:tcPr>
            <w:tcW w:w="2127"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4307F4D2">
            <w:pPr>
              <w:widowControl/>
              <w:jc w:val="center"/>
              <w:rPr>
                <w:rFonts w:hint="eastAsia" w:ascii="宋体" w:hAnsi="宋体" w:cs="宋体"/>
                <w:color w:val="000000"/>
                <w:kern w:val="0"/>
                <w:sz w:val="22"/>
                <w:szCs w:val="28"/>
              </w:rPr>
            </w:pPr>
            <w:r>
              <w:rPr>
                <w:rFonts w:hint="eastAsia" w:ascii="宋体" w:hAnsi="宋体" w:cs="宋体"/>
                <w:color w:val="000000"/>
                <w:kern w:val="0"/>
                <w:sz w:val="22"/>
                <w:szCs w:val="28"/>
              </w:rPr>
              <w:t>含税金额（元）</w:t>
            </w:r>
          </w:p>
        </w:tc>
      </w:tr>
      <w:tr w14:paraId="1D96A3AE">
        <w:tblPrEx>
          <w:tblCellMar>
            <w:top w:w="0" w:type="dxa"/>
            <w:left w:w="0" w:type="dxa"/>
            <w:bottom w:w="0" w:type="dxa"/>
            <w:right w:w="0" w:type="dxa"/>
          </w:tblCellMar>
        </w:tblPrEx>
        <w:trPr>
          <w:trHeight w:val="252" w:hRule="atLeast"/>
        </w:trPr>
        <w:tc>
          <w:tcPr>
            <w:tcW w:w="593"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67EA4783">
            <w:pPr>
              <w:widowControl/>
              <w:jc w:val="center"/>
              <w:rPr>
                <w:rFonts w:hint="eastAsia" w:ascii="宋体" w:hAnsi="宋体" w:cs="宋体"/>
                <w:color w:val="000000"/>
                <w:kern w:val="0"/>
                <w:sz w:val="22"/>
                <w:szCs w:val="28"/>
              </w:rPr>
            </w:pPr>
            <w:r>
              <w:rPr>
                <w:rFonts w:hint="eastAsia" w:ascii="宋体" w:hAnsi="宋体" w:cs="宋体"/>
                <w:color w:val="000000"/>
                <w:kern w:val="0"/>
                <w:sz w:val="22"/>
                <w:szCs w:val="28"/>
              </w:rPr>
              <w:t>1</w:t>
            </w:r>
          </w:p>
        </w:tc>
        <w:tc>
          <w:tcPr>
            <w:tcW w:w="1737"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14:paraId="1CC018DE">
            <w:pPr>
              <w:widowControl/>
              <w:jc w:val="center"/>
              <w:rPr>
                <w:rFonts w:hint="eastAsia" w:ascii="宋体" w:hAnsi="宋体" w:cs="宋体"/>
                <w:color w:val="000000"/>
                <w:kern w:val="0"/>
                <w:sz w:val="22"/>
                <w:szCs w:val="28"/>
              </w:rPr>
            </w:pPr>
            <w:r>
              <w:rPr>
                <w:rFonts w:hint="eastAsia" w:ascii="宋体" w:hAnsi="宋体" w:cs="宋体"/>
                <w:color w:val="000000"/>
                <w:kern w:val="0"/>
                <w:sz w:val="22"/>
                <w:szCs w:val="28"/>
              </w:rPr>
              <w:t>集成费</w:t>
            </w:r>
          </w:p>
        </w:tc>
        <w:tc>
          <w:tcPr>
            <w:tcW w:w="1838"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14:paraId="01B0E0AC">
            <w:pPr>
              <w:jc w:val="center"/>
              <w:rPr>
                <w:rFonts w:hint="eastAsia" w:ascii="宋体" w:hAnsi="宋体" w:cs="宋体"/>
                <w:color w:val="000000"/>
                <w:kern w:val="0"/>
                <w:sz w:val="22"/>
                <w:szCs w:val="28"/>
              </w:rPr>
            </w:pPr>
          </w:p>
        </w:tc>
        <w:tc>
          <w:tcPr>
            <w:tcW w:w="997"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14:paraId="14C32A9C">
            <w:pPr>
              <w:jc w:val="center"/>
              <w:rPr>
                <w:rFonts w:hint="eastAsia" w:ascii="宋体" w:hAnsi="宋体" w:cs="宋体"/>
                <w:color w:val="000000"/>
                <w:kern w:val="0"/>
                <w:sz w:val="22"/>
                <w:szCs w:val="28"/>
              </w:rPr>
            </w:pPr>
            <w:r>
              <w:rPr>
                <w:rFonts w:hint="eastAsia" w:ascii="宋体" w:hAnsi="宋体" w:cs="宋体"/>
                <w:color w:val="000000"/>
                <w:kern w:val="0"/>
                <w:sz w:val="22"/>
                <w:szCs w:val="28"/>
              </w:rPr>
              <w:t>6%</w:t>
            </w:r>
          </w:p>
        </w:tc>
        <w:tc>
          <w:tcPr>
            <w:tcW w:w="2127"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14:paraId="6B3A06E2">
            <w:pPr>
              <w:jc w:val="center"/>
              <w:rPr>
                <w:rFonts w:hint="eastAsia" w:ascii="宋体" w:hAnsi="宋体" w:cs="宋体"/>
                <w:color w:val="000000"/>
                <w:kern w:val="0"/>
                <w:sz w:val="22"/>
                <w:szCs w:val="28"/>
              </w:rPr>
            </w:pPr>
          </w:p>
        </w:tc>
      </w:tr>
      <w:tr w14:paraId="67C82D26">
        <w:tblPrEx>
          <w:tblCellMar>
            <w:top w:w="0" w:type="dxa"/>
            <w:left w:w="0" w:type="dxa"/>
            <w:bottom w:w="0" w:type="dxa"/>
            <w:right w:w="0" w:type="dxa"/>
          </w:tblCellMar>
        </w:tblPrEx>
        <w:trPr>
          <w:trHeight w:val="252" w:hRule="atLeast"/>
        </w:trPr>
        <w:tc>
          <w:tcPr>
            <w:tcW w:w="593"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14:paraId="69DEF7A2">
            <w:pPr>
              <w:widowControl/>
              <w:jc w:val="center"/>
              <w:rPr>
                <w:rFonts w:hint="eastAsia" w:ascii="宋体" w:hAnsi="宋体" w:cs="宋体"/>
                <w:color w:val="000000"/>
                <w:kern w:val="0"/>
                <w:sz w:val="22"/>
                <w:szCs w:val="28"/>
              </w:rPr>
            </w:pPr>
            <w:r>
              <w:rPr>
                <w:rFonts w:hint="eastAsia" w:ascii="宋体" w:hAnsi="宋体" w:cs="宋体"/>
                <w:color w:val="000000"/>
                <w:kern w:val="0"/>
                <w:sz w:val="22"/>
                <w:szCs w:val="28"/>
              </w:rPr>
              <w:t>合计</w:t>
            </w:r>
          </w:p>
        </w:tc>
        <w:tc>
          <w:tcPr>
            <w:tcW w:w="1737"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14:paraId="5FC4834C">
            <w:pPr>
              <w:widowControl/>
              <w:jc w:val="center"/>
              <w:rPr>
                <w:rFonts w:hint="default" w:ascii="宋体" w:hAnsi="宋体" w:eastAsia="宋体" w:cs="宋体"/>
                <w:color w:val="000000"/>
                <w:kern w:val="0"/>
                <w:sz w:val="22"/>
                <w:szCs w:val="28"/>
                <w:lang w:val="en-US" w:eastAsia="zh-Hans"/>
              </w:rPr>
            </w:pPr>
            <w:r>
              <w:rPr>
                <w:rFonts w:hint="eastAsia" w:ascii="宋体" w:hAnsi="宋体" w:cs="宋体"/>
                <w:color w:val="000000"/>
                <w:kern w:val="0"/>
                <w:sz w:val="22"/>
                <w:szCs w:val="28"/>
                <w:lang w:val="en-US" w:eastAsia="zh-Hans"/>
              </w:rPr>
              <w:t>项目总价款</w:t>
            </w:r>
          </w:p>
        </w:tc>
        <w:tc>
          <w:tcPr>
            <w:tcW w:w="1838"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14:paraId="4EF4E6F2">
            <w:pPr>
              <w:jc w:val="center"/>
              <w:rPr>
                <w:rFonts w:hint="eastAsia" w:ascii="宋体" w:hAnsi="宋体" w:cs="宋体"/>
                <w:color w:val="000000"/>
                <w:kern w:val="0"/>
                <w:sz w:val="22"/>
                <w:szCs w:val="28"/>
              </w:rPr>
            </w:pPr>
          </w:p>
        </w:tc>
        <w:tc>
          <w:tcPr>
            <w:tcW w:w="997"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14:paraId="4FD53BB8">
            <w:pPr>
              <w:jc w:val="center"/>
              <w:rPr>
                <w:rFonts w:hint="eastAsia" w:ascii="宋体" w:hAnsi="宋体" w:cs="宋体"/>
                <w:color w:val="000000"/>
                <w:kern w:val="0"/>
                <w:sz w:val="22"/>
                <w:szCs w:val="28"/>
              </w:rPr>
            </w:pPr>
            <w:r>
              <w:rPr>
                <w:rFonts w:hint="eastAsia" w:ascii="宋体" w:hAnsi="宋体" w:cs="宋体"/>
                <w:color w:val="000000"/>
                <w:kern w:val="0"/>
                <w:sz w:val="22"/>
                <w:szCs w:val="28"/>
              </w:rPr>
              <w:t>6%</w:t>
            </w:r>
          </w:p>
        </w:tc>
        <w:tc>
          <w:tcPr>
            <w:tcW w:w="2127"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14:paraId="44482C17">
            <w:pPr>
              <w:jc w:val="center"/>
              <w:rPr>
                <w:rFonts w:hint="eastAsia" w:ascii="宋体" w:hAnsi="宋体" w:cs="宋体"/>
                <w:color w:val="000000"/>
                <w:kern w:val="0"/>
                <w:sz w:val="22"/>
                <w:szCs w:val="28"/>
              </w:rPr>
            </w:pPr>
          </w:p>
        </w:tc>
      </w:tr>
    </w:tbl>
    <w:p w14:paraId="2EC92CB6">
      <w:pPr>
        <w:spacing w:line="500" w:lineRule="exact"/>
        <w:rPr>
          <w:rFonts w:ascii="宋体" w:hAnsi="宋体"/>
          <w:sz w:val="24"/>
        </w:rPr>
      </w:pPr>
    </w:p>
    <w:p w14:paraId="53D02F5D">
      <w:pPr>
        <w:pStyle w:val="3"/>
        <w:keepNext/>
        <w:keepLines/>
        <w:tabs>
          <w:tab w:val="left" w:pos="855"/>
          <w:tab w:val="left" w:pos="1280"/>
        </w:tabs>
        <w:spacing w:before="360" w:after="360" w:line="400" w:lineRule="atLeast"/>
        <w:ind w:left="1280" w:hanging="855"/>
        <w:textAlignment w:val="auto"/>
        <w:rPr>
          <w:b w:val="0"/>
          <w:bCs w:val="0"/>
          <w:kern w:val="44"/>
          <w:sz w:val="28"/>
          <w:szCs w:val="20"/>
        </w:rPr>
      </w:pPr>
      <w:bookmarkStart w:id="2" w:name="_Toc35502770"/>
      <w:r>
        <w:rPr>
          <w:rFonts w:hint="eastAsia"/>
          <w:b w:val="0"/>
          <w:bCs w:val="0"/>
          <w:kern w:val="44"/>
          <w:sz w:val="28"/>
          <w:szCs w:val="20"/>
        </w:rPr>
        <w:t xml:space="preserve">第二条 </w:t>
      </w:r>
      <w:r>
        <w:rPr>
          <w:b w:val="0"/>
          <w:bCs w:val="0"/>
          <w:kern w:val="44"/>
          <w:sz w:val="28"/>
          <w:szCs w:val="20"/>
        </w:rPr>
        <w:t>服务要求</w:t>
      </w:r>
      <w:bookmarkEnd w:id="2"/>
    </w:p>
    <w:p w14:paraId="6959A6A5">
      <w:pPr>
        <w:pStyle w:val="37"/>
        <w:numPr>
          <w:ilvl w:val="0"/>
          <w:numId w:val="0"/>
        </w:numPr>
        <w:tabs>
          <w:tab w:val="left" w:pos="840"/>
        </w:tabs>
        <w:spacing w:line="500" w:lineRule="exact"/>
        <w:ind w:leftChars="0"/>
        <w:rPr>
          <w:rFonts w:ascii="宋体" w:hAnsi="宋体"/>
          <w:sz w:val="24"/>
        </w:rPr>
      </w:pPr>
      <w:r>
        <w:rPr>
          <w:rFonts w:hint="default" w:ascii="宋体" w:hAnsi="宋体"/>
          <w:sz w:val="24"/>
        </w:rPr>
        <w:t>2.1</w:t>
      </w:r>
      <w:r>
        <w:rPr>
          <w:rFonts w:ascii="宋体" w:hAnsi="宋体"/>
          <w:sz w:val="24"/>
        </w:rPr>
        <w:t>乙方所提供的技术服务应满足本协议要求，同时应满足工业和信息化部</w:t>
      </w:r>
      <w:r>
        <w:rPr>
          <w:rFonts w:hint="eastAsia" w:ascii="宋体" w:hAnsi="宋体"/>
          <w:sz w:val="24"/>
        </w:rPr>
        <w:t>等有关部门</w:t>
      </w:r>
      <w:r>
        <w:rPr>
          <w:rFonts w:ascii="宋体" w:hAnsi="宋体"/>
          <w:sz w:val="24"/>
        </w:rPr>
        <w:t>发布的技术规范、验收规范之要求，遵守甲方的相关管理制度或规范，</w:t>
      </w:r>
      <w:r>
        <w:rPr>
          <w:rFonts w:hint="eastAsia" w:ascii="宋体" w:hAnsi="宋体"/>
          <w:sz w:val="24"/>
        </w:rPr>
        <w:t>并恪守</w:t>
      </w:r>
      <w:r>
        <w:rPr>
          <w:rFonts w:ascii="宋体" w:hAnsi="宋体"/>
          <w:sz w:val="24"/>
        </w:rPr>
        <w:t>乙方对甲方的各项承诺。</w:t>
      </w:r>
    </w:p>
    <w:p w14:paraId="582FCCE6">
      <w:pPr>
        <w:snapToGrid w:val="0"/>
        <w:spacing w:line="380" w:lineRule="exact"/>
        <w:rPr>
          <w:rFonts w:ascii="宋体" w:hAnsi="宋体"/>
          <w:kern w:val="0"/>
          <w:sz w:val="24"/>
        </w:rPr>
      </w:pPr>
      <w:r>
        <w:rPr>
          <w:rFonts w:ascii="宋体" w:hAnsi="宋体"/>
          <w:kern w:val="0"/>
          <w:sz w:val="24"/>
        </w:rPr>
        <w:t>2.2交付时间：合同签订</w:t>
      </w:r>
      <w:r>
        <w:rPr>
          <w:rFonts w:hint="eastAsia" w:ascii="宋体" w:hAnsi="宋体"/>
          <w:kern w:val="0"/>
          <w:sz w:val="24"/>
          <w:lang w:eastAsia="zh-CN"/>
        </w:rPr>
        <w:t>后，根据甲方要求</w:t>
      </w:r>
      <w:r>
        <w:rPr>
          <w:rFonts w:hint="eastAsia" w:ascii="宋体" w:hAnsi="宋体"/>
          <w:kern w:val="0"/>
          <w:sz w:val="24"/>
          <w:u w:val="single"/>
          <w:lang w:val="en-US" w:eastAsia="zh-CN"/>
        </w:rPr>
        <w:t>30</w:t>
      </w:r>
      <w:r>
        <w:rPr>
          <w:rFonts w:hint="eastAsia" w:ascii="宋体" w:hAnsi="宋体"/>
          <w:kern w:val="0"/>
          <w:sz w:val="24"/>
          <w:lang w:val="en-US" w:eastAsia="zh-CN"/>
        </w:rPr>
        <w:t>日历日</w:t>
      </w:r>
      <w:r>
        <w:rPr>
          <w:rFonts w:ascii="宋体" w:hAnsi="宋体"/>
          <w:kern w:val="0"/>
          <w:sz w:val="24"/>
        </w:rPr>
        <w:t>完成交付</w:t>
      </w:r>
    </w:p>
    <w:p w14:paraId="5EAF916B">
      <w:pPr>
        <w:snapToGrid w:val="0"/>
        <w:spacing w:line="380" w:lineRule="exact"/>
        <w:ind w:firstLine="480"/>
        <w:rPr>
          <w:rFonts w:ascii="宋体" w:hAnsi="宋体"/>
          <w:kern w:val="0"/>
          <w:sz w:val="24"/>
        </w:rPr>
      </w:pPr>
      <w:r>
        <w:rPr>
          <w:rFonts w:ascii="宋体" w:hAnsi="宋体"/>
          <w:kern w:val="0"/>
          <w:sz w:val="24"/>
        </w:rPr>
        <w:t>指定交货地点：甲方指定</w:t>
      </w:r>
    </w:p>
    <w:p w14:paraId="063DB9BE">
      <w:pPr>
        <w:pStyle w:val="3"/>
        <w:keepNext/>
        <w:keepLines/>
        <w:tabs>
          <w:tab w:val="left" w:pos="855"/>
          <w:tab w:val="left" w:pos="1280"/>
        </w:tabs>
        <w:spacing w:before="360" w:after="360" w:line="400" w:lineRule="atLeast"/>
        <w:ind w:left="1280" w:hanging="855"/>
        <w:textAlignment w:val="auto"/>
        <w:rPr>
          <w:b w:val="0"/>
          <w:bCs w:val="0"/>
          <w:kern w:val="44"/>
          <w:sz w:val="28"/>
          <w:szCs w:val="20"/>
        </w:rPr>
        <w:sectPr>
          <w:pgSz w:w="11906" w:h="16838"/>
          <w:pgMar w:top="1440" w:right="1797" w:bottom="1440" w:left="1797" w:header="851" w:footer="992" w:gutter="0"/>
          <w:cols w:space="720" w:num="1"/>
          <w:docGrid w:linePitch="312" w:charSpace="0"/>
        </w:sectPr>
      </w:pPr>
    </w:p>
    <w:p w14:paraId="1B54E084">
      <w:pPr>
        <w:pStyle w:val="3"/>
        <w:keepNext/>
        <w:keepLines/>
        <w:tabs>
          <w:tab w:val="left" w:pos="855"/>
          <w:tab w:val="left" w:pos="1280"/>
        </w:tabs>
        <w:spacing w:before="360" w:after="360" w:line="400" w:lineRule="atLeast"/>
        <w:ind w:left="1280" w:hanging="855"/>
        <w:textAlignment w:val="auto"/>
        <w:rPr>
          <w:b w:val="0"/>
          <w:bCs w:val="0"/>
          <w:kern w:val="44"/>
          <w:sz w:val="28"/>
          <w:szCs w:val="20"/>
        </w:rPr>
      </w:pPr>
      <w:r>
        <w:rPr>
          <w:b w:val="0"/>
          <w:bCs w:val="0"/>
          <w:kern w:val="44"/>
          <w:sz w:val="28"/>
          <w:szCs w:val="20"/>
        </w:rPr>
        <w:t>第</w:t>
      </w:r>
      <w:r>
        <w:rPr>
          <w:rFonts w:hint="eastAsia"/>
          <w:b w:val="0"/>
          <w:bCs w:val="0"/>
          <w:kern w:val="44"/>
          <w:sz w:val="28"/>
          <w:szCs w:val="20"/>
        </w:rPr>
        <w:t>三</w:t>
      </w:r>
      <w:r>
        <w:rPr>
          <w:b w:val="0"/>
          <w:bCs w:val="0"/>
          <w:kern w:val="44"/>
          <w:sz w:val="28"/>
          <w:szCs w:val="20"/>
        </w:rPr>
        <w:t>条</w:t>
      </w:r>
      <w:r>
        <w:rPr>
          <w:rFonts w:hint="eastAsia"/>
          <w:b w:val="0"/>
          <w:bCs w:val="0"/>
          <w:kern w:val="44"/>
          <w:sz w:val="28"/>
          <w:szCs w:val="20"/>
        </w:rPr>
        <w:t xml:space="preserve"> 付款</w:t>
      </w:r>
    </w:p>
    <w:p w14:paraId="4284C460">
      <w:pPr>
        <w:adjustRightInd w:val="0"/>
        <w:snapToGrid w:val="0"/>
        <w:spacing w:line="360" w:lineRule="auto"/>
        <w:ind w:firstLine="480" w:firstLineChars="200"/>
        <w:rPr>
          <w:rFonts w:ascii="宋体" w:hAnsi="宋体"/>
          <w:sz w:val="24"/>
        </w:rPr>
      </w:pPr>
      <w:r>
        <w:rPr>
          <w:rFonts w:hint="eastAsia" w:ascii="宋体" w:hAnsi="宋体"/>
          <w:sz w:val="24"/>
        </w:rPr>
        <w:t>3.1</w:t>
      </w:r>
      <w:r>
        <w:rPr>
          <w:rFonts w:ascii="宋体" w:hAnsi="宋体"/>
          <w:sz w:val="24"/>
        </w:rPr>
        <w:t>本协议项下所有款额应通过甲方和乙方在本协议中所约定的银行以人民币支付。甲乙双方各自承担因执行协议所发生的银行费用。</w:t>
      </w:r>
    </w:p>
    <w:p w14:paraId="0C316C40">
      <w:pPr>
        <w:snapToGrid w:val="0"/>
        <w:spacing w:line="360" w:lineRule="auto"/>
        <w:ind w:firstLine="480" w:firstLineChars="200"/>
        <w:rPr>
          <w:rFonts w:ascii="宋体" w:hAnsi="宋体"/>
          <w:sz w:val="24"/>
          <w:szCs w:val="24"/>
        </w:rPr>
      </w:pPr>
      <w:r>
        <w:rPr>
          <w:rFonts w:hint="eastAsia" w:ascii="宋体" w:hAnsi="宋体"/>
          <w:sz w:val="24"/>
          <w:szCs w:val="24"/>
        </w:rPr>
        <w:t>3.2 付款进度</w:t>
      </w:r>
    </w:p>
    <w:p w14:paraId="398D4B19">
      <w:pPr>
        <w:snapToGrid w:val="0"/>
        <w:spacing w:line="360" w:lineRule="auto"/>
        <w:ind w:firstLine="480" w:firstLineChars="200"/>
        <w:rPr>
          <w:rFonts w:hint="eastAsia"/>
          <w:color w:val="FF0000"/>
          <w:sz w:val="24"/>
          <w:szCs w:val="24"/>
          <w:lang w:eastAsia="zh-CN"/>
        </w:rPr>
      </w:pPr>
      <w:r>
        <w:rPr>
          <w:rFonts w:hint="eastAsia"/>
          <w:color w:val="FF0000"/>
          <w:sz w:val="24"/>
          <w:szCs w:val="24"/>
          <w:lang w:eastAsia="zh-CN"/>
        </w:rPr>
        <w:t>1.合同签订，甲方收到乙方开具的至合同总价</w:t>
      </w:r>
      <w:r>
        <w:rPr>
          <w:rFonts w:hint="eastAsia"/>
          <w:color w:val="FF0000"/>
          <w:sz w:val="24"/>
          <w:szCs w:val="24"/>
          <w:lang w:val="en-US" w:eastAsia="zh-CN"/>
        </w:rPr>
        <w:t>4</w:t>
      </w:r>
      <w:r>
        <w:rPr>
          <w:rFonts w:hint="eastAsia"/>
          <w:color w:val="FF0000"/>
          <w:sz w:val="24"/>
          <w:szCs w:val="24"/>
          <w:lang w:eastAsia="zh-CN"/>
        </w:rPr>
        <w:t>0%的增值税专用发票后，30个工作日内支付至对应合同金额的</w:t>
      </w:r>
      <w:r>
        <w:rPr>
          <w:rFonts w:hint="eastAsia"/>
          <w:color w:val="FF0000"/>
          <w:sz w:val="24"/>
          <w:szCs w:val="24"/>
          <w:lang w:val="en-US" w:eastAsia="zh-CN"/>
        </w:rPr>
        <w:t>4</w:t>
      </w:r>
      <w:r>
        <w:rPr>
          <w:rFonts w:hint="eastAsia"/>
          <w:color w:val="FF0000"/>
          <w:sz w:val="24"/>
          <w:szCs w:val="24"/>
          <w:lang w:eastAsia="zh-CN"/>
        </w:rPr>
        <w:t>0%；</w:t>
      </w:r>
    </w:p>
    <w:p w14:paraId="2A26D62A">
      <w:pPr>
        <w:snapToGrid w:val="0"/>
        <w:spacing w:line="360" w:lineRule="auto"/>
        <w:ind w:firstLine="480" w:firstLineChars="200"/>
        <w:rPr>
          <w:rFonts w:hint="eastAsia"/>
          <w:lang w:eastAsia="zh-CN"/>
        </w:rPr>
      </w:pPr>
      <w:r>
        <w:rPr>
          <w:rFonts w:hint="eastAsia"/>
          <w:color w:val="FF0000"/>
          <w:sz w:val="24"/>
          <w:szCs w:val="24"/>
          <w:lang w:val="en-US" w:eastAsia="zh-CN"/>
        </w:rPr>
        <w:t>2</w:t>
      </w:r>
      <w:r>
        <w:rPr>
          <w:rFonts w:hint="eastAsia"/>
          <w:color w:val="FF0000"/>
          <w:sz w:val="24"/>
          <w:szCs w:val="24"/>
          <w:lang w:eastAsia="zh-CN"/>
        </w:rPr>
        <w:t>.设备到货</w:t>
      </w:r>
      <w:r>
        <w:rPr>
          <w:rFonts w:hint="eastAsia"/>
          <w:color w:val="FF0000"/>
          <w:sz w:val="24"/>
          <w:szCs w:val="24"/>
          <w:lang w:val="en-US" w:eastAsia="zh-CN"/>
        </w:rPr>
        <w:t>后</w:t>
      </w:r>
      <w:r>
        <w:rPr>
          <w:rFonts w:hint="eastAsia"/>
          <w:color w:val="FF0000"/>
          <w:sz w:val="24"/>
          <w:szCs w:val="24"/>
          <w:lang w:eastAsia="zh-CN"/>
        </w:rPr>
        <w:t>，甲方收到乙方开具的至合同总价</w:t>
      </w:r>
      <w:r>
        <w:rPr>
          <w:rFonts w:hint="eastAsia"/>
          <w:color w:val="FF0000"/>
          <w:sz w:val="24"/>
          <w:szCs w:val="24"/>
          <w:lang w:val="en-US" w:eastAsia="zh-CN"/>
        </w:rPr>
        <w:t>8</w:t>
      </w:r>
      <w:r>
        <w:rPr>
          <w:rFonts w:hint="eastAsia"/>
          <w:color w:val="FF0000"/>
          <w:sz w:val="24"/>
          <w:szCs w:val="24"/>
          <w:lang w:eastAsia="zh-CN"/>
        </w:rPr>
        <w:t>0%的增值税专用发票后，30个工作日内支付至对应合同金额的</w:t>
      </w:r>
      <w:r>
        <w:rPr>
          <w:rFonts w:hint="eastAsia"/>
          <w:color w:val="FF0000"/>
          <w:sz w:val="24"/>
          <w:szCs w:val="24"/>
          <w:lang w:val="en-US" w:eastAsia="zh-CN"/>
        </w:rPr>
        <w:t>8</w:t>
      </w:r>
      <w:r>
        <w:rPr>
          <w:rFonts w:hint="eastAsia"/>
          <w:color w:val="FF0000"/>
          <w:sz w:val="24"/>
          <w:szCs w:val="24"/>
          <w:lang w:eastAsia="zh-CN"/>
        </w:rPr>
        <w:t>0%；</w:t>
      </w:r>
    </w:p>
    <w:p w14:paraId="60A0CF37">
      <w:pPr>
        <w:snapToGrid w:val="0"/>
        <w:spacing w:line="360" w:lineRule="auto"/>
        <w:ind w:firstLine="480" w:firstLineChars="200"/>
        <w:rPr>
          <w:rFonts w:hint="eastAsia"/>
          <w:color w:val="FF0000"/>
          <w:sz w:val="24"/>
          <w:szCs w:val="24"/>
          <w:lang w:eastAsia="zh-CN"/>
        </w:rPr>
      </w:pPr>
      <w:r>
        <w:rPr>
          <w:rFonts w:hint="eastAsia"/>
          <w:color w:val="FF0000"/>
          <w:sz w:val="24"/>
          <w:szCs w:val="24"/>
          <w:lang w:val="en-US" w:eastAsia="zh-CN"/>
        </w:rPr>
        <w:t>3</w:t>
      </w:r>
      <w:r>
        <w:rPr>
          <w:rFonts w:hint="eastAsia"/>
          <w:color w:val="FF0000"/>
          <w:sz w:val="24"/>
          <w:szCs w:val="24"/>
          <w:lang w:eastAsia="zh-CN"/>
        </w:rPr>
        <w:t>.项目终验合格</w:t>
      </w:r>
      <w:r>
        <w:rPr>
          <w:rFonts w:hint="eastAsia"/>
          <w:color w:val="FF0000"/>
          <w:sz w:val="24"/>
          <w:szCs w:val="24"/>
          <w:lang w:val="en-US" w:eastAsia="zh-CN"/>
        </w:rPr>
        <w:t>后</w:t>
      </w:r>
      <w:r>
        <w:rPr>
          <w:rFonts w:hint="eastAsia"/>
          <w:color w:val="FF0000"/>
          <w:sz w:val="24"/>
          <w:szCs w:val="24"/>
          <w:lang w:eastAsia="zh-CN"/>
        </w:rPr>
        <w:t>，甲方收到乙方开具的至合同总价100%的增值税专用发票和双方确认的验收报告后，30个工作日内支付至对应合同金额的100%。</w:t>
      </w:r>
    </w:p>
    <w:p w14:paraId="2C1F8C1A">
      <w:pPr>
        <w:pStyle w:val="8"/>
        <w:rPr>
          <w:rFonts w:hint="eastAsia"/>
          <w:lang w:eastAsia="zh-CN"/>
        </w:rPr>
      </w:pPr>
    </w:p>
    <w:p w14:paraId="2FED2A22">
      <w:pPr>
        <w:spacing w:line="360" w:lineRule="auto"/>
        <w:ind w:left="210" w:leftChars="100" w:firstLine="480" w:firstLineChars="200"/>
        <w:rPr>
          <w:rFonts w:hint="eastAsia" w:ascii="宋体" w:hAnsi="宋体"/>
          <w:b w:val="0"/>
          <w:color w:val="auto"/>
          <w:sz w:val="24"/>
        </w:rPr>
      </w:pPr>
      <w:r>
        <w:rPr>
          <w:rFonts w:hint="eastAsia" w:ascii="宋体" w:hAnsi="宋体"/>
          <w:b w:val="0"/>
          <w:color w:val="auto"/>
          <w:sz w:val="24"/>
        </w:rPr>
        <w:t>乙方应按合同金额</w:t>
      </w:r>
      <w:r>
        <w:rPr>
          <w:rFonts w:hint="default" w:ascii="宋体" w:hAnsi="宋体"/>
          <w:b w:val="0"/>
          <w:color w:val="auto"/>
          <w:sz w:val="24"/>
          <w:u w:val="single"/>
        </w:rPr>
        <w:t xml:space="preserve">    </w:t>
      </w:r>
      <w:r>
        <w:rPr>
          <w:rFonts w:hint="eastAsia" w:ascii="宋体" w:hAnsi="宋体"/>
          <w:b w:val="0"/>
          <w:color w:val="auto"/>
          <w:sz w:val="24"/>
        </w:rPr>
        <w:t>元出具符合合同约定经济事项的增值税专用发票，合同金额含税金（出具增值税发票，税率6%）。</w:t>
      </w:r>
    </w:p>
    <w:p w14:paraId="6A6DF948">
      <w:pPr>
        <w:snapToGrid w:val="0"/>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3.3付款账户</w:t>
      </w:r>
    </w:p>
    <w:p w14:paraId="48B50378">
      <w:pPr>
        <w:snapToGrid w:val="0"/>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由甲方支付给乙方的款项以人民币支付，货款转账至：</w:t>
      </w:r>
    </w:p>
    <w:p w14:paraId="3856459A">
      <w:pPr>
        <w:snapToGrid w:val="0"/>
        <w:spacing w:line="360" w:lineRule="auto"/>
        <w:ind w:firstLine="480" w:firstLineChars="200"/>
        <w:rPr>
          <w:rFonts w:hint="eastAsia" w:ascii="宋体" w:hAnsi="宋体"/>
          <w:sz w:val="24"/>
          <w:szCs w:val="24"/>
        </w:rPr>
      </w:pPr>
      <w:r>
        <w:rPr>
          <w:rFonts w:hint="eastAsia" w:ascii="宋体" w:hAnsi="宋体"/>
          <w:sz w:val="24"/>
          <w:szCs w:val="24"/>
        </w:rPr>
        <w:t>账户：</w:t>
      </w:r>
    </w:p>
    <w:p w14:paraId="27A4C1F3">
      <w:pPr>
        <w:snapToGrid w:val="0"/>
        <w:spacing w:line="360" w:lineRule="auto"/>
        <w:ind w:firstLine="480" w:firstLineChars="200"/>
        <w:rPr>
          <w:rFonts w:hint="default" w:ascii="宋体" w:hAnsi="宋体"/>
          <w:sz w:val="24"/>
          <w:szCs w:val="24"/>
          <w:lang w:val="en-US" w:eastAsia="zh-Hans"/>
        </w:rPr>
      </w:pPr>
      <w:r>
        <w:rPr>
          <w:rFonts w:hint="eastAsia" w:ascii="宋体" w:hAnsi="宋体"/>
          <w:sz w:val="24"/>
          <w:szCs w:val="24"/>
          <w:lang w:val="en-US" w:eastAsia="zh-Hans"/>
        </w:rPr>
        <w:t>纳税人识别号：</w:t>
      </w:r>
    </w:p>
    <w:p w14:paraId="236113A9">
      <w:pPr>
        <w:snapToGrid w:val="0"/>
        <w:spacing w:line="360" w:lineRule="auto"/>
        <w:ind w:firstLine="480" w:firstLineChars="200"/>
        <w:rPr>
          <w:rFonts w:ascii="宋体" w:hAnsi="宋体"/>
          <w:sz w:val="24"/>
          <w:szCs w:val="24"/>
        </w:rPr>
      </w:pPr>
      <w:r>
        <w:rPr>
          <w:rFonts w:hint="eastAsia" w:ascii="宋体" w:hAnsi="宋体"/>
          <w:sz w:val="24"/>
          <w:szCs w:val="24"/>
        </w:rPr>
        <w:t>账号：</w:t>
      </w:r>
    </w:p>
    <w:p w14:paraId="2E6A204B">
      <w:pPr>
        <w:snapToGrid w:val="0"/>
        <w:spacing w:line="360" w:lineRule="auto"/>
        <w:ind w:firstLine="480" w:firstLineChars="200"/>
        <w:rPr>
          <w:rFonts w:hint="default"/>
        </w:rPr>
      </w:pPr>
      <w:r>
        <w:rPr>
          <w:rFonts w:hint="eastAsia" w:ascii="宋体" w:hAnsi="宋体"/>
          <w:sz w:val="24"/>
          <w:szCs w:val="24"/>
        </w:rPr>
        <w:t>开户行：</w:t>
      </w:r>
    </w:p>
    <w:p w14:paraId="5DB3FC74">
      <w:pPr>
        <w:snapToGrid w:val="0"/>
        <w:spacing w:line="360" w:lineRule="auto"/>
        <w:ind w:firstLine="480" w:firstLineChars="200"/>
        <w:rPr>
          <w:rFonts w:ascii="宋体" w:hAnsi="宋体"/>
          <w:color w:val="000000"/>
          <w:sz w:val="24"/>
          <w:szCs w:val="24"/>
        </w:rPr>
      </w:pPr>
      <w:r>
        <w:rPr>
          <w:rFonts w:hint="eastAsia" w:ascii="宋体" w:hAnsi="宋体"/>
          <w:color w:val="000000"/>
          <w:sz w:val="24"/>
          <w:szCs w:val="24"/>
        </w:rPr>
        <w:t>特别说明：甲方因报账需要，乙方需先开具正规税务发票，甲方在收到发票后方可安排付款。甲方将款项支付至该账户，即表明甲方已履行完毕付款义务，该账户的一切法律风险由乙方承担。</w:t>
      </w:r>
    </w:p>
    <w:p w14:paraId="1376E5B8">
      <w:pPr>
        <w:spacing w:line="360" w:lineRule="auto"/>
        <w:ind w:firstLine="482" w:firstLineChars="200"/>
        <w:rPr>
          <w:rFonts w:hint="eastAsia" w:ascii="宋体" w:hAnsi="宋体"/>
          <w:b/>
          <w:bCs/>
          <w:sz w:val="24"/>
          <w:szCs w:val="24"/>
        </w:rPr>
      </w:pPr>
      <w:r>
        <w:rPr>
          <w:rFonts w:hint="eastAsia" w:ascii="宋体" w:hAnsi="宋体"/>
          <w:b/>
          <w:bCs/>
          <w:sz w:val="24"/>
          <w:szCs w:val="24"/>
        </w:rPr>
        <w:t>发票开具信息如下：</w:t>
      </w:r>
    </w:p>
    <w:p w14:paraId="2DE2936A">
      <w:pPr>
        <w:spacing w:line="360" w:lineRule="auto"/>
        <w:ind w:firstLine="480" w:firstLineChars="200"/>
        <w:rPr>
          <w:rFonts w:hint="default" w:ascii="宋体" w:hAnsi="宋体"/>
          <w:b w:val="0"/>
          <w:bCs/>
          <w:color w:val="auto"/>
          <w:sz w:val="24"/>
          <w:szCs w:val="24"/>
        </w:rPr>
      </w:pPr>
      <w:r>
        <w:rPr>
          <w:rFonts w:hint="eastAsia" w:ascii="宋体" w:hAnsi="宋体"/>
          <w:b w:val="0"/>
          <w:bCs/>
          <w:color w:val="auto"/>
          <w:sz w:val="24"/>
          <w:szCs w:val="24"/>
        </w:rPr>
        <w:t>甲方名称：</w:t>
      </w:r>
      <w:r>
        <w:rPr>
          <w:rFonts w:hint="default" w:ascii="宋体" w:hAnsi="宋体"/>
          <w:b w:val="0"/>
          <w:bCs/>
          <w:color w:val="auto"/>
          <w:sz w:val="24"/>
          <w:szCs w:val="24"/>
        </w:rPr>
        <w:t>中国移动通信集团江苏有限公司徐州分公司</w:t>
      </w:r>
    </w:p>
    <w:p w14:paraId="22662214">
      <w:pPr>
        <w:spacing w:line="360" w:lineRule="auto"/>
        <w:ind w:firstLine="480" w:firstLineChars="200"/>
        <w:rPr>
          <w:rFonts w:ascii="宋体" w:hAnsi="宋体"/>
          <w:b w:val="0"/>
          <w:bCs/>
          <w:color w:val="auto"/>
          <w:sz w:val="24"/>
          <w:szCs w:val="24"/>
        </w:rPr>
      </w:pPr>
      <w:r>
        <w:rPr>
          <w:rFonts w:hint="eastAsia" w:ascii="宋体" w:hAnsi="宋体"/>
          <w:b w:val="0"/>
          <w:bCs/>
          <w:color w:val="auto"/>
          <w:sz w:val="24"/>
          <w:szCs w:val="24"/>
        </w:rPr>
        <w:t>纳税人资质：</w:t>
      </w:r>
      <w:r>
        <w:rPr>
          <w:rFonts w:hint="eastAsia" w:ascii="宋体" w:hAnsi="宋体"/>
          <w:b w:val="0"/>
          <w:bCs/>
          <w:color w:val="auto"/>
          <w:sz w:val="24"/>
          <w:szCs w:val="24"/>
          <w:lang w:val="en-US" w:eastAsia="zh-CN"/>
        </w:rPr>
        <w:t>增值税一般纳税人</w:t>
      </w:r>
    </w:p>
    <w:p w14:paraId="7FF98327">
      <w:pPr>
        <w:spacing w:line="360" w:lineRule="auto"/>
        <w:ind w:firstLine="480" w:firstLineChars="200"/>
        <w:rPr>
          <w:rFonts w:ascii="宋体" w:hAnsi="宋体"/>
          <w:b w:val="0"/>
          <w:bCs/>
          <w:color w:val="auto"/>
          <w:sz w:val="24"/>
          <w:szCs w:val="24"/>
        </w:rPr>
      </w:pPr>
      <w:r>
        <w:rPr>
          <w:rFonts w:hint="eastAsia" w:ascii="宋体" w:hAnsi="宋体"/>
          <w:b w:val="0"/>
          <w:bCs/>
          <w:color w:val="auto"/>
          <w:sz w:val="24"/>
          <w:szCs w:val="24"/>
        </w:rPr>
        <w:t>纳税人识别号：913203007140365234</w:t>
      </w:r>
    </w:p>
    <w:p w14:paraId="3DC1F48F">
      <w:pPr>
        <w:spacing w:line="360" w:lineRule="auto"/>
        <w:ind w:firstLine="480" w:firstLineChars="200"/>
        <w:rPr>
          <w:rFonts w:hint="default" w:ascii="宋体" w:hAnsi="宋体"/>
          <w:b w:val="0"/>
          <w:bCs/>
          <w:color w:val="auto"/>
          <w:sz w:val="24"/>
          <w:szCs w:val="24"/>
        </w:rPr>
      </w:pPr>
      <w:r>
        <w:rPr>
          <w:rFonts w:hint="eastAsia" w:ascii="宋体" w:hAnsi="宋体"/>
          <w:b w:val="0"/>
          <w:bCs/>
          <w:color w:val="auto"/>
          <w:sz w:val="24"/>
          <w:szCs w:val="24"/>
        </w:rPr>
        <w:t>开户名称：</w:t>
      </w:r>
      <w:r>
        <w:rPr>
          <w:rFonts w:hint="default" w:ascii="宋体" w:hAnsi="宋体"/>
          <w:b w:val="0"/>
          <w:bCs/>
          <w:color w:val="auto"/>
          <w:sz w:val="24"/>
          <w:szCs w:val="24"/>
        </w:rPr>
        <w:t>中国移动通信集团江苏有限公司</w:t>
      </w:r>
    </w:p>
    <w:p w14:paraId="6ED11C5F">
      <w:pPr>
        <w:spacing w:line="360" w:lineRule="auto"/>
        <w:ind w:firstLine="480" w:firstLineChars="200"/>
        <w:rPr>
          <w:rFonts w:hint="eastAsia" w:ascii="宋体" w:hAnsi="宋体"/>
          <w:b w:val="0"/>
          <w:bCs/>
          <w:color w:val="auto"/>
          <w:sz w:val="24"/>
          <w:szCs w:val="24"/>
        </w:rPr>
      </w:pPr>
      <w:r>
        <w:rPr>
          <w:rFonts w:hint="eastAsia" w:ascii="宋体" w:hAnsi="宋体"/>
          <w:b w:val="0"/>
          <w:bCs/>
          <w:color w:val="auto"/>
          <w:sz w:val="24"/>
          <w:szCs w:val="24"/>
        </w:rPr>
        <w:t>开户行：中国建设银行徐州市城中支行</w:t>
      </w:r>
    </w:p>
    <w:p w14:paraId="49B2F8BE">
      <w:pPr>
        <w:spacing w:line="360" w:lineRule="auto"/>
        <w:ind w:firstLine="480" w:firstLineChars="200"/>
        <w:rPr>
          <w:rFonts w:hint="eastAsia" w:ascii="宋体" w:hAnsi="宋体"/>
          <w:b w:val="0"/>
          <w:bCs/>
          <w:color w:val="auto"/>
          <w:sz w:val="24"/>
          <w:szCs w:val="24"/>
        </w:rPr>
      </w:pPr>
      <w:r>
        <w:rPr>
          <w:rFonts w:hint="eastAsia" w:ascii="宋体" w:hAnsi="宋体"/>
          <w:b w:val="0"/>
          <w:bCs/>
          <w:color w:val="auto"/>
          <w:sz w:val="24"/>
          <w:szCs w:val="24"/>
        </w:rPr>
        <w:t>账号：32001718236052504679</w:t>
      </w:r>
    </w:p>
    <w:p w14:paraId="3F61607E">
      <w:pPr>
        <w:spacing w:line="360" w:lineRule="auto"/>
        <w:ind w:firstLine="480" w:firstLineChars="200"/>
        <w:rPr>
          <w:rFonts w:ascii="宋体" w:hAnsi="宋体"/>
          <w:b w:val="0"/>
          <w:bCs/>
          <w:color w:val="auto"/>
          <w:sz w:val="24"/>
          <w:szCs w:val="24"/>
        </w:rPr>
      </w:pPr>
      <w:r>
        <w:rPr>
          <w:rFonts w:hint="eastAsia" w:ascii="宋体" w:hAnsi="宋体"/>
          <w:b w:val="0"/>
          <w:bCs/>
          <w:color w:val="auto"/>
          <w:sz w:val="24"/>
          <w:szCs w:val="24"/>
        </w:rPr>
        <w:t>地址：</w:t>
      </w:r>
      <w:r>
        <w:rPr>
          <w:rFonts w:hint="eastAsia" w:ascii="宋体" w:hAnsi="宋体"/>
          <w:b w:val="0"/>
          <w:bCs/>
          <w:color w:val="auto"/>
          <w:sz w:val="24"/>
          <w:szCs w:val="24"/>
          <w:lang w:val="en-GB"/>
        </w:rPr>
        <w:t>徐州市云龙区绿地商务城（B6-1地块）1号楼</w:t>
      </w:r>
    </w:p>
    <w:p w14:paraId="5C4F5FE0">
      <w:pPr>
        <w:spacing w:line="360" w:lineRule="auto"/>
        <w:ind w:firstLine="480" w:firstLineChars="200"/>
        <w:rPr>
          <w:rFonts w:hint="eastAsia" w:ascii="宋体" w:hAnsi="宋体"/>
          <w:b w:val="0"/>
          <w:bCs/>
          <w:color w:val="auto"/>
          <w:sz w:val="24"/>
          <w:szCs w:val="24"/>
          <w:lang w:val="en-GB"/>
        </w:rPr>
      </w:pPr>
      <w:r>
        <w:rPr>
          <w:rFonts w:hint="eastAsia" w:ascii="宋体" w:hAnsi="宋体"/>
          <w:b w:val="0"/>
          <w:bCs/>
          <w:color w:val="auto"/>
          <w:sz w:val="24"/>
          <w:szCs w:val="24"/>
        </w:rPr>
        <w:t>联系电话：</w:t>
      </w:r>
      <w:r>
        <w:rPr>
          <w:rFonts w:hint="eastAsia" w:ascii="宋体" w:hAnsi="宋体"/>
          <w:b w:val="0"/>
          <w:bCs/>
          <w:color w:val="auto"/>
          <w:sz w:val="24"/>
          <w:szCs w:val="24"/>
          <w:lang w:val="en-GB"/>
        </w:rPr>
        <w:t>051683620902</w:t>
      </w:r>
    </w:p>
    <w:p w14:paraId="721A4EE0">
      <w:pPr>
        <w:snapToGrid w:val="0"/>
        <w:spacing w:line="360" w:lineRule="auto"/>
        <w:ind w:firstLine="480" w:firstLineChars="200"/>
        <w:rPr>
          <w:rFonts w:ascii="宋体" w:hAnsi="宋体"/>
          <w:color w:val="000000"/>
          <w:sz w:val="24"/>
          <w:szCs w:val="24"/>
        </w:rPr>
      </w:pPr>
      <w:r>
        <w:rPr>
          <w:rFonts w:hint="eastAsia" w:ascii="宋体" w:hAnsi="宋体"/>
          <w:color w:val="000000"/>
          <w:sz w:val="24"/>
          <w:szCs w:val="24"/>
        </w:rPr>
        <w:t>3.4 其他事项</w:t>
      </w:r>
    </w:p>
    <w:p w14:paraId="060C8D2E">
      <w:pPr>
        <w:snapToGrid w:val="0"/>
        <w:spacing w:line="360" w:lineRule="auto"/>
        <w:ind w:firstLine="480" w:firstLineChars="200"/>
        <w:rPr>
          <w:rFonts w:hint="eastAsia"/>
        </w:rPr>
      </w:pPr>
      <w:r>
        <w:rPr>
          <w:rFonts w:hint="eastAsia" w:ascii="宋体"/>
          <w:bCs/>
          <w:color w:val="000000"/>
          <w:sz w:val="24"/>
          <w:szCs w:val="24"/>
        </w:rPr>
        <w:t>如项目涉及业主单位审计，则累计付款金额为本合同中</w:t>
      </w:r>
      <w:r>
        <w:rPr>
          <w:rFonts w:hint="eastAsia" w:ascii="宋体"/>
          <w:bCs/>
          <w:color w:val="000000"/>
          <w:sz w:val="24"/>
          <w:szCs w:val="24"/>
          <w:lang w:val="en-US" w:eastAsia="zh-Hans"/>
        </w:rPr>
        <w:t>集成服务</w:t>
      </w:r>
      <w:r>
        <w:rPr>
          <w:rFonts w:hint="eastAsia" w:ascii="宋体"/>
          <w:bCs/>
          <w:color w:val="000000"/>
          <w:sz w:val="24"/>
          <w:szCs w:val="24"/>
        </w:rPr>
        <w:t>总价*（业主单位与甲方签订的前向合同审计价/业主单位与甲方签订的前向合同价）的100%；上述分次付款金额为分次付款比例*【本合同中</w:t>
      </w:r>
      <w:r>
        <w:rPr>
          <w:rFonts w:hint="eastAsia" w:ascii="宋体"/>
          <w:bCs/>
          <w:color w:val="000000"/>
          <w:sz w:val="24"/>
          <w:szCs w:val="24"/>
          <w:lang w:val="en-US" w:eastAsia="zh-Hans"/>
        </w:rPr>
        <w:t>集成服务</w:t>
      </w:r>
      <w:r>
        <w:rPr>
          <w:rFonts w:hint="eastAsia" w:ascii="宋体"/>
          <w:bCs/>
          <w:color w:val="000000"/>
          <w:sz w:val="24"/>
          <w:szCs w:val="24"/>
        </w:rPr>
        <w:t>总价*（业主单位与甲方签订的前向合同审计价/业主单位与甲方签订的前向合同价）的100%】。</w:t>
      </w:r>
    </w:p>
    <w:p w14:paraId="53F13231">
      <w:pPr>
        <w:snapToGrid w:val="0"/>
        <w:spacing w:line="360" w:lineRule="auto"/>
        <w:ind w:firstLine="480" w:firstLineChars="200"/>
        <w:rPr>
          <w:rFonts w:hint="eastAsia" w:ascii="宋体"/>
          <w:bCs/>
          <w:color w:val="000000"/>
          <w:sz w:val="24"/>
          <w:szCs w:val="24"/>
        </w:rPr>
      </w:pPr>
      <w:r>
        <w:rPr>
          <w:rFonts w:hint="eastAsia" w:ascii="宋体"/>
          <w:bCs/>
          <w:color w:val="000000"/>
          <w:sz w:val="24"/>
          <w:szCs w:val="24"/>
        </w:rPr>
        <w:t>在合同履行过程中，如遇国家税率政策变更，对于合同未履行完毕的部分，在原标的不含税（单）价不变的基础上，按照新税率重新计算标的含税（单）价/合同总价，并且继续履行，后续不再另行签订补充协议。</w:t>
      </w:r>
    </w:p>
    <w:p w14:paraId="10538CAE">
      <w:pPr>
        <w:pStyle w:val="3"/>
        <w:keepNext/>
        <w:keepLines/>
        <w:tabs>
          <w:tab w:val="left" w:pos="855"/>
          <w:tab w:val="left" w:pos="1280"/>
        </w:tabs>
        <w:spacing w:before="360" w:after="360" w:line="400" w:lineRule="atLeast"/>
        <w:ind w:left="1280" w:hanging="855"/>
        <w:textAlignment w:val="auto"/>
        <w:rPr>
          <w:rFonts w:hint="eastAsia"/>
          <w:b w:val="0"/>
          <w:bCs w:val="0"/>
          <w:kern w:val="44"/>
          <w:sz w:val="28"/>
          <w:szCs w:val="20"/>
        </w:rPr>
      </w:pPr>
      <w:r>
        <w:rPr>
          <w:b w:val="0"/>
          <w:bCs w:val="0"/>
          <w:kern w:val="44"/>
          <w:sz w:val="28"/>
          <w:szCs w:val="20"/>
        </w:rPr>
        <w:t>第四条 双方当事人的权利义务</w:t>
      </w:r>
    </w:p>
    <w:p w14:paraId="2C1A4CFF">
      <w:pPr>
        <w:pStyle w:val="7"/>
        <w:spacing w:after="0" w:line="360" w:lineRule="auto"/>
        <w:rPr>
          <w:rFonts w:hint="eastAsia"/>
          <w:color w:val="000000"/>
          <w:sz w:val="24"/>
          <w:szCs w:val="22"/>
        </w:rPr>
      </w:pPr>
      <w:r>
        <w:rPr>
          <w:rFonts w:hint="eastAsia"/>
          <w:color w:val="000000"/>
          <w:sz w:val="24"/>
          <w:szCs w:val="22"/>
        </w:rPr>
        <w:t>4.1甲方权利义务</w:t>
      </w:r>
    </w:p>
    <w:p w14:paraId="39387AB7">
      <w:pPr>
        <w:pStyle w:val="7"/>
        <w:spacing w:after="0" w:line="360" w:lineRule="auto"/>
        <w:ind w:firstLine="480" w:firstLineChars="200"/>
        <w:rPr>
          <w:rFonts w:hint="eastAsia"/>
          <w:color w:val="000000"/>
          <w:sz w:val="24"/>
          <w:szCs w:val="22"/>
        </w:rPr>
      </w:pPr>
      <w:r>
        <w:rPr>
          <w:rFonts w:hint="eastAsia"/>
          <w:color w:val="000000"/>
          <w:sz w:val="24"/>
          <w:szCs w:val="22"/>
        </w:rPr>
        <w:t>1.甲方应按本合同约定向乙方支付合同费用。</w:t>
      </w:r>
    </w:p>
    <w:p w14:paraId="4A90A78F">
      <w:pPr>
        <w:pStyle w:val="7"/>
        <w:spacing w:after="0" w:line="360" w:lineRule="auto"/>
        <w:ind w:firstLine="480" w:firstLineChars="200"/>
        <w:rPr>
          <w:rFonts w:hint="eastAsia"/>
          <w:color w:val="000000"/>
          <w:sz w:val="24"/>
          <w:szCs w:val="22"/>
        </w:rPr>
      </w:pPr>
      <w:r>
        <w:rPr>
          <w:rFonts w:hint="eastAsia"/>
          <w:color w:val="000000"/>
          <w:sz w:val="24"/>
          <w:szCs w:val="22"/>
        </w:rPr>
        <w:t>2.甲方应按本合同约定向乙方</w:t>
      </w:r>
      <w:r>
        <w:rPr>
          <w:rFonts w:hint="eastAsia" w:ascii="宋体"/>
          <w:color w:val="000000"/>
          <w:sz w:val="24"/>
          <w:szCs w:val="22"/>
        </w:rPr>
        <w:t>提供各种配合条件，指派相应的管理人员、技术人员参加需求分析、系统安装、系统测试、技术指导和其它辅助工作</w:t>
      </w:r>
      <w:r>
        <w:rPr>
          <w:rFonts w:hint="eastAsia"/>
          <w:color w:val="000000"/>
          <w:sz w:val="24"/>
          <w:szCs w:val="22"/>
        </w:rPr>
        <w:t>，并对软件进行初验和终验。</w:t>
      </w:r>
    </w:p>
    <w:p w14:paraId="7C8A4BEF">
      <w:pPr>
        <w:pStyle w:val="7"/>
        <w:spacing w:after="0" w:line="360" w:lineRule="auto"/>
        <w:ind w:firstLine="480" w:firstLineChars="200"/>
        <w:rPr>
          <w:rFonts w:hint="eastAsia"/>
          <w:color w:val="000000"/>
          <w:sz w:val="24"/>
          <w:szCs w:val="22"/>
        </w:rPr>
      </w:pPr>
      <w:r>
        <w:rPr>
          <w:rFonts w:hint="eastAsia"/>
          <w:color w:val="000000"/>
          <w:sz w:val="24"/>
          <w:szCs w:val="22"/>
        </w:rPr>
        <w:t>3.甲方不得将由乙方开发、未经初验的应用软件运用于生产系统，乙方有义务向甲方明示其风险。</w:t>
      </w:r>
    </w:p>
    <w:p w14:paraId="257F787F">
      <w:pPr>
        <w:pStyle w:val="7"/>
        <w:spacing w:after="0" w:line="360" w:lineRule="auto"/>
        <w:ind w:left="520"/>
        <w:rPr>
          <w:color w:val="000000"/>
          <w:sz w:val="24"/>
          <w:szCs w:val="22"/>
        </w:rPr>
      </w:pPr>
      <w:r>
        <w:rPr>
          <w:rFonts w:hint="eastAsia"/>
          <w:color w:val="000000"/>
          <w:sz w:val="24"/>
          <w:szCs w:val="22"/>
        </w:rPr>
        <w:t>4.2 乙方权利义务</w:t>
      </w:r>
    </w:p>
    <w:p w14:paraId="549B243F">
      <w:pPr>
        <w:pStyle w:val="7"/>
        <w:spacing w:after="0" w:line="360" w:lineRule="auto"/>
        <w:ind w:firstLine="480" w:firstLineChars="200"/>
        <w:rPr>
          <w:rFonts w:hint="eastAsia"/>
          <w:color w:val="000000"/>
          <w:sz w:val="24"/>
          <w:szCs w:val="22"/>
        </w:rPr>
      </w:pPr>
      <w:r>
        <w:rPr>
          <w:rFonts w:hint="eastAsia"/>
          <w:color w:val="000000"/>
          <w:sz w:val="24"/>
          <w:szCs w:val="22"/>
        </w:rPr>
        <w:t>1.乙方应按照附件</w:t>
      </w:r>
      <w:r>
        <w:rPr>
          <w:rFonts w:hint="eastAsia"/>
          <w:color w:val="000000"/>
          <w:sz w:val="24"/>
          <w:szCs w:val="22"/>
          <w:lang w:val="en-US" w:eastAsia="zh-Hans"/>
        </w:rPr>
        <w:t>一</w:t>
      </w:r>
      <w:r>
        <w:rPr>
          <w:rFonts w:hint="eastAsia"/>
          <w:color w:val="000000"/>
          <w:sz w:val="24"/>
          <w:szCs w:val="22"/>
        </w:rPr>
        <w:t>业务规范</w:t>
      </w:r>
      <w:r>
        <w:rPr>
          <w:color w:val="000000"/>
          <w:sz w:val="24"/>
          <w:szCs w:val="22"/>
        </w:rPr>
        <w:t>要</w:t>
      </w:r>
      <w:r>
        <w:rPr>
          <w:rFonts w:hint="eastAsia"/>
          <w:color w:val="000000"/>
          <w:sz w:val="24"/>
          <w:szCs w:val="22"/>
        </w:rPr>
        <w:t>求或双方商定并确认的其它书面资料所叙述的软件功能要求，以及在软件开发过程中所补充商定并确认的《软件功能需求变更说明书》所叙述的软件功能要求，进行软件开发和调试。乙方人员的调整必须经过甲方的书面同意，其中关键人员不得调整。对无法胜任工作的乙方人员，甲方有权要求调整。</w:t>
      </w:r>
    </w:p>
    <w:p w14:paraId="5DB4C8EB">
      <w:pPr>
        <w:pStyle w:val="7"/>
        <w:spacing w:after="0" w:line="360" w:lineRule="auto"/>
        <w:ind w:firstLine="480" w:firstLineChars="200"/>
        <w:rPr>
          <w:color w:val="000000"/>
          <w:sz w:val="24"/>
          <w:szCs w:val="22"/>
        </w:rPr>
      </w:pPr>
      <w:r>
        <w:rPr>
          <w:rFonts w:hint="eastAsia"/>
          <w:color w:val="000000"/>
          <w:sz w:val="24"/>
          <w:szCs w:val="22"/>
        </w:rPr>
        <w:t>2.乙方应在收到甲方出具的《软件终验报告》之后的5日内，向甲方交付（包括但不限于）：应用程序源代码、应用软件可执行代码、需求说明文档、技术设计文档、功能说明文档、测试验收文档、割接上线文档、用户操作手册和软件维护手册，以及本合同需要交付的文档和资料。若由于乙方原因造成不能按期交付，甲方有权按照本合同的相关条款追究乙方的责任。</w:t>
      </w:r>
    </w:p>
    <w:p w14:paraId="21489820">
      <w:pPr>
        <w:pStyle w:val="7"/>
        <w:spacing w:after="0" w:line="360" w:lineRule="auto"/>
        <w:ind w:firstLine="480" w:firstLineChars="200"/>
        <w:rPr>
          <w:rFonts w:hint="eastAsia"/>
          <w:color w:val="000000"/>
          <w:sz w:val="24"/>
          <w:szCs w:val="22"/>
        </w:rPr>
      </w:pPr>
      <w:r>
        <w:rPr>
          <w:rFonts w:hint="eastAsia"/>
          <w:color w:val="000000"/>
          <w:sz w:val="24"/>
          <w:szCs w:val="22"/>
        </w:rPr>
        <w:t>3.乙方应按照双方商定并确认的书面资料所叙述的软件开发时间进度，进行本软件的开发。由于乙方原因造成软件开发工作中断或拖延，甲方有权按照本合同的相关条款追究乙方的责任。如果工程进度由于甲方的原因推迟，则本合同履行应相应顺延。双方应按顺延后的日期履行本合同，顺延日期已甲方书面通知的为准。</w:t>
      </w:r>
    </w:p>
    <w:p w14:paraId="38F4785C">
      <w:pPr>
        <w:pStyle w:val="7"/>
        <w:tabs>
          <w:tab w:val="left" w:pos="6720"/>
        </w:tabs>
        <w:spacing w:after="0" w:line="360" w:lineRule="auto"/>
        <w:ind w:firstLine="480" w:firstLineChars="200"/>
        <w:rPr>
          <w:rFonts w:hint="eastAsia"/>
          <w:color w:val="000000"/>
          <w:sz w:val="24"/>
          <w:szCs w:val="22"/>
        </w:rPr>
      </w:pPr>
      <w:r>
        <w:rPr>
          <w:rFonts w:hint="eastAsia"/>
          <w:color w:val="000000"/>
          <w:sz w:val="24"/>
          <w:szCs w:val="22"/>
        </w:rPr>
        <w:t>4.乙方向甲方提供与本合同应用软件相关的技术支持服务。</w:t>
      </w:r>
    </w:p>
    <w:p w14:paraId="247B94B0">
      <w:pPr>
        <w:pStyle w:val="7"/>
        <w:spacing w:after="0" w:line="360" w:lineRule="auto"/>
        <w:ind w:firstLine="480" w:firstLineChars="200"/>
        <w:rPr>
          <w:rFonts w:hint="eastAsia"/>
          <w:color w:val="000000"/>
          <w:sz w:val="24"/>
          <w:szCs w:val="22"/>
        </w:rPr>
      </w:pPr>
      <w:r>
        <w:rPr>
          <w:rFonts w:hint="eastAsia"/>
          <w:color w:val="000000"/>
          <w:sz w:val="24"/>
          <w:szCs w:val="22"/>
        </w:rPr>
        <w:t>5.若由于乙方以外的原因（包括，但不限于国家政策调整、甲方原因、）需要对双方商定并确认的书面资料所叙述的软件功能进行修改，甲方应向乙方提交《软件功能需求变更申请书》，乙方应在收到《软件功能需求变更申请书》之后5日内，与甲方进行技术论证和友好协商，编写并确认《软件功能需求变更说明书》，乙方负责按照《软件功能需求变更说明书》对本软件进行修改。</w:t>
      </w:r>
    </w:p>
    <w:p w14:paraId="698FBB8A">
      <w:pPr>
        <w:pStyle w:val="3"/>
        <w:keepNext/>
        <w:keepLines/>
        <w:tabs>
          <w:tab w:val="left" w:pos="855"/>
          <w:tab w:val="left" w:pos="1280"/>
        </w:tabs>
        <w:spacing w:before="360" w:after="360" w:line="400" w:lineRule="atLeast"/>
        <w:ind w:left="1280" w:hanging="855"/>
        <w:textAlignment w:val="auto"/>
        <w:rPr>
          <w:b w:val="0"/>
          <w:bCs w:val="0"/>
          <w:kern w:val="44"/>
          <w:sz w:val="28"/>
          <w:szCs w:val="20"/>
        </w:rPr>
      </w:pPr>
      <w:r>
        <w:rPr>
          <w:b w:val="0"/>
          <w:bCs w:val="0"/>
          <w:kern w:val="44"/>
          <w:sz w:val="28"/>
          <w:szCs w:val="20"/>
        </w:rPr>
        <w:t>第五条 验收标准和方法</w:t>
      </w:r>
    </w:p>
    <w:p w14:paraId="17DE8905">
      <w:pPr>
        <w:pStyle w:val="7"/>
        <w:spacing w:after="0" w:line="360" w:lineRule="auto"/>
        <w:rPr>
          <w:rFonts w:hint="eastAsia"/>
          <w:color w:val="000000"/>
          <w:sz w:val="24"/>
          <w:szCs w:val="22"/>
        </w:rPr>
      </w:pPr>
      <w:r>
        <w:rPr>
          <w:rFonts w:hint="eastAsia"/>
          <w:color w:val="000000"/>
          <w:sz w:val="24"/>
          <w:szCs w:val="22"/>
        </w:rPr>
        <w:t>5.1 乙方提供的软件必须满足技术业务规范的要求。</w:t>
      </w:r>
    </w:p>
    <w:p w14:paraId="3B156DB9">
      <w:pPr>
        <w:pStyle w:val="7"/>
        <w:spacing w:after="0" w:line="360" w:lineRule="auto"/>
        <w:rPr>
          <w:rFonts w:hint="eastAsia"/>
          <w:color w:val="000000"/>
          <w:sz w:val="24"/>
          <w:szCs w:val="22"/>
        </w:rPr>
      </w:pPr>
      <w:r>
        <w:rPr>
          <w:rFonts w:hint="eastAsia"/>
          <w:color w:val="000000"/>
          <w:sz w:val="24"/>
          <w:szCs w:val="22"/>
        </w:rPr>
        <w:t>5.2 乙方应在本合同的相关条款及附件或本合同的相关补充条款或按照双方商定并确认的书面资料所规定的软件初验日期</w:t>
      </w:r>
      <w:r>
        <w:rPr>
          <w:color w:val="000000"/>
          <w:sz w:val="24"/>
          <w:szCs w:val="22"/>
        </w:rPr>
        <w:t>5</w:t>
      </w:r>
      <w:r>
        <w:rPr>
          <w:rFonts w:hint="eastAsia"/>
          <w:color w:val="000000"/>
          <w:sz w:val="24"/>
          <w:szCs w:val="22"/>
        </w:rPr>
        <w:t>日内向甲方提交《软件初验申请报告》。</w:t>
      </w:r>
    </w:p>
    <w:p w14:paraId="242541D9">
      <w:pPr>
        <w:pStyle w:val="7"/>
        <w:spacing w:after="0" w:line="360" w:lineRule="auto"/>
        <w:rPr>
          <w:color w:val="000000"/>
          <w:sz w:val="24"/>
          <w:szCs w:val="22"/>
        </w:rPr>
      </w:pPr>
      <w:r>
        <w:rPr>
          <w:rFonts w:hint="eastAsia"/>
          <w:color w:val="000000"/>
          <w:sz w:val="24"/>
          <w:szCs w:val="22"/>
        </w:rPr>
        <w:t>5.3甲方应在接到《软件初验申请报告》的10日内，按照验收标准对软件进行初验，并出具《软件初验报告》。若由于乙方原因造成软件不能按期初验，甲方有权按照本合同的相关条款追究乙方的责任。</w:t>
      </w:r>
    </w:p>
    <w:p w14:paraId="117F1816">
      <w:pPr>
        <w:pStyle w:val="7"/>
        <w:spacing w:after="0" w:line="360" w:lineRule="auto"/>
        <w:rPr>
          <w:color w:val="000000"/>
          <w:sz w:val="24"/>
          <w:szCs w:val="22"/>
        </w:rPr>
      </w:pPr>
      <w:r>
        <w:rPr>
          <w:rFonts w:hint="eastAsia"/>
          <w:color w:val="000000"/>
          <w:sz w:val="24"/>
          <w:szCs w:val="22"/>
        </w:rPr>
        <w:t>5.4从初验证书签署后的第2日起，甲方对合同软件进行试运行。如果在试运行期内发现合同软件的功能和性能与本合同的约定有任何不符，乙方应当对其进行修改和矫正，直至达到乙方承诺满足的技术要求和指标。在试运行期间，如果软件不能正常工作，发生以下故障的，甲方有权解除合同，乙方应承担因此给甲方方造成的损失：</w:t>
      </w:r>
    </w:p>
    <w:p w14:paraId="087EC6DB">
      <w:pPr>
        <w:pStyle w:val="7"/>
        <w:ind w:firstLine="480" w:firstLineChars="200"/>
        <w:rPr>
          <w:color w:val="000000"/>
          <w:sz w:val="24"/>
          <w:szCs w:val="22"/>
        </w:rPr>
      </w:pPr>
      <w:r>
        <w:rPr>
          <w:rFonts w:hint="eastAsia"/>
          <w:color w:val="000000"/>
          <w:sz w:val="24"/>
          <w:szCs w:val="22"/>
        </w:rPr>
        <w:t>（1）乙方原因造成的合同系统瘫痪，系统（包括但不限于接口数据处理、用户应用访问、系统运行）无法正常工作达到或超过【4】小时；</w:t>
      </w:r>
    </w:p>
    <w:p w14:paraId="7025FE68">
      <w:pPr>
        <w:pStyle w:val="7"/>
        <w:ind w:firstLine="480" w:firstLineChars="200"/>
        <w:rPr>
          <w:color w:val="000000"/>
          <w:sz w:val="24"/>
          <w:szCs w:val="22"/>
        </w:rPr>
      </w:pPr>
      <w:r>
        <w:rPr>
          <w:rFonts w:hint="eastAsia"/>
          <w:color w:val="000000"/>
          <w:sz w:val="24"/>
          <w:szCs w:val="22"/>
        </w:rPr>
        <w:t>（2）系统试运行期间，由乙方软件原因造成的系统无法正常工作的情况一周以内发生【2】次或以上、或一月以内发生【4】次或以上。</w:t>
      </w:r>
    </w:p>
    <w:p w14:paraId="364962BC">
      <w:pPr>
        <w:pStyle w:val="7"/>
        <w:spacing w:after="0" w:line="360" w:lineRule="auto"/>
        <w:ind w:firstLine="480" w:firstLineChars="200"/>
        <w:rPr>
          <w:color w:val="000000"/>
          <w:sz w:val="24"/>
          <w:szCs w:val="22"/>
        </w:rPr>
      </w:pPr>
      <w:r>
        <w:rPr>
          <w:rFonts w:hint="eastAsia"/>
          <w:color w:val="000000"/>
          <w:sz w:val="24"/>
          <w:szCs w:val="22"/>
        </w:rPr>
        <w:t>如果系统发生上述两项所描述的故障而甲方未提出解除合同或系统发生其他故障，乙方应当在甲方指定期限内免费进行更正、修改，或在满足甲方的业务需求前提下，及时免费进行相应系统的替换。甲方有权根据故障的具体情况决定试运行期从故障排除之日起重新开始计算或试运行期根据故障持续的时间从故障排除之日起顺延。</w:t>
      </w:r>
    </w:p>
    <w:p w14:paraId="56C1A6CE">
      <w:pPr>
        <w:pStyle w:val="7"/>
        <w:spacing w:after="0" w:line="360" w:lineRule="auto"/>
        <w:ind w:firstLine="480" w:firstLineChars="200"/>
        <w:rPr>
          <w:color w:val="000000"/>
          <w:sz w:val="24"/>
          <w:szCs w:val="22"/>
        </w:rPr>
      </w:pPr>
      <w:r>
        <w:rPr>
          <w:rFonts w:hint="eastAsia"/>
          <w:color w:val="000000"/>
          <w:sz w:val="24"/>
          <w:szCs w:val="22"/>
        </w:rPr>
        <w:t>试运行结束后，乙方向甲方提交《软件终验申请报告》，甲方应在接到《软件终验申请报告》的10日内，按照验收标准对软件进行终验，并出具《软件终验报告》。若由于乙方原因造成软件不能终验，甲方有权按照本合同的相关条款追究乙方的责任。终验证书仅作为乙方履行其义务的必要证据，其签署并不免除乙方对合同系统质量缺陷或瑕疵的担保责任。</w:t>
      </w:r>
    </w:p>
    <w:p w14:paraId="4FBED5C4">
      <w:pPr>
        <w:pStyle w:val="3"/>
        <w:keepNext/>
        <w:keepLines/>
        <w:tabs>
          <w:tab w:val="left" w:pos="855"/>
          <w:tab w:val="left" w:pos="1280"/>
        </w:tabs>
        <w:spacing w:before="360" w:after="360" w:line="400" w:lineRule="atLeast"/>
        <w:ind w:left="1280" w:hanging="855"/>
        <w:textAlignment w:val="auto"/>
        <w:rPr>
          <w:b w:val="0"/>
          <w:bCs w:val="0"/>
          <w:kern w:val="44"/>
          <w:sz w:val="28"/>
          <w:szCs w:val="20"/>
        </w:rPr>
      </w:pPr>
      <w:r>
        <w:rPr>
          <w:b w:val="0"/>
          <w:bCs w:val="0"/>
          <w:kern w:val="44"/>
          <w:sz w:val="28"/>
          <w:szCs w:val="20"/>
        </w:rPr>
        <w:t>第六条 违约</w:t>
      </w:r>
      <w:r>
        <w:rPr>
          <w:rFonts w:hint="eastAsia"/>
          <w:b w:val="0"/>
          <w:bCs w:val="0"/>
          <w:kern w:val="44"/>
          <w:sz w:val="28"/>
          <w:szCs w:val="20"/>
        </w:rPr>
        <w:t>责任</w:t>
      </w:r>
    </w:p>
    <w:p w14:paraId="654EC8F8">
      <w:pPr>
        <w:pStyle w:val="7"/>
        <w:spacing w:after="0" w:line="360" w:lineRule="auto"/>
        <w:rPr>
          <w:rFonts w:hint="eastAsia"/>
          <w:color w:val="auto"/>
          <w:sz w:val="24"/>
          <w:szCs w:val="22"/>
        </w:rPr>
      </w:pPr>
      <w:r>
        <w:rPr>
          <w:rFonts w:hint="eastAsia"/>
          <w:color w:val="auto"/>
          <w:sz w:val="24"/>
          <w:szCs w:val="22"/>
        </w:rPr>
        <w:t>6.1由于乙方的责任，造成软件不能按合同的计划进度交付，乙方每七天按合同总额的</w:t>
      </w:r>
      <w:r>
        <w:rPr>
          <w:color w:val="auto"/>
          <w:sz w:val="24"/>
          <w:szCs w:val="22"/>
        </w:rPr>
        <w:t>0.5%</w:t>
      </w:r>
      <w:r>
        <w:rPr>
          <w:rFonts w:hint="eastAsia"/>
          <w:color w:val="auto"/>
          <w:sz w:val="24"/>
          <w:szCs w:val="22"/>
        </w:rPr>
        <w:t>向甲方支付违约金，不足七天按七天计算。延迟交付超过三个月，甲方有权解除合同并要求乙方返还已支付款项并支付合同总金额</w:t>
      </w:r>
      <w:r>
        <w:rPr>
          <w:rFonts w:hint="eastAsia"/>
          <w:color w:val="auto"/>
          <w:sz w:val="24"/>
          <w:szCs w:val="22"/>
          <w:u w:val="none"/>
          <w:lang w:val="en-US" w:eastAsia="zh-CN"/>
        </w:rPr>
        <w:t>20</w:t>
      </w:r>
      <w:r>
        <w:rPr>
          <w:rFonts w:hint="eastAsia"/>
          <w:color w:val="auto"/>
          <w:sz w:val="24"/>
          <w:szCs w:val="22"/>
          <w:u w:val="none"/>
        </w:rPr>
        <w:t xml:space="preserve"> </w:t>
      </w:r>
      <w:r>
        <w:rPr>
          <w:rFonts w:hint="eastAsia"/>
          <w:color w:val="auto"/>
          <w:sz w:val="24"/>
          <w:szCs w:val="22"/>
        </w:rPr>
        <w:t>%的违约金，违约金不足以弥补损失的，甲方有权继续向乙方追偿。</w:t>
      </w:r>
    </w:p>
    <w:p w14:paraId="051DA91D">
      <w:pPr>
        <w:pStyle w:val="7"/>
        <w:spacing w:after="0" w:line="360" w:lineRule="auto"/>
        <w:rPr>
          <w:color w:val="auto"/>
          <w:sz w:val="24"/>
          <w:szCs w:val="22"/>
        </w:rPr>
      </w:pPr>
      <w:r>
        <w:rPr>
          <w:rFonts w:hint="eastAsia"/>
          <w:color w:val="auto"/>
          <w:sz w:val="24"/>
          <w:szCs w:val="22"/>
        </w:rPr>
        <w:t>6.2未经甲方同意乙方擅自进行人员调整而影响甲方系统建设，乙方需向甲方支付合同总金额</w:t>
      </w:r>
      <w:r>
        <w:rPr>
          <w:rFonts w:hint="eastAsia"/>
          <w:color w:val="auto"/>
          <w:sz w:val="24"/>
          <w:szCs w:val="22"/>
          <w:u w:val="none"/>
        </w:rPr>
        <w:t xml:space="preserve"> </w:t>
      </w:r>
      <w:r>
        <w:rPr>
          <w:rFonts w:hint="eastAsia"/>
          <w:color w:val="auto"/>
          <w:sz w:val="24"/>
          <w:szCs w:val="22"/>
          <w:u w:val="none"/>
          <w:lang w:val="en-US" w:eastAsia="zh-CN"/>
        </w:rPr>
        <w:t>20</w:t>
      </w:r>
      <w:r>
        <w:rPr>
          <w:rFonts w:hint="eastAsia"/>
          <w:color w:val="auto"/>
          <w:sz w:val="24"/>
          <w:szCs w:val="22"/>
          <w:u w:val="none"/>
        </w:rPr>
        <w:t xml:space="preserve"> </w:t>
      </w:r>
      <w:r>
        <w:rPr>
          <w:rFonts w:hint="eastAsia"/>
          <w:color w:val="auto"/>
          <w:sz w:val="24"/>
          <w:szCs w:val="22"/>
        </w:rPr>
        <w:t>%的违约金，违约金不足以弥补损失的，甲方有权继续向乙方追偿。</w:t>
      </w:r>
    </w:p>
    <w:p w14:paraId="6F9069D8">
      <w:pPr>
        <w:pStyle w:val="7"/>
        <w:spacing w:after="0" w:line="360" w:lineRule="auto"/>
        <w:rPr>
          <w:color w:val="auto"/>
          <w:sz w:val="24"/>
          <w:szCs w:val="22"/>
        </w:rPr>
      </w:pPr>
      <w:r>
        <w:rPr>
          <w:rFonts w:hint="eastAsia"/>
          <w:color w:val="auto"/>
          <w:sz w:val="24"/>
          <w:szCs w:val="22"/>
        </w:rPr>
        <w:t>6.3由于甲方原因延迟付款，则甲方每延迟七天需向乙方支付延迟付款部分总额的</w:t>
      </w:r>
      <w:r>
        <w:rPr>
          <w:color w:val="auto"/>
          <w:sz w:val="24"/>
          <w:szCs w:val="22"/>
        </w:rPr>
        <w:t>0.5%</w:t>
      </w:r>
      <w:r>
        <w:rPr>
          <w:rFonts w:hint="eastAsia"/>
          <w:color w:val="auto"/>
          <w:sz w:val="24"/>
          <w:szCs w:val="22"/>
        </w:rPr>
        <w:t>的罚金，不足七天按七天计算，但罚金总额不超过延迟付款部分总额的</w:t>
      </w:r>
      <w:r>
        <w:rPr>
          <w:color w:val="auto"/>
          <w:sz w:val="24"/>
          <w:szCs w:val="22"/>
        </w:rPr>
        <w:t>5%</w:t>
      </w:r>
      <w:r>
        <w:rPr>
          <w:rFonts w:hint="eastAsia"/>
          <w:color w:val="auto"/>
          <w:sz w:val="24"/>
          <w:szCs w:val="22"/>
        </w:rPr>
        <w:t>。</w:t>
      </w:r>
    </w:p>
    <w:p w14:paraId="04780E41">
      <w:pPr>
        <w:pStyle w:val="7"/>
        <w:spacing w:after="0" w:line="360" w:lineRule="auto"/>
        <w:rPr>
          <w:rFonts w:hint="eastAsia"/>
          <w:color w:val="auto"/>
          <w:sz w:val="24"/>
          <w:szCs w:val="22"/>
        </w:rPr>
      </w:pPr>
      <w:r>
        <w:rPr>
          <w:rFonts w:hint="eastAsia"/>
          <w:color w:val="auto"/>
          <w:sz w:val="24"/>
          <w:szCs w:val="22"/>
        </w:rPr>
        <w:t>6.4乙方未按约定提供服务的，乙方赔偿甲方所遭受的所有损失，乙方同时负责提供满足本合同要求的服务给甲方。</w:t>
      </w:r>
    </w:p>
    <w:p w14:paraId="53C136C3">
      <w:pPr>
        <w:pStyle w:val="7"/>
        <w:spacing w:after="0" w:line="360" w:lineRule="auto"/>
        <w:rPr>
          <w:color w:val="000000"/>
          <w:sz w:val="24"/>
          <w:szCs w:val="22"/>
        </w:rPr>
      </w:pPr>
      <w:r>
        <w:rPr>
          <w:rFonts w:hint="eastAsia"/>
          <w:color w:val="auto"/>
          <w:sz w:val="24"/>
          <w:szCs w:val="22"/>
        </w:rPr>
        <w:t>6.5如一方违约，守约方按上述违约条款要求违约方支付违约金时，应书面通知违约方，并说明违约金的金额；违约方应在收到通知后的一周内答复对方；否则，将视为违约方已接受对方的索赔要求。违约方在双方就违约金金额达成协议后的</w:t>
      </w:r>
      <w:r>
        <w:rPr>
          <w:color w:val="auto"/>
          <w:sz w:val="24"/>
          <w:szCs w:val="22"/>
        </w:rPr>
        <w:t>20天内，将违约金支付给对方，否则，按逾期付款处理。</w:t>
      </w:r>
    </w:p>
    <w:p w14:paraId="4A99A559">
      <w:pPr>
        <w:pStyle w:val="3"/>
        <w:keepNext/>
        <w:keepLines/>
        <w:tabs>
          <w:tab w:val="left" w:pos="855"/>
          <w:tab w:val="left" w:pos="1280"/>
        </w:tabs>
        <w:spacing w:before="360" w:after="360" w:line="400" w:lineRule="atLeast"/>
        <w:ind w:left="1280" w:hanging="855"/>
        <w:textAlignment w:val="auto"/>
        <w:rPr>
          <w:b w:val="0"/>
          <w:bCs w:val="0"/>
          <w:kern w:val="44"/>
          <w:sz w:val="28"/>
          <w:szCs w:val="20"/>
        </w:rPr>
      </w:pPr>
      <w:r>
        <w:rPr>
          <w:b w:val="0"/>
          <w:bCs w:val="0"/>
          <w:kern w:val="44"/>
          <w:sz w:val="28"/>
          <w:szCs w:val="20"/>
        </w:rPr>
        <w:t>第七条</w:t>
      </w:r>
      <w:r>
        <w:rPr>
          <w:rFonts w:hint="eastAsia"/>
          <w:b w:val="0"/>
          <w:bCs w:val="0"/>
          <w:kern w:val="44"/>
          <w:sz w:val="28"/>
          <w:szCs w:val="20"/>
        </w:rPr>
        <w:t xml:space="preserve"> 技术支持和软件升级</w:t>
      </w:r>
      <w:r>
        <w:rPr>
          <w:b w:val="0"/>
          <w:bCs w:val="0"/>
          <w:kern w:val="44"/>
          <w:sz w:val="28"/>
          <w:szCs w:val="20"/>
        </w:rPr>
        <w:t xml:space="preserve"> </w:t>
      </w:r>
    </w:p>
    <w:p w14:paraId="29401346">
      <w:pPr>
        <w:pStyle w:val="7"/>
        <w:spacing w:after="0" w:line="360" w:lineRule="auto"/>
        <w:rPr>
          <w:color w:val="000000"/>
          <w:spacing w:val="5"/>
          <w:sz w:val="24"/>
          <w:szCs w:val="22"/>
        </w:rPr>
      </w:pPr>
      <w:r>
        <w:rPr>
          <w:rFonts w:hint="eastAsia"/>
          <w:color w:val="000000"/>
          <w:spacing w:val="5"/>
          <w:sz w:val="24"/>
          <w:szCs w:val="22"/>
        </w:rPr>
        <w:t>7.1乙方向甲方提供软件维护期内的免费技术支持服务，软件维护期的起始日</w:t>
      </w:r>
      <w:r>
        <w:rPr>
          <w:rFonts w:hint="eastAsia"/>
          <w:color w:val="000000"/>
          <w:sz w:val="24"/>
          <w:szCs w:val="22"/>
        </w:rPr>
        <w:t>以《软件</w:t>
      </w:r>
      <w:r>
        <w:rPr>
          <w:rFonts w:hint="eastAsia"/>
          <w:color w:val="000000"/>
          <w:spacing w:val="5"/>
          <w:sz w:val="24"/>
          <w:szCs w:val="22"/>
        </w:rPr>
        <w:t>终验报告》签订日为准，为期</w:t>
      </w:r>
      <w:r>
        <w:rPr>
          <w:rFonts w:hint="eastAsia"/>
          <w:color w:val="000000"/>
          <w:spacing w:val="5"/>
          <w:sz w:val="24"/>
          <w:szCs w:val="22"/>
          <w:u w:val="single"/>
        </w:rPr>
        <w:t xml:space="preserve"> </w:t>
      </w:r>
      <w:r>
        <w:rPr>
          <w:rFonts w:hint="eastAsia"/>
          <w:color w:val="000000"/>
          <w:spacing w:val="5"/>
          <w:sz w:val="24"/>
          <w:szCs w:val="22"/>
          <w:u w:val="single"/>
          <w:lang w:val="en-US" w:eastAsia="zh-CN"/>
        </w:rPr>
        <w:t>1</w:t>
      </w:r>
      <w:r>
        <w:rPr>
          <w:rFonts w:hint="eastAsia"/>
          <w:color w:val="000000"/>
          <w:spacing w:val="5"/>
          <w:sz w:val="24"/>
          <w:szCs w:val="22"/>
        </w:rPr>
        <w:t>年。</w:t>
      </w:r>
    </w:p>
    <w:p w14:paraId="3791C2C6">
      <w:pPr>
        <w:pStyle w:val="7"/>
        <w:spacing w:after="0" w:line="360" w:lineRule="auto"/>
        <w:rPr>
          <w:rFonts w:hint="eastAsia"/>
          <w:color w:val="000000"/>
          <w:spacing w:val="5"/>
          <w:sz w:val="24"/>
          <w:szCs w:val="22"/>
        </w:rPr>
      </w:pPr>
      <w:r>
        <w:rPr>
          <w:rFonts w:hint="eastAsia"/>
          <w:color w:val="000000"/>
          <w:spacing w:val="5"/>
          <w:sz w:val="24"/>
          <w:szCs w:val="22"/>
        </w:rPr>
        <w:t>7.2维护期满后，乙方继续为甲方提供软件相关技术支持服务，甲方应向乙方支付技术支持服务费，具体费用由双方协商确定。</w:t>
      </w:r>
    </w:p>
    <w:p w14:paraId="5C39624A">
      <w:pPr>
        <w:pStyle w:val="7"/>
        <w:spacing w:after="0" w:line="360" w:lineRule="auto"/>
        <w:rPr>
          <w:rFonts w:hint="eastAsia"/>
          <w:color w:val="000000"/>
          <w:spacing w:val="5"/>
          <w:sz w:val="24"/>
          <w:szCs w:val="22"/>
        </w:rPr>
      </w:pPr>
      <w:r>
        <w:rPr>
          <w:rFonts w:hint="eastAsia"/>
          <w:color w:val="000000"/>
          <w:spacing w:val="5"/>
          <w:sz w:val="24"/>
          <w:szCs w:val="22"/>
        </w:rPr>
        <w:t>7.3维护</w:t>
      </w:r>
      <w:r>
        <w:rPr>
          <w:rFonts w:hint="eastAsia"/>
          <w:color w:val="000000"/>
          <w:sz w:val="24"/>
          <w:szCs w:val="22"/>
        </w:rPr>
        <w:t>期内，乙方向甲方免费提供不涉及修改核心结构、核心流程以及需新增模块的软件版本升级。</w:t>
      </w:r>
    </w:p>
    <w:p w14:paraId="1D0BB679">
      <w:pPr>
        <w:pStyle w:val="3"/>
        <w:keepNext/>
        <w:keepLines/>
        <w:tabs>
          <w:tab w:val="left" w:pos="855"/>
          <w:tab w:val="left" w:pos="1280"/>
        </w:tabs>
        <w:spacing w:before="360" w:after="360" w:line="400" w:lineRule="atLeast"/>
        <w:ind w:left="1280" w:hanging="855"/>
        <w:textAlignment w:val="auto"/>
        <w:rPr>
          <w:b w:val="0"/>
          <w:bCs w:val="0"/>
          <w:kern w:val="44"/>
          <w:sz w:val="28"/>
          <w:szCs w:val="20"/>
        </w:rPr>
      </w:pPr>
      <w:r>
        <w:rPr>
          <w:rFonts w:hint="eastAsia"/>
          <w:b w:val="0"/>
          <w:bCs w:val="0"/>
          <w:kern w:val="44"/>
          <w:sz w:val="28"/>
          <w:szCs w:val="20"/>
        </w:rPr>
        <w:t>第八条</w:t>
      </w:r>
      <w:r>
        <w:rPr>
          <w:b w:val="0"/>
          <w:bCs w:val="0"/>
          <w:kern w:val="44"/>
          <w:sz w:val="28"/>
          <w:szCs w:val="20"/>
        </w:rPr>
        <w:t xml:space="preserve"> 知识产权</w:t>
      </w:r>
    </w:p>
    <w:p w14:paraId="70628B39">
      <w:pPr>
        <w:pStyle w:val="7"/>
        <w:spacing w:before="240" w:beforeLines="100" w:after="0" w:line="360" w:lineRule="auto"/>
        <w:rPr>
          <w:rFonts w:hint="eastAsia"/>
          <w:color w:val="000000"/>
          <w:spacing w:val="5"/>
          <w:sz w:val="24"/>
          <w:szCs w:val="22"/>
        </w:rPr>
      </w:pPr>
      <w:r>
        <w:rPr>
          <w:rFonts w:hint="eastAsia"/>
          <w:color w:val="000000"/>
          <w:sz w:val="24"/>
          <w:szCs w:val="22"/>
        </w:rPr>
        <w:t xml:space="preserve">8.1 </w:t>
      </w:r>
      <w:r>
        <w:rPr>
          <w:rFonts w:hint="eastAsia"/>
          <w:color w:val="000000"/>
          <w:spacing w:val="5"/>
          <w:sz w:val="24"/>
          <w:szCs w:val="22"/>
        </w:rPr>
        <w:t>知识产权的归属：对在本合同项下由乙方按甲方提供的工程业务规范、标准和要求开发的定制软件，其相关全部知识产权归甲方所有。在未经甲方书面同意的情况下，乙方不得以任何方式将上述软件产品、文档及或软件的任何数据或程序向甲方以外的任何第三方明示或暗示地披露、提供、转让，不得许可第三方使用或以任何方式加以利用。</w:t>
      </w:r>
    </w:p>
    <w:p w14:paraId="51A090A7">
      <w:pPr>
        <w:pStyle w:val="7"/>
        <w:spacing w:after="0" w:line="360" w:lineRule="auto"/>
        <w:rPr>
          <w:rFonts w:hint="eastAsia"/>
          <w:color w:val="000000"/>
          <w:spacing w:val="5"/>
          <w:sz w:val="24"/>
          <w:szCs w:val="22"/>
        </w:rPr>
      </w:pPr>
      <w:r>
        <w:rPr>
          <w:rFonts w:hint="eastAsia"/>
          <w:color w:val="000000"/>
          <w:spacing w:val="5"/>
          <w:sz w:val="24"/>
          <w:szCs w:val="22"/>
        </w:rPr>
        <w:t>8.2 侵权救济：乙方保证其在合同项下提供的软件不会侵犯第三方的合法权利。如果甲方因按照合同的约定行使合同软件的相关权利而侵犯第三方的合法权利，并因此涉入诉讼、索赔或其他司法程序（以下称“侵权诉讼”），乙方同意在收到甲方书面通知的情况下，指派代表为甲方的权益并以甲方的名义参与上述第三方提起的侵权诉讼，乙方应在上述侵权诉讼进行过程中就诉讼策略及其他事宜向甲方提供必要的支持与协助，并承担所产生的一切诉讼费用、律师费用、调查取证费用、差旅费用、和解金额或生效法律文书中规定的损害赔偿金额、软件使用费等费用以及由此给甲方造成的损失。</w:t>
      </w:r>
    </w:p>
    <w:p w14:paraId="6D89A450">
      <w:pPr>
        <w:pStyle w:val="7"/>
        <w:spacing w:after="0" w:line="360" w:lineRule="auto"/>
        <w:rPr>
          <w:rFonts w:hint="eastAsia"/>
          <w:color w:val="000000"/>
          <w:spacing w:val="5"/>
          <w:sz w:val="24"/>
          <w:szCs w:val="22"/>
        </w:rPr>
      </w:pPr>
      <w:r>
        <w:rPr>
          <w:rFonts w:hint="eastAsia"/>
          <w:color w:val="000000"/>
          <w:spacing w:val="5"/>
          <w:sz w:val="24"/>
          <w:szCs w:val="22"/>
        </w:rPr>
        <w:t>如果在上述侵权诉讼中有效法律文书认定甲方构成侵权，禁止甲方继续使用合同软件的一部分或全部，或要求甲方向第三方权利人支付使用费用，乙方应采取以下措施之一：</w:t>
      </w:r>
    </w:p>
    <w:p w14:paraId="59851CCE">
      <w:pPr>
        <w:pStyle w:val="7"/>
        <w:spacing w:after="0" w:line="360" w:lineRule="auto"/>
        <w:rPr>
          <w:rFonts w:hint="eastAsia"/>
          <w:color w:val="000000"/>
          <w:spacing w:val="5"/>
          <w:sz w:val="24"/>
          <w:szCs w:val="22"/>
        </w:rPr>
      </w:pPr>
      <w:r>
        <w:rPr>
          <w:rFonts w:hint="eastAsia"/>
          <w:color w:val="000000"/>
          <w:spacing w:val="5"/>
          <w:sz w:val="24"/>
          <w:szCs w:val="22"/>
        </w:rPr>
        <w:t>（1）免费使甲方重新获得合法使用上述软件的权利；</w:t>
      </w:r>
    </w:p>
    <w:p w14:paraId="4E5E5F6B">
      <w:pPr>
        <w:pStyle w:val="7"/>
        <w:spacing w:after="0" w:line="360" w:lineRule="auto"/>
        <w:rPr>
          <w:rFonts w:hint="eastAsia"/>
          <w:color w:val="000000"/>
          <w:spacing w:val="5"/>
          <w:sz w:val="24"/>
          <w:szCs w:val="22"/>
        </w:rPr>
      </w:pPr>
      <w:r>
        <w:rPr>
          <w:rFonts w:hint="eastAsia"/>
          <w:color w:val="000000"/>
          <w:spacing w:val="5"/>
          <w:sz w:val="24"/>
          <w:szCs w:val="22"/>
        </w:rPr>
        <w:t>（2）在甲方要求的合理期限内对上述合同软件进行修改或更换使其满足合同的相关规定，以使甲使用合同软件不受上述法律文书限制，并继续合法、不受限制地使用合同软件。采取以上措施所发生的费用均由乙方承担。</w:t>
      </w:r>
    </w:p>
    <w:p w14:paraId="45F5B569">
      <w:pPr>
        <w:pStyle w:val="7"/>
        <w:spacing w:after="0" w:line="360" w:lineRule="auto"/>
        <w:rPr>
          <w:rFonts w:hint="eastAsia"/>
          <w:color w:val="000000"/>
          <w:spacing w:val="5"/>
          <w:sz w:val="24"/>
          <w:szCs w:val="22"/>
        </w:rPr>
      </w:pPr>
      <w:r>
        <w:rPr>
          <w:rFonts w:hint="eastAsia"/>
          <w:color w:val="000000"/>
          <w:spacing w:val="5"/>
          <w:sz w:val="24"/>
          <w:szCs w:val="22"/>
        </w:rPr>
        <w:t>如果甲方因司法机关对上述侵权诉讼做出的生效法律文书或为避免损失扩大且经乙方同意而与第三方达成生效和解协议后，完全不可能继续使用合同软件的，则甲方有权解除合同，乙方应承担本合同规定的违约责任。</w:t>
      </w:r>
    </w:p>
    <w:p w14:paraId="379C5FA8">
      <w:pPr>
        <w:pStyle w:val="7"/>
        <w:spacing w:after="0" w:line="360" w:lineRule="auto"/>
        <w:rPr>
          <w:rFonts w:hint="eastAsia"/>
          <w:color w:val="000000"/>
          <w:spacing w:val="5"/>
          <w:sz w:val="24"/>
          <w:szCs w:val="22"/>
        </w:rPr>
      </w:pPr>
      <w:r>
        <w:rPr>
          <w:rFonts w:hint="eastAsia"/>
          <w:color w:val="000000"/>
          <w:spacing w:val="5"/>
          <w:sz w:val="24"/>
          <w:szCs w:val="22"/>
        </w:rPr>
        <w:t>8.3 甲方根据本条所获得的软件使用许可，同样适用于受让合同系统的任何后继所有人而无须支付其他任何费用。</w:t>
      </w:r>
    </w:p>
    <w:p w14:paraId="6842FD3B">
      <w:pPr>
        <w:pStyle w:val="3"/>
        <w:keepNext/>
        <w:keepLines/>
        <w:tabs>
          <w:tab w:val="left" w:pos="855"/>
          <w:tab w:val="left" w:pos="1280"/>
        </w:tabs>
        <w:spacing w:before="360" w:after="360" w:line="400" w:lineRule="atLeast"/>
        <w:ind w:left="1280" w:hanging="855"/>
        <w:textAlignment w:val="auto"/>
        <w:rPr>
          <w:rFonts w:hint="eastAsia"/>
          <w:b w:val="0"/>
          <w:bCs w:val="0"/>
          <w:kern w:val="44"/>
          <w:sz w:val="28"/>
          <w:szCs w:val="20"/>
        </w:rPr>
      </w:pPr>
      <w:r>
        <w:rPr>
          <w:rFonts w:hint="eastAsia"/>
          <w:b w:val="0"/>
          <w:bCs w:val="0"/>
          <w:kern w:val="44"/>
          <w:sz w:val="28"/>
          <w:szCs w:val="20"/>
        </w:rPr>
        <w:t>第九条 保密事项</w:t>
      </w:r>
    </w:p>
    <w:p w14:paraId="7A5C2152">
      <w:pPr>
        <w:pStyle w:val="7"/>
        <w:rPr>
          <w:rFonts w:hint="eastAsia"/>
          <w:color w:val="000000"/>
          <w:sz w:val="24"/>
          <w:szCs w:val="22"/>
        </w:rPr>
      </w:pPr>
    </w:p>
    <w:p w14:paraId="0A7332EC">
      <w:pPr>
        <w:spacing w:line="360" w:lineRule="auto"/>
        <w:rPr>
          <w:rFonts w:hint="eastAsia"/>
          <w:color w:val="000000"/>
          <w:spacing w:val="5"/>
          <w:sz w:val="24"/>
          <w:szCs w:val="22"/>
        </w:rPr>
      </w:pPr>
      <w:r>
        <w:rPr>
          <w:rFonts w:hint="eastAsia"/>
          <w:color w:val="000000"/>
          <w:spacing w:val="5"/>
          <w:sz w:val="24"/>
          <w:szCs w:val="22"/>
        </w:rPr>
        <w:t>9.1甲乙双方有责任履行与附件一致的保密条款。</w:t>
      </w:r>
    </w:p>
    <w:p w14:paraId="2E1EB476">
      <w:pPr>
        <w:spacing w:line="360" w:lineRule="auto"/>
        <w:rPr>
          <w:rFonts w:hint="eastAsia"/>
          <w:color w:val="000000"/>
          <w:spacing w:val="5"/>
          <w:sz w:val="24"/>
          <w:szCs w:val="22"/>
        </w:rPr>
      </w:pPr>
      <w:r>
        <w:rPr>
          <w:rFonts w:hint="eastAsia"/>
          <w:color w:val="000000"/>
          <w:spacing w:val="5"/>
          <w:sz w:val="24"/>
          <w:szCs w:val="22"/>
        </w:rPr>
        <w:t>9.2乙方违反保密约定，故意、过错或过失泄密的，除应立即采取措施停止泄密行为，减小泄密造成的损失外，还应向甲方支付合同总价</w:t>
      </w:r>
      <w:r>
        <w:rPr>
          <w:rFonts w:hint="default"/>
          <w:color w:val="000000"/>
          <w:spacing w:val="5"/>
          <w:sz w:val="24"/>
          <w:szCs w:val="22"/>
        </w:rPr>
        <w:t>20</w:t>
      </w:r>
      <w:r>
        <w:rPr>
          <w:rFonts w:hint="eastAsia"/>
          <w:color w:val="000000"/>
          <w:spacing w:val="5"/>
          <w:sz w:val="24"/>
          <w:szCs w:val="22"/>
        </w:rPr>
        <w:t>%的违约金。上述违约金不足以弥补甲方所受损失的，泄密方还应予以赔偿。同时，甲方还有权根据泄密造成损失的大小，单方解除本合同。</w:t>
      </w:r>
    </w:p>
    <w:p w14:paraId="01717D75">
      <w:pPr>
        <w:pStyle w:val="3"/>
        <w:keepNext/>
        <w:keepLines/>
        <w:tabs>
          <w:tab w:val="left" w:pos="855"/>
          <w:tab w:val="left" w:pos="1280"/>
        </w:tabs>
        <w:spacing w:before="360" w:after="360" w:line="400" w:lineRule="atLeast"/>
        <w:ind w:left="1280" w:hanging="855"/>
        <w:textAlignment w:val="auto"/>
        <w:rPr>
          <w:rFonts w:hint="eastAsia"/>
          <w:b w:val="0"/>
          <w:bCs w:val="0"/>
          <w:kern w:val="44"/>
          <w:sz w:val="28"/>
          <w:szCs w:val="20"/>
        </w:rPr>
      </w:pPr>
      <w:r>
        <w:rPr>
          <w:rFonts w:hint="eastAsia"/>
          <w:b w:val="0"/>
          <w:bCs w:val="0"/>
          <w:kern w:val="44"/>
          <w:sz w:val="28"/>
          <w:szCs w:val="20"/>
        </w:rPr>
        <w:t>第十条 不可抗力</w:t>
      </w:r>
    </w:p>
    <w:p w14:paraId="0AD540FC">
      <w:pPr>
        <w:pStyle w:val="7"/>
        <w:spacing w:after="0" w:line="360" w:lineRule="auto"/>
        <w:rPr>
          <w:color w:val="000000"/>
          <w:spacing w:val="5"/>
          <w:sz w:val="24"/>
          <w:szCs w:val="22"/>
        </w:rPr>
      </w:pPr>
      <w:r>
        <w:rPr>
          <w:rFonts w:hint="eastAsia"/>
          <w:color w:val="000000"/>
          <w:spacing w:val="5"/>
          <w:sz w:val="24"/>
          <w:szCs w:val="22"/>
        </w:rPr>
        <w:t>10.1如发生不可抗力事件，受事件影响方应尽快将所发生的不可抗力事件情况以传真通知对方，并在十四天内以特快专递将有关部门出具的证明文件交另一方审阅确认。</w:t>
      </w:r>
    </w:p>
    <w:p w14:paraId="5A9B9EDA">
      <w:pPr>
        <w:pStyle w:val="7"/>
        <w:spacing w:after="0" w:line="360" w:lineRule="auto"/>
        <w:rPr>
          <w:rFonts w:hint="eastAsia"/>
          <w:color w:val="000000"/>
          <w:spacing w:val="5"/>
        </w:rPr>
      </w:pPr>
      <w:r>
        <w:rPr>
          <w:rFonts w:hint="eastAsia"/>
          <w:color w:val="000000"/>
          <w:spacing w:val="5"/>
          <w:sz w:val="24"/>
          <w:szCs w:val="22"/>
        </w:rPr>
        <w:t>当不可抗力事件停止或消除后，受事件影响的一方应尽快以传真方式通知另一方，并以特快专递证实。如不可抗力的影响连续二十天以上，双方应通过友好协商解决本合同的履行问题，并尽快达成协议。</w:t>
      </w:r>
    </w:p>
    <w:p w14:paraId="179F78DE">
      <w:pPr>
        <w:pStyle w:val="3"/>
        <w:keepNext/>
        <w:keepLines/>
        <w:tabs>
          <w:tab w:val="left" w:pos="855"/>
          <w:tab w:val="left" w:pos="1280"/>
        </w:tabs>
        <w:spacing w:before="360" w:after="360" w:line="400" w:lineRule="atLeast"/>
        <w:ind w:left="1280" w:hanging="855"/>
        <w:textAlignment w:val="auto"/>
        <w:rPr>
          <w:rFonts w:hint="eastAsia"/>
          <w:b w:val="0"/>
          <w:bCs w:val="0"/>
          <w:kern w:val="44"/>
          <w:sz w:val="28"/>
          <w:szCs w:val="20"/>
        </w:rPr>
      </w:pPr>
      <w:r>
        <w:rPr>
          <w:rFonts w:hint="eastAsia"/>
          <w:b w:val="0"/>
          <w:bCs w:val="0"/>
          <w:kern w:val="44"/>
          <w:sz w:val="28"/>
          <w:szCs w:val="20"/>
        </w:rPr>
        <w:t>第十一条</w:t>
      </w:r>
      <w:r>
        <w:rPr>
          <w:rFonts w:hint="default"/>
          <w:b w:val="0"/>
          <w:bCs w:val="0"/>
          <w:kern w:val="44"/>
          <w:sz w:val="28"/>
          <w:szCs w:val="20"/>
        </w:rPr>
        <w:t xml:space="preserve"> </w:t>
      </w:r>
      <w:r>
        <w:rPr>
          <w:rFonts w:hint="eastAsia"/>
          <w:b w:val="0"/>
          <w:bCs w:val="0"/>
          <w:kern w:val="44"/>
          <w:sz w:val="28"/>
          <w:szCs w:val="20"/>
        </w:rPr>
        <w:t>合同变更</w:t>
      </w:r>
    </w:p>
    <w:p w14:paraId="482C2C09">
      <w:pPr>
        <w:spacing w:before="240" w:beforeLines="100"/>
        <w:rPr>
          <w:rFonts w:hint="eastAsia" w:ascii="宋体" w:hAnsi="宋体"/>
          <w:color w:val="000000"/>
          <w:sz w:val="24"/>
          <w:szCs w:val="22"/>
        </w:rPr>
      </w:pPr>
      <w:r>
        <w:rPr>
          <w:rFonts w:hint="eastAsia" w:ascii="宋体" w:hAnsi="宋体"/>
          <w:color w:val="000000"/>
          <w:sz w:val="24"/>
          <w:szCs w:val="22"/>
        </w:rPr>
        <w:t>11.1对本合同双方可以作出修改或补充规定或制作附件，修改或补充规定及附件经双方盖章生效，为本合同不可分割的部分，与本合同有同等法律效力。</w:t>
      </w:r>
    </w:p>
    <w:p w14:paraId="7B344DB6">
      <w:pPr>
        <w:pStyle w:val="3"/>
        <w:keepNext/>
        <w:keepLines/>
        <w:tabs>
          <w:tab w:val="left" w:pos="855"/>
          <w:tab w:val="left" w:pos="1280"/>
        </w:tabs>
        <w:spacing w:before="360" w:after="360" w:line="400" w:lineRule="atLeast"/>
        <w:ind w:left="1280" w:hanging="855"/>
        <w:textAlignment w:val="auto"/>
        <w:rPr>
          <w:rFonts w:hint="eastAsia"/>
          <w:b w:val="0"/>
          <w:bCs w:val="0"/>
          <w:kern w:val="44"/>
          <w:sz w:val="28"/>
          <w:szCs w:val="20"/>
        </w:rPr>
      </w:pPr>
    </w:p>
    <w:p w14:paraId="36FE09ED">
      <w:pPr>
        <w:pStyle w:val="3"/>
        <w:keepNext/>
        <w:keepLines/>
        <w:tabs>
          <w:tab w:val="left" w:pos="855"/>
          <w:tab w:val="left" w:pos="1280"/>
        </w:tabs>
        <w:spacing w:before="360" w:after="360" w:line="400" w:lineRule="atLeast"/>
        <w:ind w:left="1280" w:hanging="855"/>
        <w:textAlignment w:val="auto"/>
        <w:rPr>
          <w:rFonts w:hint="eastAsia"/>
          <w:b w:val="0"/>
          <w:bCs w:val="0"/>
          <w:kern w:val="44"/>
          <w:sz w:val="28"/>
          <w:szCs w:val="20"/>
        </w:rPr>
      </w:pPr>
      <w:r>
        <w:rPr>
          <w:rFonts w:hint="eastAsia"/>
          <w:b w:val="0"/>
          <w:bCs w:val="0"/>
          <w:kern w:val="44"/>
          <w:sz w:val="28"/>
          <w:szCs w:val="20"/>
        </w:rPr>
        <w:t>第十二条</w:t>
      </w:r>
      <w:r>
        <w:rPr>
          <w:rFonts w:hint="default"/>
          <w:b w:val="0"/>
          <w:bCs w:val="0"/>
          <w:kern w:val="44"/>
          <w:sz w:val="28"/>
          <w:szCs w:val="20"/>
        </w:rPr>
        <w:t xml:space="preserve"> </w:t>
      </w:r>
      <w:r>
        <w:rPr>
          <w:rFonts w:hint="eastAsia"/>
          <w:b w:val="0"/>
          <w:bCs w:val="0"/>
          <w:kern w:val="44"/>
          <w:sz w:val="28"/>
          <w:szCs w:val="20"/>
        </w:rPr>
        <w:t>争议解决</w:t>
      </w:r>
    </w:p>
    <w:p w14:paraId="3ED5410A">
      <w:pPr>
        <w:snapToGrid w:val="0"/>
        <w:spacing w:before="240" w:beforeLines="100" w:line="360" w:lineRule="auto"/>
        <w:rPr>
          <w:rFonts w:hint="eastAsia" w:ascii="宋体" w:hAnsi="宋体"/>
          <w:color w:val="000000"/>
          <w:sz w:val="24"/>
          <w:szCs w:val="22"/>
        </w:rPr>
      </w:pPr>
      <w:r>
        <w:rPr>
          <w:rFonts w:hint="eastAsia" w:ascii="宋体" w:hAnsi="宋体"/>
          <w:color w:val="000000"/>
          <w:sz w:val="24"/>
          <w:szCs w:val="22"/>
        </w:rPr>
        <w:t>12.1如果发生某些争执、争论和争议未友好解决，双方则应按国家法律的有关规定</w:t>
      </w:r>
      <w:r>
        <w:rPr>
          <w:rFonts w:ascii="宋体" w:hAnsi="宋体"/>
          <w:color w:val="000000"/>
          <w:sz w:val="24"/>
          <w:szCs w:val="22"/>
        </w:rPr>
        <w:t>向</w:t>
      </w:r>
      <w:r>
        <w:rPr>
          <w:rFonts w:hint="eastAsia" w:ascii="宋体" w:hAnsi="宋体"/>
          <w:color w:val="000000"/>
          <w:sz w:val="24"/>
          <w:szCs w:val="22"/>
        </w:rPr>
        <w:t>甲方所在地</w:t>
      </w:r>
      <w:r>
        <w:rPr>
          <w:rFonts w:ascii="宋体" w:hAnsi="宋体"/>
          <w:color w:val="000000"/>
          <w:sz w:val="24"/>
          <w:szCs w:val="22"/>
        </w:rPr>
        <w:t>人民法院提起诉讼</w:t>
      </w:r>
      <w:r>
        <w:rPr>
          <w:rFonts w:hint="eastAsia" w:ascii="宋体" w:hAnsi="宋体"/>
          <w:color w:val="000000"/>
          <w:sz w:val="24"/>
          <w:szCs w:val="22"/>
        </w:rPr>
        <w:t>。在</w:t>
      </w:r>
      <w:r>
        <w:rPr>
          <w:rFonts w:ascii="宋体" w:hAnsi="宋体"/>
          <w:color w:val="000000"/>
          <w:sz w:val="24"/>
          <w:szCs w:val="22"/>
        </w:rPr>
        <w:t>诉讼</w:t>
      </w:r>
      <w:r>
        <w:rPr>
          <w:rFonts w:hint="eastAsia" w:ascii="宋体" w:hAnsi="宋体"/>
          <w:color w:val="000000"/>
          <w:sz w:val="24"/>
          <w:szCs w:val="22"/>
        </w:rPr>
        <w:t>期间，合同应继续履行。（诉讼产生的诉讼费、律师费、保全费、保全担保费、差旅费、鉴定费等由败诉方承担）</w:t>
      </w:r>
    </w:p>
    <w:p w14:paraId="42DA65A2">
      <w:pPr>
        <w:pStyle w:val="3"/>
        <w:keepNext/>
        <w:keepLines/>
        <w:tabs>
          <w:tab w:val="left" w:pos="855"/>
          <w:tab w:val="left" w:pos="1280"/>
        </w:tabs>
        <w:spacing w:before="360" w:after="360" w:line="400" w:lineRule="atLeast"/>
        <w:ind w:left="1280" w:hanging="855"/>
        <w:textAlignment w:val="auto"/>
        <w:rPr>
          <w:rFonts w:hint="eastAsia"/>
          <w:b w:val="0"/>
          <w:bCs w:val="0"/>
          <w:kern w:val="44"/>
          <w:sz w:val="28"/>
          <w:szCs w:val="20"/>
        </w:rPr>
      </w:pPr>
      <w:r>
        <w:rPr>
          <w:rFonts w:hint="eastAsia"/>
          <w:b w:val="0"/>
          <w:bCs w:val="0"/>
          <w:kern w:val="44"/>
          <w:sz w:val="28"/>
          <w:szCs w:val="20"/>
        </w:rPr>
        <w:t>第十三条 通知与送达</w:t>
      </w:r>
    </w:p>
    <w:p w14:paraId="0FD9E995">
      <w:pPr>
        <w:snapToGrid w:val="0"/>
        <w:spacing w:line="360" w:lineRule="auto"/>
        <w:ind w:firstLine="480"/>
        <w:rPr>
          <w:rFonts w:hint="eastAsia" w:ascii="宋体" w:hAnsi="宋体"/>
          <w:color w:val="000000"/>
        </w:rPr>
      </w:pPr>
    </w:p>
    <w:p w14:paraId="606009BF">
      <w:pPr>
        <w:snapToGrid w:val="0"/>
        <w:spacing w:line="360" w:lineRule="auto"/>
        <w:rPr>
          <w:rFonts w:hint="eastAsia" w:ascii="宋体" w:hAnsi="宋体"/>
          <w:color w:val="000000"/>
          <w:sz w:val="24"/>
          <w:szCs w:val="24"/>
        </w:rPr>
      </w:pPr>
      <w:r>
        <w:rPr>
          <w:rFonts w:hint="eastAsia" w:ascii="宋体" w:hAnsi="宋体"/>
          <w:color w:val="000000"/>
          <w:sz w:val="24"/>
          <w:szCs w:val="24"/>
        </w:rPr>
        <w:t>13.1双方因履行协议发出的全部通知或者司法机关（仲裁机构）发出的通知，均须采取书面形式，以专人递送、特快专递或挂号信件或者电话、微信、电子邮件等双方认可的方式发出。特快专递或挂号信件的交寄日以邮戳为准。上述书面通知均须标明协议双方的收件人。</w:t>
      </w:r>
    </w:p>
    <w:p w14:paraId="600BA8F6">
      <w:pPr>
        <w:snapToGrid w:val="0"/>
        <w:spacing w:line="360" w:lineRule="auto"/>
        <w:rPr>
          <w:rFonts w:hint="eastAsia" w:ascii="宋体" w:hAnsi="宋体"/>
          <w:color w:val="000000"/>
          <w:sz w:val="24"/>
          <w:szCs w:val="24"/>
        </w:rPr>
      </w:pPr>
      <w:r>
        <w:rPr>
          <w:rFonts w:hint="eastAsia" w:ascii="宋体" w:hAnsi="宋体"/>
          <w:color w:val="000000"/>
          <w:sz w:val="24"/>
          <w:szCs w:val="24"/>
        </w:rPr>
        <w:t>13.2上述书面通知发出方应按接收方在本协议中所列的地址、单位、电话、微信、电子邮件发出。如双方中任何一方的地址或电话、微信、电子邮件有变更时，须在变更前10日以书面形式通知对方。因迟延通知而造成损失的，由过错方承担责任。</w:t>
      </w:r>
    </w:p>
    <w:p w14:paraId="264A8593">
      <w:pPr>
        <w:snapToGrid w:val="0"/>
        <w:spacing w:line="360" w:lineRule="auto"/>
        <w:rPr>
          <w:rFonts w:hint="eastAsia" w:ascii="宋体" w:hAnsi="宋体"/>
          <w:color w:val="000000"/>
          <w:sz w:val="24"/>
          <w:szCs w:val="24"/>
        </w:rPr>
      </w:pPr>
      <w:r>
        <w:rPr>
          <w:rFonts w:hint="eastAsia" w:ascii="宋体" w:hAnsi="宋体"/>
          <w:color w:val="000000"/>
          <w:sz w:val="24"/>
          <w:szCs w:val="24"/>
        </w:rPr>
        <w:t>13.3双方将按如下规定确定通知被视为正式送达的日期：</w:t>
      </w:r>
    </w:p>
    <w:p w14:paraId="401D8F8B">
      <w:pPr>
        <w:snapToGrid w:val="0"/>
        <w:spacing w:line="360" w:lineRule="auto"/>
        <w:ind w:firstLine="480"/>
        <w:rPr>
          <w:rFonts w:hint="eastAsia" w:ascii="宋体" w:hAnsi="宋体"/>
          <w:color w:val="000000"/>
          <w:sz w:val="24"/>
          <w:szCs w:val="24"/>
        </w:rPr>
      </w:pPr>
      <w:r>
        <w:rPr>
          <w:rFonts w:hint="eastAsia" w:ascii="宋体" w:hAnsi="宋体"/>
          <w:color w:val="000000"/>
          <w:sz w:val="24"/>
          <w:szCs w:val="24"/>
        </w:rPr>
        <w:t xml:space="preserve">（1）双方或司法机关以专人递送的，接收人签收之日视为送达； </w:t>
      </w:r>
    </w:p>
    <w:p w14:paraId="1E5D5406">
      <w:pPr>
        <w:snapToGrid w:val="0"/>
        <w:spacing w:line="360" w:lineRule="auto"/>
        <w:ind w:firstLine="480"/>
        <w:rPr>
          <w:rFonts w:hint="eastAsia" w:ascii="宋体" w:hAnsi="宋体"/>
          <w:color w:val="000000"/>
          <w:sz w:val="24"/>
          <w:szCs w:val="24"/>
        </w:rPr>
      </w:pPr>
      <w:r>
        <w:rPr>
          <w:rFonts w:hint="eastAsia" w:ascii="宋体" w:hAnsi="宋体"/>
          <w:color w:val="000000"/>
          <w:sz w:val="24"/>
          <w:szCs w:val="24"/>
        </w:rPr>
        <w:t>（2）双方或司法机关以特快专递形式发出的，发往本市内的，发出后第3日视为送达。发往国内其他地区的，发出后第5日视为送达。</w:t>
      </w:r>
    </w:p>
    <w:p w14:paraId="6C01BF4C">
      <w:pPr>
        <w:snapToGrid w:val="0"/>
        <w:spacing w:line="360" w:lineRule="auto"/>
        <w:ind w:firstLine="480"/>
        <w:rPr>
          <w:rFonts w:hint="eastAsia" w:ascii="宋体" w:hAnsi="宋体"/>
          <w:color w:val="000000"/>
          <w:sz w:val="24"/>
          <w:szCs w:val="24"/>
        </w:rPr>
      </w:pPr>
      <w:r>
        <w:rPr>
          <w:rFonts w:hint="eastAsia" w:ascii="宋体" w:hAnsi="宋体"/>
          <w:color w:val="000000"/>
          <w:sz w:val="24"/>
          <w:szCs w:val="24"/>
        </w:rPr>
        <w:t>（3）双方或司法机关以挂号方式发出的，发往本市内的，邮寄后第7日视为送达。发往国内其他地区的，邮寄后第14日视为送达。</w:t>
      </w:r>
    </w:p>
    <w:p w14:paraId="3D10ADB9">
      <w:pPr>
        <w:snapToGrid w:val="0"/>
        <w:spacing w:line="360" w:lineRule="auto"/>
        <w:ind w:firstLine="480"/>
        <w:rPr>
          <w:rFonts w:hint="eastAsia" w:ascii="宋体" w:hAnsi="宋体"/>
          <w:color w:val="000000"/>
          <w:sz w:val="24"/>
          <w:szCs w:val="24"/>
        </w:rPr>
      </w:pPr>
      <w:r>
        <w:rPr>
          <w:rFonts w:hint="eastAsia" w:ascii="宋体" w:hAnsi="宋体"/>
          <w:color w:val="000000"/>
          <w:sz w:val="24"/>
          <w:szCs w:val="24"/>
        </w:rPr>
        <w:t>（4）双方或司法机关以手机短信、微信、电子邮件送达的，消息成功发送并未被系统退回即视为有效送达。</w:t>
      </w:r>
    </w:p>
    <w:p w14:paraId="4E81009F">
      <w:pPr>
        <w:snapToGrid w:val="0"/>
        <w:spacing w:line="360" w:lineRule="auto"/>
        <w:rPr>
          <w:rFonts w:hint="eastAsia" w:ascii="宋体" w:hAnsi="宋体"/>
          <w:color w:val="000000"/>
          <w:sz w:val="24"/>
          <w:szCs w:val="24"/>
        </w:rPr>
      </w:pPr>
      <w:r>
        <w:rPr>
          <w:rFonts w:hint="eastAsia" w:ascii="宋体" w:hAnsi="宋体"/>
          <w:color w:val="000000"/>
          <w:sz w:val="24"/>
          <w:szCs w:val="24"/>
        </w:rPr>
        <w:t>13.4各方地址与指定联系方式如下：</w:t>
      </w:r>
    </w:p>
    <w:p w14:paraId="47281941">
      <w:pPr>
        <w:snapToGrid w:val="0"/>
        <w:spacing w:line="360" w:lineRule="auto"/>
        <w:ind w:firstLine="480"/>
        <w:rPr>
          <w:rFonts w:hint="eastAsia" w:ascii="宋体" w:hAnsi="宋体"/>
          <w:color w:val="000000"/>
          <w:sz w:val="24"/>
          <w:szCs w:val="24"/>
        </w:rPr>
      </w:pPr>
      <w:r>
        <w:rPr>
          <w:rFonts w:hint="eastAsia" w:ascii="宋体" w:hAnsi="宋体"/>
          <w:color w:val="000000"/>
          <w:sz w:val="24"/>
          <w:szCs w:val="24"/>
        </w:rPr>
        <w:t>（1）如致甲方：</w:t>
      </w:r>
    </w:p>
    <w:p w14:paraId="2A6B36EB">
      <w:pPr>
        <w:snapToGrid w:val="0"/>
        <w:spacing w:line="360" w:lineRule="auto"/>
        <w:ind w:firstLine="480"/>
        <w:rPr>
          <w:rFonts w:ascii="宋体" w:hAnsi="宋体"/>
          <w:b w:val="0"/>
          <w:bCs/>
          <w:color w:val="000000"/>
          <w:sz w:val="24"/>
          <w:szCs w:val="24"/>
        </w:rPr>
      </w:pPr>
      <w:r>
        <w:rPr>
          <w:rFonts w:hint="eastAsia" w:ascii="宋体" w:hAnsi="宋体"/>
          <w:b w:val="0"/>
          <w:bCs/>
          <w:color w:val="000000"/>
          <w:sz w:val="24"/>
          <w:szCs w:val="24"/>
        </w:rPr>
        <w:t>名称：【</w:t>
      </w:r>
      <w:r>
        <w:rPr>
          <w:rFonts w:hint="default" w:ascii="宋体" w:hAnsi="宋体"/>
          <w:b w:val="0"/>
          <w:bCs/>
          <w:color w:val="000000"/>
          <w:sz w:val="24"/>
          <w:szCs w:val="24"/>
        </w:rPr>
        <w:t>中国移动通信集团江苏有限公司徐州分公司</w:t>
      </w:r>
      <w:r>
        <w:rPr>
          <w:rFonts w:hint="eastAsia" w:ascii="宋体" w:hAnsi="宋体"/>
          <w:b w:val="0"/>
          <w:bCs/>
          <w:color w:val="000000"/>
          <w:sz w:val="24"/>
          <w:szCs w:val="24"/>
        </w:rPr>
        <w:t>】</w:t>
      </w:r>
    </w:p>
    <w:p w14:paraId="038E9FAD">
      <w:pPr>
        <w:snapToGrid w:val="0"/>
        <w:spacing w:line="360" w:lineRule="auto"/>
        <w:ind w:firstLine="480"/>
        <w:rPr>
          <w:rFonts w:ascii="宋体" w:hAnsi="宋体"/>
          <w:b w:val="0"/>
          <w:bCs/>
          <w:color w:val="000000"/>
          <w:sz w:val="24"/>
          <w:szCs w:val="24"/>
        </w:rPr>
      </w:pPr>
      <w:r>
        <w:rPr>
          <w:rFonts w:hint="eastAsia" w:ascii="宋体" w:hAnsi="宋体"/>
          <w:b w:val="0"/>
          <w:bCs/>
          <w:color w:val="000000"/>
          <w:sz w:val="24"/>
          <w:szCs w:val="24"/>
        </w:rPr>
        <w:t>地址：【</w:t>
      </w:r>
      <w:r>
        <w:rPr>
          <w:rFonts w:hint="eastAsia" w:ascii="宋体" w:hAnsi="宋体"/>
          <w:b w:val="0"/>
          <w:bCs/>
          <w:color w:val="000000"/>
          <w:sz w:val="24"/>
          <w:szCs w:val="24"/>
          <w:lang w:val="en-GB"/>
        </w:rPr>
        <w:t>徐州市云龙区绿地商务城（B6-1地块）1号楼</w:t>
      </w:r>
      <w:r>
        <w:rPr>
          <w:rFonts w:hint="eastAsia" w:ascii="宋体" w:hAnsi="宋体"/>
          <w:b w:val="0"/>
          <w:bCs/>
          <w:color w:val="000000"/>
          <w:sz w:val="24"/>
          <w:szCs w:val="24"/>
        </w:rPr>
        <w:t>】</w:t>
      </w:r>
    </w:p>
    <w:p w14:paraId="6CCEE89E">
      <w:pPr>
        <w:snapToGrid w:val="0"/>
        <w:spacing w:line="360" w:lineRule="auto"/>
        <w:ind w:firstLine="480"/>
        <w:rPr>
          <w:rFonts w:ascii="宋体" w:hAnsi="宋体"/>
          <w:b w:val="0"/>
          <w:bCs/>
          <w:color w:val="000000"/>
          <w:sz w:val="24"/>
          <w:szCs w:val="24"/>
        </w:rPr>
      </w:pPr>
      <w:r>
        <w:rPr>
          <w:rFonts w:hint="eastAsia" w:ascii="宋体" w:hAnsi="宋体"/>
          <w:b w:val="0"/>
          <w:bCs/>
          <w:color w:val="000000"/>
          <w:sz w:val="24"/>
          <w:szCs w:val="24"/>
        </w:rPr>
        <w:t>电话：【13952223679</w:t>
      </w:r>
      <w:r>
        <w:rPr>
          <w:rFonts w:hint="eastAsia" w:ascii="宋体" w:hAnsi="宋体"/>
          <w:b w:val="0"/>
          <w:bCs/>
          <w:color w:val="000000"/>
          <w:sz w:val="24"/>
          <w:szCs w:val="24"/>
        </w:rPr>
        <w:tab/>
      </w:r>
      <w:r>
        <w:rPr>
          <w:rFonts w:hint="eastAsia" w:ascii="宋体" w:hAnsi="宋体"/>
          <w:b w:val="0"/>
          <w:bCs/>
          <w:color w:val="000000"/>
          <w:sz w:val="24"/>
          <w:szCs w:val="24"/>
        </w:rPr>
        <w:t xml:space="preserve">】                     </w:t>
      </w:r>
    </w:p>
    <w:p w14:paraId="5D776B4C">
      <w:pPr>
        <w:snapToGrid w:val="0"/>
        <w:spacing w:line="360" w:lineRule="auto"/>
        <w:ind w:firstLine="480"/>
        <w:rPr>
          <w:rFonts w:ascii="宋体" w:hAnsi="宋体"/>
          <w:b w:val="0"/>
          <w:bCs/>
          <w:color w:val="000000"/>
          <w:sz w:val="24"/>
          <w:szCs w:val="24"/>
        </w:rPr>
      </w:pPr>
      <w:r>
        <w:rPr>
          <w:rFonts w:hint="eastAsia" w:ascii="宋体" w:hAnsi="宋体"/>
          <w:b w:val="0"/>
          <w:bCs/>
          <w:color w:val="000000"/>
          <w:sz w:val="24"/>
          <w:szCs w:val="24"/>
        </w:rPr>
        <w:t>邮政编码：【</w:t>
      </w:r>
      <w:r>
        <w:rPr>
          <w:rFonts w:hint="default" w:ascii="宋体" w:hAnsi="宋体"/>
          <w:b w:val="0"/>
          <w:bCs/>
          <w:color w:val="000000"/>
          <w:sz w:val="24"/>
          <w:szCs w:val="24"/>
        </w:rPr>
        <w:t>221000</w:t>
      </w:r>
      <w:r>
        <w:rPr>
          <w:rFonts w:hint="eastAsia" w:ascii="宋体" w:hAnsi="宋体"/>
          <w:b w:val="0"/>
          <w:bCs/>
          <w:color w:val="000000"/>
          <w:sz w:val="24"/>
          <w:szCs w:val="24"/>
        </w:rPr>
        <w:t xml:space="preserve">】 </w:t>
      </w:r>
      <w:r>
        <w:rPr>
          <w:rFonts w:ascii="宋体" w:hAnsi="宋体"/>
          <w:b w:val="0"/>
          <w:bCs/>
          <w:color w:val="000000"/>
          <w:sz w:val="24"/>
          <w:szCs w:val="24"/>
        </w:rPr>
        <w:t xml:space="preserve">      </w:t>
      </w:r>
      <w:r>
        <w:rPr>
          <w:rFonts w:hint="eastAsia" w:ascii="宋体" w:hAnsi="宋体"/>
          <w:b w:val="0"/>
          <w:bCs/>
          <w:color w:val="000000"/>
          <w:sz w:val="24"/>
          <w:szCs w:val="24"/>
        </w:rPr>
        <w:t>联系人：【</w:t>
      </w:r>
      <w:r>
        <w:rPr>
          <w:rFonts w:hint="eastAsia" w:ascii="宋体" w:hAnsi="宋体"/>
          <w:b w:val="0"/>
          <w:bCs/>
          <w:color w:val="000000"/>
          <w:sz w:val="24"/>
          <w:szCs w:val="24"/>
          <w:lang w:eastAsia="zh-CN"/>
        </w:rPr>
        <w:t>郭泉</w:t>
      </w:r>
      <w:r>
        <w:rPr>
          <w:rFonts w:hint="eastAsia" w:ascii="宋体" w:hAnsi="宋体"/>
          <w:b w:val="0"/>
          <w:bCs/>
          <w:color w:val="000000"/>
          <w:sz w:val="24"/>
          <w:szCs w:val="24"/>
        </w:rPr>
        <w:t xml:space="preserve">】                    </w:t>
      </w:r>
    </w:p>
    <w:p w14:paraId="0CF95BAB">
      <w:pPr>
        <w:tabs>
          <w:tab w:val="left" w:pos="3505"/>
        </w:tabs>
        <w:snapToGrid w:val="0"/>
        <w:spacing w:line="360" w:lineRule="auto"/>
        <w:ind w:firstLine="480"/>
        <w:rPr>
          <w:rFonts w:hint="default" w:ascii="宋体" w:hAnsi="宋体"/>
          <w:color w:val="000000"/>
          <w:sz w:val="24"/>
          <w:szCs w:val="24"/>
        </w:rPr>
      </w:pPr>
      <w:r>
        <w:rPr>
          <w:rFonts w:hint="eastAsia" w:ascii="宋体" w:hAnsi="宋体"/>
          <w:color w:val="000000"/>
          <w:sz w:val="24"/>
          <w:szCs w:val="24"/>
        </w:rPr>
        <w:t>（2）如致乙方：</w:t>
      </w:r>
      <w:r>
        <w:rPr>
          <w:rFonts w:hint="default" w:ascii="宋体" w:hAnsi="宋体"/>
          <w:color w:val="000000"/>
          <w:sz w:val="24"/>
          <w:szCs w:val="24"/>
        </w:rPr>
        <w:tab/>
      </w:r>
    </w:p>
    <w:p w14:paraId="74DC55EE">
      <w:pPr>
        <w:widowControl/>
        <w:ind w:firstLine="480" w:firstLineChars="200"/>
        <w:rPr>
          <w:rFonts w:hint="eastAsia" w:ascii="宋体" w:hAnsi="宋体"/>
          <w:color w:val="000000"/>
          <w:sz w:val="24"/>
          <w:szCs w:val="24"/>
        </w:rPr>
      </w:pPr>
      <w:r>
        <w:rPr>
          <w:rFonts w:hint="eastAsia" w:ascii="宋体" w:hAnsi="宋体"/>
          <w:color w:val="000000"/>
          <w:sz w:val="24"/>
          <w:szCs w:val="24"/>
        </w:rPr>
        <w:t>名称：【】</w:t>
      </w:r>
    </w:p>
    <w:p w14:paraId="239C453A">
      <w:pPr>
        <w:snapToGrid w:val="0"/>
        <w:spacing w:line="360" w:lineRule="auto"/>
        <w:ind w:firstLine="480"/>
        <w:rPr>
          <w:rFonts w:hint="eastAsia" w:ascii="宋体" w:hAnsi="宋体"/>
          <w:color w:val="000000"/>
          <w:sz w:val="24"/>
          <w:szCs w:val="24"/>
        </w:rPr>
      </w:pPr>
      <w:r>
        <w:rPr>
          <w:rFonts w:hint="eastAsia" w:ascii="宋体" w:hAnsi="宋体"/>
          <w:color w:val="000000"/>
          <w:sz w:val="24"/>
          <w:szCs w:val="24"/>
          <w:lang w:val="en-US" w:eastAsia="zh-Hans"/>
        </w:rPr>
        <w:t>乙方</w:t>
      </w:r>
      <w:r>
        <w:rPr>
          <w:rFonts w:hint="eastAsia" w:ascii="宋体" w:hAnsi="宋体"/>
          <w:color w:val="000000"/>
          <w:sz w:val="24"/>
          <w:szCs w:val="24"/>
        </w:rPr>
        <w:t>地址：【】</w:t>
      </w:r>
    </w:p>
    <w:p w14:paraId="16134CAE">
      <w:pPr>
        <w:snapToGrid w:val="0"/>
        <w:spacing w:line="360" w:lineRule="auto"/>
        <w:ind w:firstLine="480"/>
        <w:rPr>
          <w:rFonts w:hint="eastAsia" w:ascii="宋体" w:hAnsi="宋体"/>
          <w:color w:val="000000"/>
          <w:sz w:val="24"/>
          <w:szCs w:val="24"/>
        </w:rPr>
      </w:pPr>
      <w:r>
        <w:rPr>
          <w:rFonts w:hint="eastAsia" w:ascii="宋体" w:hAnsi="宋体"/>
          <w:color w:val="000000"/>
          <w:sz w:val="24"/>
          <w:szCs w:val="24"/>
        </w:rPr>
        <w:t>电话：【】            邮政编码：【】</w:t>
      </w:r>
    </w:p>
    <w:p w14:paraId="519CE70C">
      <w:pPr>
        <w:snapToGrid w:val="0"/>
        <w:spacing w:line="360" w:lineRule="auto"/>
        <w:ind w:firstLine="480"/>
        <w:rPr>
          <w:rFonts w:ascii="宋体" w:hAnsi="宋体"/>
          <w:color w:val="000000"/>
          <w:sz w:val="24"/>
          <w:szCs w:val="24"/>
        </w:rPr>
      </w:pPr>
      <w:r>
        <w:rPr>
          <w:rFonts w:hint="eastAsia" w:ascii="宋体" w:hAnsi="宋体"/>
          <w:color w:val="000000"/>
          <w:sz w:val="24"/>
          <w:szCs w:val="24"/>
        </w:rPr>
        <w:t>联系人：【】        电子邮箱：【】</w:t>
      </w:r>
    </w:p>
    <w:p w14:paraId="56A31248">
      <w:pPr>
        <w:pStyle w:val="3"/>
        <w:keepNext/>
        <w:keepLines/>
        <w:tabs>
          <w:tab w:val="left" w:pos="855"/>
          <w:tab w:val="left" w:pos="1280"/>
        </w:tabs>
        <w:spacing w:before="360" w:after="360" w:line="400" w:lineRule="atLeast"/>
        <w:ind w:left="1280" w:hanging="855"/>
        <w:textAlignment w:val="auto"/>
        <w:rPr>
          <w:rFonts w:hint="eastAsia"/>
          <w:b w:val="0"/>
          <w:bCs w:val="0"/>
          <w:kern w:val="44"/>
          <w:sz w:val="28"/>
          <w:szCs w:val="20"/>
        </w:rPr>
      </w:pPr>
      <w:r>
        <w:rPr>
          <w:rFonts w:hint="eastAsia"/>
          <w:b w:val="0"/>
          <w:bCs w:val="0"/>
          <w:kern w:val="44"/>
          <w:sz w:val="28"/>
          <w:szCs w:val="20"/>
        </w:rPr>
        <w:t>第十四条 合同的生效及其他</w:t>
      </w:r>
    </w:p>
    <w:p w14:paraId="0E9F57B6">
      <w:pPr>
        <w:pStyle w:val="9"/>
        <w:ind w:left="0" w:firstLine="0"/>
        <w:rPr>
          <w:rFonts w:hint="eastAsia" w:ascii="宋体" w:hAnsi="宋体" w:eastAsia="宋体"/>
          <w:color w:val="000000"/>
          <w:szCs w:val="24"/>
        </w:rPr>
      </w:pPr>
      <w:r>
        <w:rPr>
          <w:rFonts w:hint="eastAsia" w:ascii="宋体" w:hAnsi="宋体" w:eastAsia="宋体"/>
          <w:color w:val="000000"/>
          <w:szCs w:val="24"/>
        </w:rPr>
        <w:t>14.1本合同自双方签字盖章之日起生效，有效期</w:t>
      </w:r>
      <w:r>
        <w:rPr>
          <w:rFonts w:hint="default" w:ascii="宋体" w:hAnsi="宋体" w:eastAsia="宋体"/>
          <w:color w:val="000000"/>
          <w:szCs w:val="24"/>
          <w:u w:val="single"/>
        </w:rPr>
        <w:t xml:space="preserve"> </w:t>
      </w:r>
      <w:r>
        <w:rPr>
          <w:rFonts w:hint="eastAsia" w:ascii="宋体" w:hAnsi="宋体" w:eastAsia="宋体"/>
          <w:color w:val="000000"/>
          <w:szCs w:val="24"/>
          <w:u w:val="single"/>
          <w:lang w:val="en-US" w:eastAsia="zh-CN"/>
        </w:rPr>
        <w:t>1</w:t>
      </w:r>
      <w:bookmarkStart w:id="4" w:name="_GoBack"/>
      <w:bookmarkEnd w:id="4"/>
      <w:r>
        <w:rPr>
          <w:rFonts w:hint="default" w:ascii="宋体" w:hAnsi="宋体" w:eastAsia="宋体"/>
          <w:color w:val="000000"/>
          <w:szCs w:val="24"/>
          <w:u w:val="single"/>
        </w:rPr>
        <w:t xml:space="preserve"> </w:t>
      </w:r>
      <w:r>
        <w:rPr>
          <w:rFonts w:hint="eastAsia" w:ascii="宋体" w:hAnsi="宋体" w:eastAsia="宋体"/>
          <w:color w:val="000000"/>
          <w:szCs w:val="24"/>
        </w:rPr>
        <w:t>年，合同正本一式</w:t>
      </w:r>
      <w:r>
        <w:rPr>
          <w:rFonts w:hint="eastAsia" w:ascii="宋体" w:hAnsi="宋体" w:eastAsia="宋体"/>
          <w:color w:val="000000"/>
          <w:szCs w:val="24"/>
          <w:lang w:val="en-US" w:eastAsia="zh-Hans"/>
        </w:rPr>
        <w:t>贰</w:t>
      </w:r>
      <w:r>
        <w:rPr>
          <w:rFonts w:hint="eastAsia" w:ascii="宋体" w:hAnsi="宋体" w:eastAsia="宋体"/>
          <w:color w:val="000000"/>
          <w:szCs w:val="24"/>
        </w:rPr>
        <w:t>份，甲方</w:t>
      </w:r>
      <w:r>
        <w:rPr>
          <w:rFonts w:hint="eastAsia" w:ascii="宋体" w:hAnsi="宋体" w:eastAsia="宋体"/>
          <w:color w:val="000000"/>
          <w:szCs w:val="24"/>
          <w:lang w:val="en-US" w:eastAsia="zh-Hans"/>
        </w:rPr>
        <w:t>壹</w:t>
      </w:r>
      <w:r>
        <w:rPr>
          <w:rFonts w:hint="eastAsia" w:ascii="宋体" w:hAnsi="宋体" w:eastAsia="宋体"/>
          <w:color w:val="000000"/>
          <w:szCs w:val="24"/>
        </w:rPr>
        <w:t>份，乙方</w:t>
      </w:r>
      <w:r>
        <w:rPr>
          <w:rFonts w:hint="eastAsia" w:ascii="宋体" w:hAnsi="宋体" w:eastAsia="宋体"/>
          <w:color w:val="000000"/>
          <w:szCs w:val="24"/>
          <w:lang w:val="en-US" w:eastAsia="zh-Hans"/>
        </w:rPr>
        <w:t>壹</w:t>
      </w:r>
      <w:r>
        <w:rPr>
          <w:rFonts w:hint="eastAsia" w:ascii="宋体" w:hAnsi="宋体" w:eastAsia="宋体"/>
          <w:color w:val="000000"/>
          <w:szCs w:val="24"/>
        </w:rPr>
        <w:t>份，均具有同等法律效力。</w:t>
      </w:r>
    </w:p>
    <w:p w14:paraId="1E580522">
      <w:pPr>
        <w:pStyle w:val="9"/>
        <w:ind w:left="0" w:firstLine="0"/>
        <w:rPr>
          <w:rFonts w:hint="eastAsia" w:ascii="宋体" w:hAnsi="宋体" w:eastAsia="宋体"/>
          <w:color w:val="000000"/>
          <w:szCs w:val="24"/>
        </w:rPr>
      </w:pPr>
      <w:r>
        <w:rPr>
          <w:rFonts w:hint="eastAsia" w:ascii="宋体" w:hAnsi="宋体" w:eastAsia="宋体"/>
          <w:color w:val="000000"/>
          <w:szCs w:val="24"/>
        </w:rPr>
        <w:t>14.2本合同依法签订，即具有法律效力。双方必须全面履行，任何一方都不得擅自变更或解除；因故需变更或解除时，应经双方协商一致，依法另立协议。</w:t>
      </w:r>
    </w:p>
    <w:p w14:paraId="0BCF1815">
      <w:pPr>
        <w:pStyle w:val="3"/>
        <w:keepNext/>
        <w:keepLines/>
        <w:tabs>
          <w:tab w:val="left" w:pos="855"/>
          <w:tab w:val="left" w:pos="1280"/>
        </w:tabs>
        <w:spacing w:before="360" w:after="360" w:line="400" w:lineRule="atLeast"/>
        <w:ind w:left="1280" w:hanging="855"/>
        <w:textAlignment w:val="auto"/>
        <w:rPr>
          <w:rFonts w:hint="eastAsia" w:ascii="宋体" w:hAnsi="宋体"/>
          <w:color w:val="000000"/>
        </w:rPr>
      </w:pPr>
      <w:r>
        <w:rPr>
          <w:rFonts w:hint="eastAsia"/>
          <w:b w:val="0"/>
          <w:bCs w:val="0"/>
          <w:kern w:val="44"/>
          <w:sz w:val="28"/>
          <w:szCs w:val="20"/>
        </w:rPr>
        <w:t>第十五条 合同附件</w:t>
      </w:r>
    </w:p>
    <w:p w14:paraId="4C0B46CE">
      <w:pPr>
        <w:snapToGrid w:val="0"/>
        <w:spacing w:line="380" w:lineRule="exact"/>
        <w:ind w:firstLine="480" w:firstLineChars="200"/>
        <w:rPr>
          <w:rFonts w:hint="default" w:ascii="宋体" w:hAnsi="宋体" w:eastAsia="宋体"/>
          <w:color w:val="000000"/>
          <w:sz w:val="24"/>
          <w:szCs w:val="24"/>
          <w:lang w:val="en-US" w:eastAsia="zh-Hans"/>
        </w:rPr>
      </w:pPr>
      <w:r>
        <w:rPr>
          <w:rFonts w:hint="eastAsia" w:ascii="宋体" w:hAnsi="宋体"/>
          <w:color w:val="000000"/>
          <w:sz w:val="24"/>
          <w:szCs w:val="24"/>
        </w:rPr>
        <w:t>附件1：</w:t>
      </w:r>
      <w:r>
        <w:rPr>
          <w:rFonts w:hint="eastAsia" w:ascii="宋体" w:hAnsi="宋体"/>
          <w:color w:val="000000"/>
          <w:sz w:val="24"/>
          <w:szCs w:val="24"/>
          <w:lang w:val="en-US" w:eastAsia="zh-Hans"/>
        </w:rPr>
        <w:t>技术规范</w:t>
      </w:r>
    </w:p>
    <w:p w14:paraId="030F18BC">
      <w:pPr>
        <w:snapToGrid w:val="0"/>
        <w:spacing w:line="380" w:lineRule="exact"/>
        <w:ind w:firstLine="480" w:firstLineChars="200"/>
        <w:rPr>
          <w:rFonts w:hint="eastAsia" w:ascii="宋体" w:hAnsi="宋体" w:eastAsia="宋体" w:cs="Times New Roman"/>
          <w:color w:val="000000"/>
          <w:sz w:val="24"/>
          <w:szCs w:val="24"/>
          <w:lang w:val="en-US" w:eastAsia="zh-Hans"/>
        </w:rPr>
      </w:pPr>
      <w:r>
        <w:rPr>
          <w:rFonts w:hint="eastAsia" w:ascii="宋体" w:hAnsi="宋体" w:eastAsia="宋体" w:cs="Times New Roman"/>
          <w:color w:val="000000"/>
          <w:sz w:val="24"/>
          <w:szCs w:val="24"/>
          <w:lang w:val="en-US" w:eastAsia="zh-Hans"/>
        </w:rPr>
        <w:t>附件2：安全生产责任书</w:t>
      </w:r>
    </w:p>
    <w:p w14:paraId="073FF7C7">
      <w:pPr>
        <w:snapToGrid w:val="0"/>
        <w:spacing w:line="380" w:lineRule="exact"/>
        <w:ind w:firstLine="480" w:firstLineChars="200"/>
        <w:rPr>
          <w:rFonts w:hint="eastAsia" w:ascii="宋体" w:hAnsi="宋体" w:eastAsia="宋体" w:cs="Times New Roman"/>
          <w:color w:val="000000"/>
          <w:sz w:val="24"/>
          <w:szCs w:val="24"/>
          <w:lang w:val="en-US" w:eastAsia="zh-Hans"/>
        </w:rPr>
      </w:pPr>
      <w:r>
        <w:rPr>
          <w:rFonts w:hint="eastAsia" w:ascii="宋体" w:hAnsi="宋体" w:eastAsia="宋体" w:cs="Times New Roman"/>
          <w:color w:val="000000"/>
          <w:sz w:val="24"/>
          <w:szCs w:val="24"/>
          <w:lang w:val="en-US" w:eastAsia="zh-Hans"/>
        </w:rPr>
        <w:t>附件3：数据安全保密协议</w:t>
      </w:r>
    </w:p>
    <w:p w14:paraId="191CF617">
      <w:pPr>
        <w:snapToGrid w:val="0"/>
        <w:spacing w:line="380" w:lineRule="exact"/>
        <w:ind w:firstLine="480" w:firstLineChars="200"/>
        <w:rPr>
          <w:rFonts w:hint="eastAsia" w:ascii="宋体" w:hAnsi="宋体" w:eastAsia="宋体" w:cs="Times New Roman"/>
          <w:color w:val="000000"/>
          <w:sz w:val="24"/>
          <w:szCs w:val="24"/>
          <w:lang w:val="en-US" w:eastAsia="zh-Hans"/>
        </w:rPr>
      </w:pPr>
      <w:r>
        <w:rPr>
          <w:rFonts w:hint="eastAsia" w:ascii="宋体" w:hAnsi="宋体" w:eastAsia="宋体" w:cs="Times New Roman"/>
          <w:color w:val="000000"/>
          <w:sz w:val="24"/>
          <w:szCs w:val="24"/>
          <w:lang w:val="en-US" w:eastAsia="zh-Hans"/>
        </w:rPr>
        <w:t>附件4：廉洁诚信协议</w:t>
      </w:r>
    </w:p>
    <w:p w14:paraId="10009B6E">
      <w:pPr>
        <w:snapToGrid w:val="0"/>
        <w:spacing w:line="380" w:lineRule="exact"/>
        <w:ind w:firstLine="480" w:firstLineChars="200"/>
        <w:rPr>
          <w:rFonts w:hint="eastAsia" w:ascii="宋体" w:hAnsi="宋体" w:eastAsia="宋体" w:cs="Times New Roman"/>
          <w:color w:val="000000"/>
          <w:sz w:val="24"/>
          <w:szCs w:val="24"/>
          <w:lang w:val="en-US" w:eastAsia="zh-Hans"/>
        </w:rPr>
      </w:pPr>
      <w:r>
        <w:rPr>
          <w:rFonts w:hint="eastAsia" w:ascii="宋体" w:hAnsi="宋体" w:eastAsia="宋体" w:cs="Times New Roman"/>
          <w:color w:val="000000"/>
          <w:sz w:val="24"/>
          <w:szCs w:val="24"/>
          <w:lang w:val="en-US" w:eastAsia="zh-Hans"/>
        </w:rPr>
        <w:t>附件5：通用网络与信息安全责任条款</w:t>
      </w:r>
    </w:p>
    <w:p w14:paraId="173431FC">
      <w:pPr>
        <w:snapToGrid w:val="0"/>
        <w:spacing w:line="380" w:lineRule="exact"/>
        <w:ind w:firstLine="480" w:firstLineChars="200"/>
        <w:rPr>
          <w:rFonts w:hint="default"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附件6：负面行为规则</w:t>
      </w:r>
    </w:p>
    <w:p w14:paraId="5A2BBFF4">
      <w:pPr>
        <w:pStyle w:val="8"/>
        <w:rPr>
          <w:rFonts w:hint="eastAsia" w:ascii="宋体" w:hAnsi="宋体"/>
          <w:color w:val="000000"/>
          <w:sz w:val="24"/>
          <w:szCs w:val="24"/>
        </w:rPr>
      </w:pPr>
    </w:p>
    <w:p w14:paraId="7155121C">
      <w:pPr>
        <w:pStyle w:val="8"/>
        <w:rPr>
          <w:rFonts w:hint="eastAsia" w:ascii="宋体" w:hAnsi="宋体"/>
          <w:color w:val="000000"/>
          <w:sz w:val="24"/>
          <w:szCs w:val="24"/>
        </w:rPr>
      </w:pPr>
    </w:p>
    <w:p w14:paraId="358794F5">
      <w:pPr>
        <w:pStyle w:val="8"/>
        <w:rPr>
          <w:rFonts w:hint="eastAsia" w:ascii="宋体" w:hAnsi="宋体"/>
          <w:color w:val="000000"/>
          <w:sz w:val="24"/>
          <w:szCs w:val="24"/>
        </w:rPr>
      </w:pPr>
    </w:p>
    <w:p w14:paraId="3A92066E">
      <w:pPr>
        <w:pStyle w:val="8"/>
        <w:rPr>
          <w:rFonts w:hint="eastAsia" w:ascii="宋体" w:hAnsi="宋体"/>
          <w:color w:val="000000"/>
          <w:sz w:val="24"/>
          <w:szCs w:val="24"/>
        </w:rPr>
      </w:pPr>
    </w:p>
    <w:p w14:paraId="37F590A1">
      <w:pPr>
        <w:pStyle w:val="8"/>
        <w:rPr>
          <w:rFonts w:hint="eastAsia" w:ascii="宋体" w:hAnsi="宋体"/>
          <w:color w:val="000000"/>
          <w:sz w:val="24"/>
          <w:szCs w:val="24"/>
        </w:rPr>
      </w:pPr>
    </w:p>
    <w:p w14:paraId="47E090C7">
      <w:pPr>
        <w:pStyle w:val="8"/>
        <w:rPr>
          <w:rFonts w:hint="eastAsia" w:ascii="宋体" w:hAnsi="宋体"/>
          <w:color w:val="000000"/>
          <w:sz w:val="24"/>
          <w:szCs w:val="24"/>
        </w:rPr>
      </w:pPr>
    </w:p>
    <w:p w14:paraId="0832E07C">
      <w:pPr>
        <w:pStyle w:val="8"/>
        <w:rPr>
          <w:rFonts w:hint="eastAsia" w:ascii="宋体" w:hAnsi="宋体"/>
          <w:color w:val="000000"/>
          <w:sz w:val="24"/>
          <w:szCs w:val="24"/>
        </w:rPr>
      </w:pPr>
    </w:p>
    <w:p w14:paraId="7A5DF017">
      <w:pPr>
        <w:pStyle w:val="8"/>
        <w:rPr>
          <w:rFonts w:hint="eastAsia" w:ascii="宋体" w:hAnsi="宋体"/>
          <w:color w:val="000000"/>
          <w:sz w:val="24"/>
          <w:szCs w:val="24"/>
        </w:rPr>
      </w:pPr>
    </w:p>
    <w:p w14:paraId="413176FF">
      <w:pPr>
        <w:pStyle w:val="8"/>
        <w:rPr>
          <w:rFonts w:hint="eastAsia" w:ascii="宋体" w:hAnsi="宋体"/>
          <w:color w:val="000000"/>
          <w:sz w:val="24"/>
          <w:szCs w:val="24"/>
        </w:rPr>
      </w:pPr>
    </w:p>
    <w:p w14:paraId="7187BC6E">
      <w:pPr>
        <w:rPr>
          <w:rFonts w:ascii="宋体" w:hAnsi="宋体"/>
          <w:color w:val="000000"/>
          <w:szCs w:val="21"/>
        </w:rPr>
      </w:pPr>
      <w:r>
        <w:rPr>
          <w:rFonts w:hint="eastAsia" w:ascii="宋体" w:hAnsi="宋体"/>
          <w:color w:val="000000"/>
          <w:szCs w:val="21"/>
        </w:rPr>
        <w:t xml:space="preserve">     </w:t>
      </w:r>
    </w:p>
    <w:tbl>
      <w:tblPr>
        <w:tblStyle w:val="15"/>
        <w:tblW w:w="8610" w:type="dxa"/>
        <w:tblInd w:w="43" w:type="dxa"/>
        <w:tblLayout w:type="fixed"/>
        <w:tblCellMar>
          <w:top w:w="0" w:type="dxa"/>
          <w:left w:w="43" w:type="dxa"/>
          <w:bottom w:w="0" w:type="dxa"/>
          <w:right w:w="43" w:type="dxa"/>
        </w:tblCellMar>
      </w:tblPr>
      <w:tblGrid>
        <w:gridCol w:w="4678"/>
        <w:gridCol w:w="3932"/>
      </w:tblGrid>
      <w:tr w14:paraId="24205B55">
        <w:tblPrEx>
          <w:tblCellMar>
            <w:top w:w="0" w:type="dxa"/>
            <w:left w:w="43" w:type="dxa"/>
            <w:bottom w:w="0" w:type="dxa"/>
            <w:right w:w="43" w:type="dxa"/>
          </w:tblCellMar>
        </w:tblPrEx>
        <w:trPr>
          <w:cantSplit/>
          <w:trHeight w:val="3556" w:hRule="atLeast"/>
        </w:trPr>
        <w:tc>
          <w:tcPr>
            <w:tcW w:w="4678" w:type="dxa"/>
            <w:tcBorders>
              <w:top w:val="nil"/>
              <w:left w:val="nil"/>
              <w:bottom w:val="nil"/>
              <w:right w:val="nil"/>
            </w:tcBorders>
            <w:noWrap w:val="0"/>
            <w:vAlign w:val="top"/>
          </w:tcPr>
          <w:p w14:paraId="3684E866">
            <w:pPr>
              <w:rPr>
                <w:rFonts w:hint="eastAsia"/>
                <w:color w:val="000000"/>
                <w:sz w:val="24"/>
                <w:szCs w:val="24"/>
              </w:rPr>
            </w:pPr>
            <w:r>
              <w:rPr>
                <w:rFonts w:hint="eastAsia"/>
                <w:color w:val="000000"/>
                <w:sz w:val="24"/>
                <w:szCs w:val="24"/>
              </w:rPr>
              <w:t>甲方：</w:t>
            </w:r>
            <w:r>
              <w:rPr>
                <w:rFonts w:hint="default" w:ascii="宋体" w:hAnsi="宋体"/>
                <w:b w:val="0"/>
                <w:bCs/>
                <w:sz w:val="24"/>
                <w:szCs w:val="24"/>
              </w:rPr>
              <w:t>中国移动通信集团江苏有限公司徐州分公司</w:t>
            </w:r>
          </w:p>
          <w:p w14:paraId="5DBA665E">
            <w:pPr>
              <w:rPr>
                <w:rFonts w:hint="eastAsia"/>
                <w:color w:val="000000"/>
                <w:sz w:val="24"/>
                <w:szCs w:val="24"/>
              </w:rPr>
            </w:pPr>
          </w:p>
          <w:p w14:paraId="57C021F6">
            <w:pPr>
              <w:rPr>
                <w:color w:val="000000"/>
                <w:sz w:val="24"/>
                <w:szCs w:val="24"/>
              </w:rPr>
            </w:pPr>
            <w:r>
              <w:rPr>
                <w:rFonts w:hint="eastAsia"/>
                <w:color w:val="000000"/>
                <w:sz w:val="24"/>
                <w:szCs w:val="24"/>
              </w:rPr>
              <w:t>授权代表：</w:t>
            </w:r>
            <w:r>
              <w:rPr>
                <w:color w:val="000000"/>
                <w:sz w:val="24"/>
                <w:szCs w:val="24"/>
              </w:rPr>
              <w:t xml:space="preserve">                            </w:t>
            </w:r>
          </w:p>
          <w:p w14:paraId="1D676A69">
            <w:pPr>
              <w:rPr>
                <w:rFonts w:hint="eastAsia"/>
                <w:color w:val="000000"/>
                <w:sz w:val="24"/>
                <w:szCs w:val="24"/>
              </w:rPr>
            </w:pPr>
          </w:p>
          <w:p w14:paraId="6F063700">
            <w:pPr>
              <w:rPr>
                <w:rFonts w:hint="eastAsia"/>
                <w:color w:val="000000"/>
                <w:sz w:val="24"/>
                <w:szCs w:val="24"/>
              </w:rPr>
            </w:pPr>
          </w:p>
          <w:p w14:paraId="06706E7C">
            <w:pPr>
              <w:rPr>
                <w:rFonts w:hint="eastAsia"/>
                <w:color w:val="000000"/>
                <w:sz w:val="24"/>
                <w:szCs w:val="24"/>
              </w:rPr>
            </w:pPr>
            <w:r>
              <w:rPr>
                <w:rFonts w:hint="eastAsia"/>
                <w:color w:val="000000"/>
                <w:sz w:val="24"/>
                <w:szCs w:val="24"/>
              </w:rPr>
              <w:t>公章或合同章：</w:t>
            </w:r>
          </w:p>
          <w:p w14:paraId="66F7BF78">
            <w:pPr>
              <w:rPr>
                <w:rFonts w:hint="eastAsia"/>
                <w:color w:val="000000"/>
                <w:sz w:val="24"/>
                <w:szCs w:val="24"/>
              </w:rPr>
            </w:pPr>
          </w:p>
        </w:tc>
        <w:tc>
          <w:tcPr>
            <w:tcW w:w="3932" w:type="dxa"/>
            <w:tcBorders>
              <w:top w:val="nil"/>
              <w:left w:val="nil"/>
              <w:bottom w:val="nil"/>
              <w:right w:val="nil"/>
            </w:tcBorders>
            <w:noWrap w:val="0"/>
            <w:vAlign w:val="top"/>
          </w:tcPr>
          <w:p w14:paraId="79CD4699">
            <w:pPr>
              <w:spacing w:line="360" w:lineRule="auto"/>
              <w:rPr>
                <w:color w:val="000000"/>
                <w:kern w:val="0"/>
                <w:sz w:val="24"/>
                <w:szCs w:val="24"/>
              </w:rPr>
            </w:pPr>
            <w:r>
              <w:rPr>
                <w:rFonts w:hint="eastAsia" w:ascii="宋体" w:hAnsi="宋体"/>
                <w:color w:val="000000"/>
                <w:sz w:val="24"/>
                <w:szCs w:val="24"/>
              </w:rPr>
              <w:t>乙方：</w:t>
            </w:r>
          </w:p>
          <w:p w14:paraId="20AFE43D">
            <w:pPr>
              <w:spacing w:line="360" w:lineRule="auto"/>
              <w:rPr>
                <w:rFonts w:hint="eastAsia" w:ascii="宋体" w:hAnsi="宋体"/>
                <w:color w:val="000000"/>
                <w:sz w:val="24"/>
                <w:szCs w:val="24"/>
              </w:rPr>
            </w:pPr>
          </w:p>
          <w:p w14:paraId="50513219">
            <w:pPr>
              <w:rPr>
                <w:color w:val="000000"/>
                <w:sz w:val="24"/>
                <w:szCs w:val="24"/>
              </w:rPr>
            </w:pPr>
            <w:r>
              <w:rPr>
                <w:rFonts w:hint="eastAsia"/>
                <w:color w:val="000000"/>
                <w:sz w:val="24"/>
                <w:szCs w:val="24"/>
              </w:rPr>
              <w:t>授权代表：</w:t>
            </w:r>
            <w:r>
              <w:rPr>
                <w:color w:val="000000"/>
                <w:sz w:val="24"/>
                <w:szCs w:val="24"/>
              </w:rPr>
              <w:t xml:space="preserve">                            </w:t>
            </w:r>
          </w:p>
          <w:p w14:paraId="6A0B7D05">
            <w:pPr>
              <w:rPr>
                <w:rFonts w:hint="eastAsia"/>
                <w:color w:val="000000"/>
                <w:sz w:val="24"/>
                <w:szCs w:val="24"/>
              </w:rPr>
            </w:pPr>
          </w:p>
          <w:p w14:paraId="1B191E2B">
            <w:pPr>
              <w:rPr>
                <w:color w:val="000000"/>
                <w:sz w:val="24"/>
                <w:szCs w:val="24"/>
              </w:rPr>
            </w:pPr>
            <w:r>
              <w:rPr>
                <w:rFonts w:hint="eastAsia"/>
                <w:color w:val="000000"/>
                <w:sz w:val="24"/>
                <w:szCs w:val="24"/>
              </w:rPr>
              <w:t>公章或合同章：</w:t>
            </w:r>
            <w:r>
              <w:rPr>
                <w:color w:val="000000"/>
                <w:sz w:val="24"/>
                <w:szCs w:val="24"/>
              </w:rPr>
              <w:t xml:space="preserve">                          </w:t>
            </w:r>
          </w:p>
          <w:p w14:paraId="1790E11C">
            <w:pPr>
              <w:rPr>
                <w:color w:val="000000"/>
                <w:sz w:val="24"/>
                <w:szCs w:val="24"/>
              </w:rPr>
            </w:pPr>
          </w:p>
        </w:tc>
      </w:tr>
    </w:tbl>
    <w:p w14:paraId="08455CFD">
      <w:pPr>
        <w:rPr>
          <w:rFonts w:hint="eastAsia" w:ascii="宋体" w:hAnsi="宋体" w:cs="宋体"/>
          <w:b/>
          <w:color w:val="000000"/>
          <w:kern w:val="0"/>
          <w:sz w:val="36"/>
          <w:szCs w:val="36"/>
        </w:rPr>
      </w:pPr>
      <w:r>
        <w:rPr>
          <w:rFonts w:hint="eastAsia"/>
          <w:color w:val="000000"/>
          <w:sz w:val="24"/>
          <w:szCs w:val="24"/>
        </w:rPr>
        <w:t>签署日期：</w:t>
      </w:r>
      <w:r>
        <w:rPr>
          <w:color w:val="000000"/>
          <w:sz w:val="24"/>
          <w:szCs w:val="24"/>
        </w:rPr>
        <w:t xml:space="preserve">       </w:t>
      </w:r>
      <w:r>
        <w:rPr>
          <w:rFonts w:hint="eastAsia"/>
          <w:color w:val="000000"/>
          <w:sz w:val="24"/>
          <w:szCs w:val="24"/>
        </w:rPr>
        <w:t>年    月    日</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rFonts w:hint="eastAsia"/>
          <w:color w:val="000000"/>
          <w:sz w:val="24"/>
          <w:szCs w:val="24"/>
        </w:rPr>
        <w:t>签署日期：</w:t>
      </w:r>
      <w:r>
        <w:rPr>
          <w:color w:val="000000"/>
          <w:sz w:val="24"/>
          <w:szCs w:val="24"/>
        </w:rPr>
        <w:t xml:space="preserve">       </w:t>
      </w:r>
      <w:r>
        <w:rPr>
          <w:rFonts w:hint="eastAsia"/>
          <w:color w:val="000000"/>
          <w:sz w:val="24"/>
          <w:szCs w:val="24"/>
        </w:rPr>
        <w:t>年    月    日</w:t>
      </w:r>
    </w:p>
    <w:p w14:paraId="2F591D60">
      <w:pPr>
        <w:pStyle w:val="7"/>
        <w:rPr>
          <w:rFonts w:hint="eastAsia" w:ascii="宋体" w:hAnsi="宋体" w:cs="Times New Roman"/>
          <w:b/>
          <w:color w:val="000000"/>
          <w:sz w:val="36"/>
          <w:szCs w:val="36"/>
        </w:rPr>
      </w:pPr>
    </w:p>
    <w:p w14:paraId="2A93031A">
      <w:pPr>
        <w:rPr>
          <w:rFonts w:hint="eastAsia" w:ascii="宋体" w:hAnsi="宋体" w:cs="Times New Roman"/>
          <w:b/>
          <w:color w:val="000000"/>
          <w:sz w:val="36"/>
          <w:szCs w:val="36"/>
        </w:rPr>
        <w:sectPr>
          <w:pgSz w:w="11906" w:h="16838"/>
          <w:pgMar w:top="1440" w:right="1797" w:bottom="1440" w:left="1797" w:header="851" w:footer="992" w:gutter="0"/>
          <w:cols w:space="720" w:num="1"/>
          <w:docGrid w:linePitch="312" w:charSpace="0"/>
        </w:sectPr>
      </w:pPr>
    </w:p>
    <w:p w14:paraId="60816453">
      <w:pPr>
        <w:rPr>
          <w:rFonts w:hint="default" w:ascii="宋体" w:hAnsi="宋体" w:cs="Times New Roman"/>
          <w:b/>
          <w:color w:val="000000"/>
          <w:sz w:val="36"/>
          <w:szCs w:val="36"/>
          <w:lang w:val="en-US" w:eastAsia="zh-Hans"/>
        </w:rPr>
      </w:pPr>
      <w:r>
        <w:rPr>
          <w:rFonts w:hint="eastAsia" w:ascii="宋体" w:hAnsi="宋体" w:cs="Times New Roman"/>
          <w:b/>
          <w:color w:val="000000"/>
          <w:sz w:val="36"/>
          <w:szCs w:val="36"/>
        </w:rPr>
        <w:t>附件1</w:t>
      </w:r>
      <w:r>
        <w:rPr>
          <w:rFonts w:hint="default" w:ascii="宋体" w:hAnsi="宋体" w:cs="Times New Roman"/>
          <w:b/>
          <w:color w:val="000000"/>
          <w:sz w:val="36"/>
          <w:szCs w:val="36"/>
        </w:rPr>
        <w:t xml:space="preserve">            </w:t>
      </w:r>
      <w:r>
        <w:rPr>
          <w:rFonts w:hint="eastAsia" w:ascii="宋体" w:hAnsi="宋体" w:cs="Times New Roman"/>
          <w:b/>
          <w:color w:val="000000"/>
          <w:sz w:val="36"/>
          <w:szCs w:val="36"/>
          <w:lang w:val="en-US" w:eastAsia="zh-Hans"/>
        </w:rPr>
        <w:t>技术规范</w:t>
      </w:r>
    </w:p>
    <w:p w14:paraId="63705D11">
      <w:pPr>
        <w:rPr>
          <w:rFonts w:hint="eastAsia"/>
          <w:color w:val="000000"/>
        </w:rPr>
      </w:pPr>
    </w:p>
    <w:p w14:paraId="101EDD6A">
      <w:pPr>
        <w:rPr>
          <w:rFonts w:hint="eastAsia"/>
          <w:color w:val="000000"/>
        </w:rPr>
      </w:pPr>
    </w:p>
    <w:p w14:paraId="20F9C021">
      <w:pPr>
        <w:rPr>
          <w:rFonts w:hint="eastAsia"/>
          <w:color w:val="000000"/>
        </w:rPr>
      </w:pPr>
    </w:p>
    <w:p w14:paraId="72D85644">
      <w:pPr>
        <w:widowControl/>
        <w:jc w:val="left"/>
        <w:rPr>
          <w:rFonts w:ascii="宋体" w:hAnsi="宋体" w:cs="宋体"/>
          <w:color w:val="000000"/>
          <w:kern w:val="0"/>
          <w:sz w:val="24"/>
          <w:szCs w:val="24"/>
          <w:lang w:bidi="hi-IN"/>
        </w:rPr>
      </w:pPr>
    </w:p>
    <w:p w14:paraId="3B8D1282">
      <w:pPr>
        <w:widowControl/>
        <w:jc w:val="left"/>
        <w:rPr>
          <w:rFonts w:ascii="宋体" w:hAnsi="宋体" w:cs="宋体"/>
          <w:color w:val="000000"/>
          <w:kern w:val="0"/>
          <w:sz w:val="24"/>
          <w:szCs w:val="24"/>
          <w:lang w:bidi="hi-IN"/>
        </w:rPr>
      </w:pPr>
    </w:p>
    <w:p w14:paraId="5B977EAB">
      <w:pPr>
        <w:widowControl/>
        <w:jc w:val="left"/>
        <w:rPr>
          <w:rFonts w:hint="eastAsia" w:ascii="宋体" w:hAnsi="宋体" w:cs="宋体"/>
          <w:color w:val="000000"/>
          <w:kern w:val="0"/>
          <w:sz w:val="24"/>
          <w:szCs w:val="24"/>
          <w:lang w:bidi="hi-IN"/>
        </w:rPr>
      </w:pPr>
    </w:p>
    <w:p w14:paraId="4A3FA180">
      <w:pPr>
        <w:rPr>
          <w:rFonts w:ascii="宋体" w:hAnsi="宋体" w:cs="宋体"/>
          <w:color w:val="000000"/>
          <w:kern w:val="0"/>
          <w:sz w:val="24"/>
          <w:szCs w:val="24"/>
          <w:lang w:bidi="hi-IN"/>
        </w:rPr>
        <w:sectPr>
          <w:pgSz w:w="11906" w:h="16838"/>
          <w:pgMar w:top="1440" w:right="1797" w:bottom="1440" w:left="1797" w:header="851" w:footer="992" w:gutter="0"/>
          <w:cols w:space="720" w:num="1"/>
          <w:docGrid w:linePitch="312" w:charSpace="0"/>
        </w:sectPr>
      </w:pPr>
      <w:r>
        <w:rPr>
          <w:rFonts w:ascii="宋体" w:hAnsi="宋体" w:cs="宋体"/>
          <w:color w:val="000000"/>
          <w:kern w:val="0"/>
          <w:sz w:val="24"/>
          <w:szCs w:val="24"/>
          <w:lang w:bidi="hi-IN"/>
        </w:rPr>
        <w:br w:type="page"/>
      </w:r>
    </w:p>
    <w:p w14:paraId="0270C31D">
      <w:pPr>
        <w:rPr>
          <w:rFonts w:hint="eastAsia" w:ascii="宋体" w:hAnsi="宋体" w:cs="Times New Roman"/>
          <w:b/>
          <w:color w:val="000000"/>
          <w:sz w:val="36"/>
          <w:szCs w:val="36"/>
        </w:rPr>
      </w:pPr>
      <w:r>
        <w:rPr>
          <w:rFonts w:hint="eastAsia" w:ascii="宋体" w:hAnsi="宋体" w:cs="Times New Roman"/>
          <w:b/>
          <w:color w:val="000000"/>
          <w:sz w:val="36"/>
          <w:szCs w:val="36"/>
        </w:rPr>
        <w:t>附件2</w:t>
      </w:r>
      <w:r>
        <w:rPr>
          <w:rFonts w:hint="default" w:ascii="宋体" w:hAnsi="宋体" w:cs="Times New Roman"/>
          <w:b/>
          <w:color w:val="000000"/>
          <w:sz w:val="36"/>
          <w:szCs w:val="36"/>
        </w:rPr>
        <w:t xml:space="preserve">            </w:t>
      </w:r>
      <w:r>
        <w:rPr>
          <w:rFonts w:hint="eastAsia" w:ascii="宋体" w:hAnsi="宋体" w:cs="Times New Roman"/>
          <w:b/>
          <w:color w:val="000000"/>
          <w:sz w:val="36"/>
          <w:szCs w:val="36"/>
        </w:rPr>
        <w:t>安全生产责任书</w:t>
      </w:r>
    </w:p>
    <w:p w14:paraId="03798447">
      <w:pPr>
        <w:widowControl/>
        <w:spacing w:line="384" w:lineRule="atLeast"/>
        <w:jc w:val="left"/>
        <w:rPr>
          <w:rFonts w:hint="default" w:ascii="宋体" w:hAnsi="宋体"/>
          <w:b w:val="0"/>
          <w:color w:val="000000"/>
          <w:sz w:val="24"/>
          <w:szCs w:val="24"/>
        </w:rPr>
      </w:pPr>
      <w:r>
        <w:rPr>
          <w:rFonts w:hint="eastAsia" w:ascii="宋体" w:hAnsi="宋体" w:cs="宋体"/>
          <w:color w:val="000000"/>
          <w:kern w:val="0"/>
          <w:sz w:val="24"/>
        </w:rPr>
        <w:t>甲方：</w:t>
      </w:r>
      <w:r>
        <w:rPr>
          <w:rFonts w:hint="default" w:ascii="宋体" w:hAnsi="宋体"/>
          <w:b w:val="0"/>
          <w:color w:val="000000"/>
          <w:sz w:val="24"/>
          <w:szCs w:val="24"/>
        </w:rPr>
        <w:t>中国移动通信集团江苏有限公司徐州分公司</w:t>
      </w:r>
    </w:p>
    <w:p w14:paraId="5D90631D">
      <w:pPr>
        <w:widowControl/>
        <w:spacing w:line="384" w:lineRule="atLeast"/>
        <w:jc w:val="left"/>
        <w:rPr>
          <w:rFonts w:ascii="宋体" w:hAnsi="宋体" w:cs="宋体"/>
          <w:color w:val="000000"/>
          <w:kern w:val="0"/>
          <w:sz w:val="24"/>
        </w:rPr>
      </w:pPr>
      <w:r>
        <w:rPr>
          <w:rFonts w:hint="eastAsia" w:ascii="宋体" w:hAnsi="宋体" w:cs="宋体"/>
          <w:color w:val="000000"/>
          <w:kern w:val="0"/>
          <w:sz w:val="24"/>
        </w:rPr>
        <w:t>乙方：</w:t>
      </w:r>
    </w:p>
    <w:p w14:paraId="45833D2F">
      <w:pPr>
        <w:widowControl/>
        <w:spacing w:line="384" w:lineRule="atLeast"/>
        <w:jc w:val="left"/>
        <w:rPr>
          <w:rFonts w:ascii="宋体" w:hAnsi="宋体" w:cs="宋体"/>
          <w:color w:val="000000"/>
          <w:kern w:val="0"/>
          <w:sz w:val="24"/>
        </w:rPr>
      </w:pPr>
    </w:p>
    <w:p w14:paraId="0A7B1457">
      <w:pPr>
        <w:widowControl/>
        <w:spacing w:line="360" w:lineRule="auto"/>
        <w:ind w:firstLine="480" w:firstLineChars="200"/>
        <w:rPr>
          <w:rFonts w:ascii="宋体" w:hAnsi="宋体" w:cs="宋体"/>
          <w:color w:val="000000"/>
          <w:kern w:val="0"/>
          <w:sz w:val="24"/>
        </w:rPr>
      </w:pPr>
      <w:r>
        <w:rPr>
          <w:rFonts w:hint="eastAsia" w:ascii="宋体" w:hAnsi="宋体"/>
          <w:color w:val="000000"/>
          <w:sz w:val="24"/>
        </w:rPr>
        <w:t>为确保</w:t>
      </w:r>
      <w:r>
        <w:rPr>
          <w:rFonts w:hint="eastAsia" w:ascii="宋体" w:hAnsi="宋体" w:cs="宋体"/>
          <w:color w:val="000000"/>
          <w:kern w:val="0"/>
          <w:sz w:val="24"/>
        </w:rPr>
        <w:t>甲方</w:t>
      </w:r>
      <w:r>
        <w:rPr>
          <w:rFonts w:hint="eastAsia" w:ascii="宋体" w:hAnsi="宋体"/>
          <w:color w:val="000000"/>
          <w:sz w:val="24"/>
        </w:rPr>
        <w:t>所属范围内的</w:t>
      </w:r>
      <w:r>
        <w:rPr>
          <w:rFonts w:hint="eastAsia" w:ascii="宋体" w:hAnsi="宋体" w:cs="宋体"/>
          <w:color w:val="000000"/>
          <w:kern w:val="0"/>
          <w:sz w:val="24"/>
        </w:rPr>
        <w:t>项目施工期间的人身、设备安全，以及使用中设备的安全运行，进一步明确施工中甲乙双方职责，落实安全责任，根据《中华人民共和国民法典》、《中华人民共和国劳动法》、《中华人民共和国安全生产法》、《中华人民共和国消防法》、《中华人民共和国环境保护法》、《中华人民共和国刑法》等法律，及《建设工程安全生产管理条例》、《安全生产许可证条例》、《中央企业安全生产监督管理暂行办法》、《电信网络运行监督管理办法》等法规，中国移动通信集团江苏有限公司、中国移动通信集团江苏有限公司X</w:t>
      </w:r>
      <w:r>
        <w:rPr>
          <w:rFonts w:ascii="宋体" w:hAnsi="宋体" w:cs="宋体"/>
          <w:color w:val="000000"/>
          <w:kern w:val="0"/>
          <w:sz w:val="24"/>
        </w:rPr>
        <w:t>X</w:t>
      </w:r>
      <w:r>
        <w:rPr>
          <w:rFonts w:hint="eastAsia" w:ascii="宋体" w:hAnsi="宋体" w:cs="宋体"/>
          <w:color w:val="000000"/>
          <w:kern w:val="0"/>
          <w:sz w:val="24"/>
        </w:rPr>
        <w:t>分公司有关安全生产和施工管理规定和要求，经过甲乙双方共同协商，凡甲方委托乙方的项目，乙方必须遵守如下施工安全条款：</w:t>
      </w:r>
    </w:p>
    <w:p w14:paraId="2FEE859C">
      <w:pPr>
        <w:widowControl/>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一、乙方人员进入甲方或者甲方业主场地或指定区域，必须遵守国家及行业相关法规及甲方的各项规章制度和要求。并对全体施工人员进行安全培训和教育，施工人员必须严格按照施工项目的操作规程施工和作业。</w:t>
      </w:r>
    </w:p>
    <w:p w14:paraId="4E88AF73">
      <w:pPr>
        <w:widowControl/>
        <w:spacing w:line="360" w:lineRule="auto"/>
        <w:ind w:firstLine="460" w:firstLineChars="192"/>
        <w:rPr>
          <w:rFonts w:ascii="宋体" w:hAnsi="宋体" w:cs="宋体"/>
          <w:color w:val="000000"/>
          <w:kern w:val="0"/>
          <w:sz w:val="24"/>
        </w:rPr>
      </w:pPr>
      <w:r>
        <w:rPr>
          <w:rFonts w:hint="eastAsia" w:ascii="宋体" w:hAnsi="宋体" w:cs="宋体"/>
          <w:color w:val="000000"/>
          <w:kern w:val="0"/>
          <w:sz w:val="24"/>
        </w:rPr>
        <w:t>二、乙方在甲方或者甲方业主场地或区域内施工，必须按安全要求做好安全防范措施、及悬挂和设置安全标志，并按安全规程、标准及规定执行，加强施工安全检查和监督，发现违章作业者要坚决纠正并作出处理。</w:t>
      </w:r>
    </w:p>
    <w:p w14:paraId="661ABBD0">
      <w:pPr>
        <w:widowControl/>
        <w:spacing w:line="360" w:lineRule="auto"/>
        <w:ind w:firstLine="460" w:firstLineChars="192"/>
        <w:rPr>
          <w:rFonts w:ascii="宋体" w:hAnsi="宋体" w:cs="宋体"/>
          <w:color w:val="000000"/>
          <w:kern w:val="0"/>
          <w:sz w:val="24"/>
        </w:rPr>
      </w:pPr>
      <w:r>
        <w:rPr>
          <w:rFonts w:hint="eastAsia" w:ascii="宋体" w:hAnsi="宋体" w:cs="宋体"/>
          <w:color w:val="000000"/>
          <w:kern w:val="0"/>
          <w:sz w:val="24"/>
        </w:rPr>
        <w:t>三、乙方带进甲方或者甲方业主场地使用的工具、设备、仪器等，必须符合安全要求，并接受甲方有关人员的检查，对不符合安全要求的，甲方有权禁止使用和清退出现场。</w:t>
      </w:r>
    </w:p>
    <w:p w14:paraId="4C4C7224">
      <w:pPr>
        <w:widowControl/>
        <w:spacing w:line="360" w:lineRule="auto"/>
        <w:ind w:firstLine="460" w:firstLineChars="192"/>
        <w:rPr>
          <w:rFonts w:ascii="宋体" w:hAnsi="宋体" w:cs="宋体"/>
          <w:color w:val="000000"/>
          <w:kern w:val="0"/>
          <w:sz w:val="24"/>
        </w:rPr>
      </w:pPr>
      <w:r>
        <w:rPr>
          <w:rFonts w:hint="eastAsia" w:ascii="宋体" w:hAnsi="宋体" w:cs="宋体"/>
          <w:color w:val="000000"/>
          <w:kern w:val="0"/>
          <w:sz w:val="24"/>
        </w:rPr>
        <w:t>四、乙方特种作业人员必须持证上岗，严禁无证操作，乙方应有专人负责对其检查和管理监督，甲方有权进行检查监督。</w:t>
      </w:r>
    </w:p>
    <w:p w14:paraId="18BFE951">
      <w:pPr>
        <w:widowControl/>
        <w:spacing w:line="360" w:lineRule="auto"/>
        <w:ind w:firstLine="460" w:firstLineChars="192"/>
        <w:rPr>
          <w:rFonts w:ascii="宋体" w:hAnsi="宋体" w:cs="宋体"/>
          <w:color w:val="000000"/>
          <w:kern w:val="0"/>
          <w:sz w:val="24"/>
        </w:rPr>
      </w:pPr>
      <w:r>
        <w:rPr>
          <w:rFonts w:hint="eastAsia" w:ascii="宋体" w:hAnsi="宋体" w:cs="宋体"/>
          <w:color w:val="000000"/>
          <w:kern w:val="0"/>
          <w:sz w:val="24"/>
        </w:rPr>
        <w:t>五、乙方施工人员在高处作业时必须按规范使用安全帽、保险带等劳保用品，不违章操作。严格执行“登高作业八项禁令”:禁止未受过培训并取得特种作业证的人员登高作业；禁止不正确使用登高工器具或使用不合格工器具登高作业；禁止恶劣天气下登高作业；禁止登高人员无安全保护措施作业；禁止工作区域内危险因素未排除和无安全防护状态下冒险作业；禁止现场安全情况不明责任不落实情况下登高作业；禁止身体条件不适合登高作业情况下强行登高作业；禁止不按照规范流程登高作业。</w:t>
      </w:r>
    </w:p>
    <w:p w14:paraId="30A6B2EA">
      <w:pPr>
        <w:widowControl/>
        <w:spacing w:line="360" w:lineRule="auto"/>
        <w:ind w:firstLine="460" w:firstLineChars="192"/>
        <w:rPr>
          <w:rFonts w:ascii="宋体" w:hAnsi="宋体" w:cs="宋体"/>
          <w:color w:val="000000"/>
          <w:kern w:val="0"/>
          <w:sz w:val="24"/>
        </w:rPr>
      </w:pPr>
      <w:r>
        <w:rPr>
          <w:rFonts w:hint="eastAsia" w:ascii="宋体" w:hAnsi="宋体" w:cs="宋体"/>
          <w:color w:val="000000"/>
          <w:kern w:val="0"/>
          <w:sz w:val="24"/>
        </w:rPr>
        <w:t>六、乙方在带电作业、易燃易爆区域和有毒有害等危险部位施工，预先采取防范措施、并沟通甲方配合施工，确保安全。在施工过程中需要架设临时电源线、棚架作业等，应向甲方主管部门申报批准，并经甲方安全主管部门同意后方可进行作业。乙方要加强施工现场吸烟人员的管理，严禁在机房、基站等禁烟区、及重点要害施工部位吸烟。</w:t>
      </w:r>
    </w:p>
    <w:p w14:paraId="39FDDA44">
      <w:pPr>
        <w:widowControl/>
        <w:spacing w:line="360" w:lineRule="auto"/>
        <w:ind w:firstLine="460" w:firstLineChars="192"/>
        <w:rPr>
          <w:rFonts w:ascii="宋体" w:hAnsi="宋体" w:cs="宋体"/>
          <w:color w:val="000000"/>
          <w:kern w:val="0"/>
          <w:sz w:val="24"/>
        </w:rPr>
      </w:pPr>
      <w:r>
        <w:rPr>
          <w:rFonts w:hint="eastAsia" w:ascii="宋体" w:hAnsi="宋体" w:cs="宋体"/>
          <w:color w:val="000000"/>
          <w:kern w:val="0"/>
          <w:sz w:val="24"/>
        </w:rPr>
        <w:t>七、乙方安全责任的负责人必须全面负责监督其施工人员，按照甲方安全制度有关要求安全施工，直至该工程和项目结束为止。</w:t>
      </w:r>
    </w:p>
    <w:p w14:paraId="58F66B6A">
      <w:pPr>
        <w:widowControl/>
        <w:spacing w:line="360" w:lineRule="auto"/>
        <w:ind w:firstLine="460" w:firstLineChars="192"/>
        <w:rPr>
          <w:rFonts w:ascii="宋体" w:hAnsi="宋体" w:cs="宋体"/>
          <w:color w:val="000000"/>
          <w:kern w:val="0"/>
          <w:sz w:val="24"/>
        </w:rPr>
      </w:pPr>
      <w:r>
        <w:rPr>
          <w:rFonts w:hint="eastAsia" w:ascii="宋体" w:hAnsi="宋体" w:cs="宋体"/>
          <w:color w:val="000000"/>
          <w:kern w:val="0"/>
          <w:sz w:val="24"/>
        </w:rPr>
        <w:t>八、乙方在施工过程中，要接受甲方及监理单位的监督检查，甲方及监理单位发现乙方存在安全隐患时，甲方及监理单位有权责令乙方限期整改；发现乙方违章作业时甲方有权停止乙方施工。</w:t>
      </w:r>
    </w:p>
    <w:p w14:paraId="2C57F667">
      <w:pPr>
        <w:widowControl/>
        <w:spacing w:line="360" w:lineRule="auto"/>
        <w:ind w:firstLine="460" w:firstLineChars="192"/>
        <w:rPr>
          <w:rFonts w:ascii="宋体" w:hAnsi="宋体" w:cs="宋体"/>
          <w:color w:val="000000"/>
          <w:kern w:val="0"/>
          <w:sz w:val="24"/>
        </w:rPr>
      </w:pPr>
      <w:r>
        <w:rPr>
          <w:rFonts w:hint="eastAsia" w:ascii="宋体" w:hAnsi="宋体" w:cs="宋体"/>
          <w:color w:val="000000"/>
          <w:kern w:val="0"/>
          <w:sz w:val="24"/>
        </w:rPr>
        <w:t>九、乙方施工前应事先提交其营业执照、施工资质和安全施工资格证书，</w:t>
      </w:r>
      <w:r>
        <w:rPr>
          <w:rFonts w:hint="eastAsia" w:ascii="宋体" w:hAnsi="宋体"/>
          <w:color w:val="000000"/>
          <w:sz w:val="24"/>
        </w:rPr>
        <w:t>以及安全生产管理人员、特殊工种施工人员专业资格证书，</w:t>
      </w:r>
      <w:r>
        <w:rPr>
          <w:rFonts w:hint="eastAsia" w:ascii="宋体" w:hAnsi="宋体" w:cs="宋体"/>
          <w:color w:val="000000"/>
          <w:kern w:val="0"/>
          <w:sz w:val="24"/>
        </w:rPr>
        <w:t>经甲方审查及备案（复印件），配合甲方了解在此前的施工业绩及施工安全情况。</w:t>
      </w:r>
    </w:p>
    <w:p w14:paraId="083266F2">
      <w:pPr>
        <w:widowControl/>
        <w:spacing w:line="360" w:lineRule="auto"/>
        <w:ind w:firstLine="460" w:firstLineChars="192"/>
        <w:rPr>
          <w:rFonts w:ascii="宋体" w:hAnsi="宋体" w:cs="宋体"/>
          <w:color w:val="000000"/>
          <w:kern w:val="0"/>
          <w:sz w:val="24"/>
        </w:rPr>
      </w:pPr>
      <w:r>
        <w:rPr>
          <w:rFonts w:hint="eastAsia" w:ascii="宋体" w:hAnsi="宋体" w:cs="宋体"/>
          <w:color w:val="000000"/>
          <w:kern w:val="0"/>
          <w:sz w:val="24"/>
        </w:rPr>
        <w:t>十、在施工期间，由于乙方人员、工具设备、或措施等不当造成事故（人身安全、设备、火灾事故、案件等人身和财产损失），一切责任或损失一律由乙方承担。</w:t>
      </w:r>
    </w:p>
    <w:p w14:paraId="6A9D7A2D">
      <w:pPr>
        <w:widowControl/>
        <w:spacing w:line="360" w:lineRule="auto"/>
        <w:ind w:firstLine="460" w:firstLineChars="192"/>
        <w:rPr>
          <w:rFonts w:ascii="宋体" w:hAnsi="宋体" w:cs="宋体"/>
          <w:color w:val="000000"/>
          <w:kern w:val="0"/>
          <w:sz w:val="24"/>
        </w:rPr>
      </w:pPr>
      <w:r>
        <w:rPr>
          <w:rFonts w:hint="eastAsia" w:ascii="宋体" w:hAnsi="宋体" w:cs="宋体"/>
          <w:color w:val="000000"/>
          <w:kern w:val="0"/>
          <w:sz w:val="24"/>
        </w:rPr>
        <w:t>乙方并及时将情况通报给甲方和按有关规定向其上级主管部门和当地政府有关部门报告，甲方工程和项目施工负责部门应及时报公司安全主管部门。</w:t>
      </w:r>
    </w:p>
    <w:p w14:paraId="6F340BB6">
      <w:pPr>
        <w:widowControl/>
        <w:spacing w:line="360" w:lineRule="auto"/>
        <w:ind w:firstLine="460" w:firstLineChars="192"/>
        <w:rPr>
          <w:rFonts w:ascii="宋体" w:hAnsi="宋体" w:cs="宋体"/>
          <w:color w:val="000000"/>
          <w:kern w:val="0"/>
          <w:sz w:val="24"/>
        </w:rPr>
      </w:pPr>
      <w:r>
        <w:rPr>
          <w:rFonts w:hint="eastAsia" w:ascii="宋体" w:hAnsi="宋体" w:cs="宋体"/>
          <w:color w:val="000000"/>
          <w:kern w:val="0"/>
          <w:sz w:val="24"/>
        </w:rPr>
        <w:t>十一、本“施工安全责任书”作为合同</w:t>
      </w:r>
      <w:r>
        <w:rPr>
          <w:rFonts w:ascii="宋体" w:hAnsi="宋体" w:cs="宋体"/>
          <w:color w:val="000000"/>
          <w:kern w:val="0"/>
          <w:sz w:val="24"/>
        </w:rPr>
        <w:t>附件</w:t>
      </w:r>
      <w:r>
        <w:rPr>
          <w:rFonts w:hint="eastAsia" w:ascii="宋体" w:hAnsi="宋体" w:cs="宋体"/>
          <w:color w:val="000000"/>
          <w:kern w:val="0"/>
          <w:sz w:val="24"/>
        </w:rPr>
        <w:t>，生效起止时间同合同。本协议需经双方法人代表（或法人代表委托人）签名并盖公章，与所签合同具有同等法律效力。合同正本一式</w:t>
      </w:r>
      <w:r>
        <w:rPr>
          <w:rFonts w:hint="eastAsia" w:ascii="宋体" w:hAnsi="宋体" w:cs="宋体"/>
          <w:color w:val="000000"/>
          <w:kern w:val="0"/>
          <w:sz w:val="24"/>
          <w:lang w:val="en-US" w:eastAsia="zh-Hans"/>
        </w:rPr>
        <w:t>贰</w:t>
      </w:r>
      <w:r>
        <w:rPr>
          <w:rFonts w:hint="eastAsia" w:ascii="宋体" w:hAnsi="宋体" w:cs="宋体"/>
          <w:color w:val="000000"/>
          <w:kern w:val="0"/>
          <w:sz w:val="24"/>
        </w:rPr>
        <w:t>份，甲方</w:t>
      </w:r>
      <w:r>
        <w:rPr>
          <w:rFonts w:hint="eastAsia" w:ascii="宋体" w:hAnsi="宋体" w:cs="宋体"/>
          <w:color w:val="000000"/>
          <w:kern w:val="0"/>
          <w:sz w:val="24"/>
          <w:lang w:val="en-US" w:eastAsia="zh-Hans"/>
        </w:rPr>
        <w:t>壹</w:t>
      </w:r>
      <w:r>
        <w:rPr>
          <w:rFonts w:hint="eastAsia" w:ascii="宋体" w:hAnsi="宋体" w:cs="宋体"/>
          <w:color w:val="000000"/>
          <w:kern w:val="0"/>
          <w:sz w:val="24"/>
        </w:rPr>
        <w:t>份，乙方</w:t>
      </w:r>
      <w:r>
        <w:rPr>
          <w:rFonts w:hint="eastAsia" w:ascii="宋体" w:hAnsi="宋体" w:cs="宋体"/>
          <w:color w:val="000000"/>
          <w:kern w:val="0"/>
          <w:sz w:val="24"/>
          <w:lang w:val="en-US" w:eastAsia="zh-Hans"/>
        </w:rPr>
        <w:t>壹</w:t>
      </w:r>
      <w:r>
        <w:rPr>
          <w:rFonts w:hint="eastAsia" w:ascii="宋体" w:hAnsi="宋体" w:cs="宋体"/>
          <w:color w:val="000000"/>
          <w:kern w:val="0"/>
          <w:sz w:val="24"/>
        </w:rPr>
        <w:t>份，均具有同等法律效果。</w:t>
      </w:r>
    </w:p>
    <w:p w14:paraId="4960082D">
      <w:pPr>
        <w:widowControl/>
        <w:spacing w:line="360" w:lineRule="auto"/>
        <w:ind w:firstLine="420" w:firstLineChars="200"/>
        <w:rPr>
          <w:rFonts w:ascii="宋体" w:hAnsi="宋体" w:cs="宋体"/>
          <w:color w:val="000000"/>
          <w:kern w:val="0"/>
          <w:szCs w:val="28"/>
        </w:rPr>
      </w:pPr>
    </w:p>
    <w:p w14:paraId="573352E7">
      <w:pPr>
        <w:widowControl/>
        <w:spacing w:line="360" w:lineRule="auto"/>
        <w:ind w:firstLine="420" w:firstLineChars="200"/>
        <w:rPr>
          <w:rFonts w:ascii="宋体" w:hAnsi="宋体" w:cs="宋体"/>
          <w:color w:val="000000"/>
          <w:kern w:val="0"/>
          <w:szCs w:val="28"/>
        </w:rPr>
      </w:pPr>
    </w:p>
    <w:tbl>
      <w:tblPr>
        <w:tblStyle w:val="15"/>
        <w:tblW w:w="5000" w:type="pct"/>
        <w:tblInd w:w="0" w:type="dxa"/>
        <w:tblLayout w:type="autofit"/>
        <w:tblCellMar>
          <w:top w:w="0" w:type="dxa"/>
          <w:left w:w="108" w:type="dxa"/>
          <w:bottom w:w="0" w:type="dxa"/>
          <w:right w:w="108" w:type="dxa"/>
        </w:tblCellMar>
      </w:tblPr>
      <w:tblGrid>
        <w:gridCol w:w="4264"/>
        <w:gridCol w:w="4264"/>
      </w:tblGrid>
      <w:tr w14:paraId="1487B7A5">
        <w:tblPrEx>
          <w:tblCellMar>
            <w:top w:w="0" w:type="dxa"/>
            <w:left w:w="108" w:type="dxa"/>
            <w:bottom w:w="0" w:type="dxa"/>
            <w:right w:w="108" w:type="dxa"/>
          </w:tblCellMar>
        </w:tblPrEx>
        <w:trPr>
          <w:trHeight w:val="3312" w:hRule="atLeast"/>
        </w:trPr>
        <w:tc>
          <w:tcPr>
            <w:tcW w:w="2500" w:type="pct"/>
            <w:noWrap w:val="0"/>
            <w:vAlign w:val="top"/>
          </w:tcPr>
          <w:p w14:paraId="5B91ACC9">
            <w:pPr>
              <w:spacing w:before="120" w:after="120" w:line="360" w:lineRule="auto"/>
              <w:rPr>
                <w:rFonts w:ascii="宋体" w:hAnsi="宋体"/>
                <w:color w:val="000000"/>
                <w:sz w:val="24"/>
              </w:rPr>
            </w:pPr>
            <w:r>
              <w:rPr>
                <w:rFonts w:hint="eastAsia" w:ascii="宋体" w:hAnsi="宋体"/>
                <w:color w:val="000000"/>
                <w:sz w:val="24"/>
              </w:rPr>
              <w:t>甲方名称：</w:t>
            </w:r>
            <w:r>
              <w:rPr>
                <w:rFonts w:hint="default" w:ascii="宋体" w:hAnsi="宋体"/>
                <w:b w:val="0"/>
                <w:bCs/>
                <w:sz w:val="24"/>
                <w:szCs w:val="24"/>
              </w:rPr>
              <w:t>中国移动通信集团江苏有限公司徐州分公司</w:t>
            </w:r>
            <w:r>
              <w:rPr>
                <w:rFonts w:hint="eastAsia" w:ascii="宋体" w:hAnsi="宋体"/>
                <w:color w:val="000000"/>
                <w:sz w:val="24"/>
              </w:rPr>
              <w:t>（盖章）</w:t>
            </w:r>
          </w:p>
          <w:p w14:paraId="301269D5">
            <w:pPr>
              <w:spacing w:before="120" w:after="120" w:line="360" w:lineRule="auto"/>
              <w:rPr>
                <w:rFonts w:ascii="宋体" w:hAnsi="宋体"/>
                <w:color w:val="000000"/>
                <w:sz w:val="24"/>
              </w:rPr>
            </w:pPr>
            <w:r>
              <w:rPr>
                <w:rFonts w:hint="eastAsia" w:ascii="宋体" w:hAnsi="宋体"/>
                <w:color w:val="000000"/>
                <w:sz w:val="24"/>
              </w:rPr>
              <w:t xml:space="preserve">    </w:t>
            </w:r>
          </w:p>
          <w:p w14:paraId="555398FB">
            <w:pPr>
              <w:spacing w:before="120" w:after="120" w:line="360" w:lineRule="auto"/>
              <w:rPr>
                <w:rFonts w:hint="eastAsia" w:ascii="宋体" w:hAnsi="宋体"/>
                <w:color w:val="000000"/>
                <w:sz w:val="24"/>
              </w:rPr>
            </w:pPr>
            <w:r>
              <w:rPr>
                <w:rFonts w:hint="eastAsia" w:ascii="宋体" w:hAnsi="宋体"/>
                <w:color w:val="000000"/>
                <w:sz w:val="24"/>
              </w:rPr>
              <w:t>授权代表（签字）：</w:t>
            </w:r>
          </w:p>
          <w:p w14:paraId="6951861E">
            <w:pPr>
              <w:pStyle w:val="8"/>
              <w:rPr>
                <w:rFonts w:hint="eastAsia"/>
              </w:rPr>
            </w:pPr>
          </w:p>
          <w:p w14:paraId="29910FB1">
            <w:pPr>
              <w:spacing w:before="120" w:after="120" w:line="360" w:lineRule="auto"/>
              <w:rPr>
                <w:rFonts w:hint="eastAsia" w:ascii="宋体" w:hAnsi="宋体"/>
                <w:color w:val="000000"/>
                <w:sz w:val="24"/>
              </w:rPr>
            </w:pPr>
            <w:r>
              <w:rPr>
                <w:rFonts w:hint="eastAsia" w:ascii="宋体" w:hAnsi="宋体"/>
                <w:color w:val="000000"/>
                <w:sz w:val="24"/>
              </w:rPr>
              <w:t>签约日期：</w:t>
            </w:r>
          </w:p>
          <w:p w14:paraId="2CDB09A3">
            <w:pPr>
              <w:spacing w:before="120" w:after="120" w:line="360" w:lineRule="auto"/>
              <w:rPr>
                <w:rFonts w:ascii="宋体" w:hAnsi="宋体"/>
                <w:color w:val="000000"/>
                <w:sz w:val="24"/>
              </w:rPr>
            </w:pPr>
          </w:p>
          <w:p w14:paraId="5F65F730">
            <w:pPr>
              <w:spacing w:before="120" w:after="120" w:line="360" w:lineRule="auto"/>
              <w:rPr>
                <w:rFonts w:ascii="宋体" w:hAnsi="宋体"/>
                <w:color w:val="000000"/>
                <w:sz w:val="24"/>
              </w:rPr>
            </w:pPr>
          </w:p>
        </w:tc>
        <w:tc>
          <w:tcPr>
            <w:tcW w:w="2500" w:type="pct"/>
            <w:noWrap w:val="0"/>
            <w:vAlign w:val="top"/>
          </w:tcPr>
          <w:p w14:paraId="76E771D3">
            <w:pPr>
              <w:spacing w:before="120" w:after="120" w:line="360" w:lineRule="auto"/>
              <w:rPr>
                <w:rFonts w:ascii="宋体" w:hAnsi="宋体"/>
                <w:color w:val="000000"/>
                <w:sz w:val="24"/>
              </w:rPr>
            </w:pPr>
            <w:r>
              <w:rPr>
                <w:rFonts w:hint="eastAsia" w:ascii="宋体" w:hAnsi="宋体"/>
                <w:color w:val="000000"/>
                <w:sz w:val="24"/>
              </w:rPr>
              <w:t>乙方名称：   （盖章）</w:t>
            </w:r>
          </w:p>
          <w:p w14:paraId="400D464D">
            <w:pPr>
              <w:spacing w:before="120" w:after="120" w:line="360" w:lineRule="auto"/>
              <w:rPr>
                <w:rFonts w:ascii="宋体" w:hAnsi="宋体"/>
                <w:color w:val="000000"/>
                <w:sz w:val="24"/>
              </w:rPr>
            </w:pPr>
            <w:r>
              <w:rPr>
                <w:rFonts w:hint="eastAsia" w:ascii="宋体" w:hAnsi="宋体"/>
                <w:color w:val="000000"/>
                <w:sz w:val="24"/>
              </w:rPr>
              <w:t xml:space="preserve">    </w:t>
            </w:r>
          </w:p>
          <w:p w14:paraId="54C3D216">
            <w:pPr>
              <w:spacing w:before="120" w:after="120" w:line="360" w:lineRule="auto"/>
              <w:rPr>
                <w:rFonts w:ascii="宋体" w:hAnsi="宋体"/>
                <w:color w:val="000000"/>
                <w:sz w:val="24"/>
              </w:rPr>
            </w:pPr>
            <w:r>
              <w:rPr>
                <w:rFonts w:hint="eastAsia" w:ascii="宋体" w:hAnsi="宋体"/>
                <w:color w:val="000000"/>
                <w:sz w:val="24"/>
              </w:rPr>
              <w:t>授权代表（签字）：</w:t>
            </w:r>
          </w:p>
          <w:p w14:paraId="06F65C1A">
            <w:pPr>
              <w:spacing w:before="120" w:after="120" w:line="360" w:lineRule="auto"/>
              <w:rPr>
                <w:rFonts w:ascii="宋体" w:hAnsi="宋体"/>
                <w:color w:val="000000"/>
                <w:sz w:val="24"/>
              </w:rPr>
            </w:pPr>
          </w:p>
          <w:p w14:paraId="535E88D9">
            <w:pPr>
              <w:spacing w:before="120" w:after="120" w:line="360" w:lineRule="auto"/>
              <w:rPr>
                <w:rFonts w:ascii="宋体" w:hAnsi="宋体"/>
                <w:color w:val="000000"/>
                <w:sz w:val="24"/>
              </w:rPr>
            </w:pPr>
            <w:r>
              <w:rPr>
                <w:rFonts w:hint="eastAsia" w:ascii="宋体" w:hAnsi="宋体"/>
                <w:color w:val="000000"/>
                <w:sz w:val="24"/>
              </w:rPr>
              <w:t>签约日期：</w:t>
            </w:r>
          </w:p>
        </w:tc>
      </w:tr>
    </w:tbl>
    <w:p w14:paraId="252DB355">
      <w:pPr>
        <w:rPr>
          <w:rFonts w:ascii="宋体" w:hAnsi="宋体"/>
          <w:color w:val="000000"/>
        </w:rPr>
      </w:pPr>
    </w:p>
    <w:p w14:paraId="22D2B401">
      <w:pPr>
        <w:rPr>
          <w:color w:val="000000"/>
        </w:rPr>
        <w:sectPr>
          <w:pgSz w:w="11906" w:h="16838"/>
          <w:pgMar w:top="1440" w:right="1797" w:bottom="1440" w:left="1797" w:header="851" w:footer="992" w:gutter="0"/>
          <w:cols w:space="720" w:num="1"/>
          <w:docGrid w:linePitch="312" w:charSpace="0"/>
        </w:sectPr>
      </w:pPr>
      <w:r>
        <w:rPr>
          <w:color w:val="000000"/>
        </w:rPr>
        <w:br w:type="page"/>
      </w:r>
    </w:p>
    <w:p w14:paraId="2E166F1F">
      <w:pPr>
        <w:rPr>
          <w:rFonts w:hint="eastAsia" w:ascii="宋体" w:hAnsi="宋体" w:cs="Times New Roman"/>
          <w:b/>
          <w:color w:val="000000"/>
          <w:sz w:val="36"/>
          <w:szCs w:val="36"/>
        </w:rPr>
      </w:pPr>
      <w:r>
        <w:rPr>
          <w:rFonts w:hint="eastAsia" w:ascii="宋体" w:hAnsi="宋体" w:cs="Times New Roman"/>
          <w:b/>
          <w:color w:val="000000"/>
          <w:sz w:val="36"/>
          <w:szCs w:val="36"/>
        </w:rPr>
        <w:t>附件3</w:t>
      </w:r>
      <w:r>
        <w:rPr>
          <w:rFonts w:hint="default" w:ascii="宋体" w:hAnsi="宋体" w:cs="Times New Roman"/>
          <w:b/>
          <w:color w:val="000000"/>
          <w:sz w:val="36"/>
          <w:szCs w:val="36"/>
        </w:rPr>
        <w:t xml:space="preserve">            </w:t>
      </w:r>
      <w:r>
        <w:rPr>
          <w:rFonts w:hint="eastAsia" w:ascii="宋体" w:hAnsi="宋体" w:cs="Times New Roman"/>
          <w:b/>
          <w:color w:val="000000"/>
          <w:sz w:val="36"/>
          <w:szCs w:val="36"/>
        </w:rPr>
        <w:t>数据安全保密协议</w:t>
      </w:r>
    </w:p>
    <w:p w14:paraId="5B3607CB">
      <w:pPr>
        <w:spacing w:before="240"/>
        <w:jc w:val="both"/>
        <w:rPr>
          <w:rFonts w:hint="eastAsia"/>
          <w:color w:val="000000"/>
        </w:rPr>
      </w:pPr>
    </w:p>
    <w:p w14:paraId="5271BD1C">
      <w:pPr>
        <w:jc w:val="both"/>
        <w:rPr>
          <w:rFonts w:hint="eastAsia" w:ascii="宋体" w:hAnsi="宋体" w:eastAsia="宋体" w:cs="宋体"/>
          <w:b w:val="0"/>
          <w:bCs/>
          <w:sz w:val="24"/>
          <w:szCs w:val="24"/>
        </w:rPr>
      </w:pPr>
      <w:r>
        <w:rPr>
          <w:rFonts w:hint="eastAsia" w:ascii="宋体" w:hAnsi="宋体" w:eastAsia="宋体" w:cs="宋体"/>
          <w:b w:val="0"/>
          <w:bCs/>
          <w:sz w:val="24"/>
          <w:szCs w:val="24"/>
        </w:rPr>
        <w:t>甲方：</w:t>
      </w:r>
      <w:r>
        <w:rPr>
          <w:rFonts w:hint="eastAsia" w:ascii="宋体" w:hAnsi="宋体" w:eastAsia="宋体" w:cs="宋体"/>
          <w:b w:val="0"/>
          <w:bCs/>
          <w:sz w:val="24"/>
          <w:szCs w:val="24"/>
          <w:lang w:eastAsia="zh-CN"/>
        </w:rPr>
        <w:t>中国移动通信集团江苏有限公司徐州分公司</w:t>
      </w:r>
    </w:p>
    <w:p w14:paraId="14F9AA4D">
      <w:pPr>
        <w:jc w:val="both"/>
        <w:rPr>
          <w:rFonts w:hint="eastAsia" w:ascii="宋体" w:hAnsi="宋体" w:eastAsia="宋体" w:cs="宋体"/>
          <w:b w:val="0"/>
          <w:bCs/>
          <w:sz w:val="24"/>
          <w:szCs w:val="24"/>
        </w:rPr>
      </w:pPr>
    </w:p>
    <w:p w14:paraId="06328399">
      <w:pPr>
        <w:jc w:val="both"/>
        <w:rPr>
          <w:rFonts w:hint="eastAsia" w:ascii="宋体" w:hAnsi="宋体" w:eastAsia="宋体" w:cs="宋体"/>
          <w:b w:val="0"/>
          <w:bCs/>
          <w:sz w:val="24"/>
          <w:szCs w:val="24"/>
        </w:rPr>
      </w:pPr>
      <w:r>
        <w:rPr>
          <w:rFonts w:hint="eastAsia" w:ascii="宋体" w:hAnsi="宋体" w:eastAsia="宋体" w:cs="宋体"/>
          <w:b w:val="0"/>
          <w:bCs/>
          <w:sz w:val="24"/>
          <w:szCs w:val="24"/>
        </w:rPr>
        <w:t>乙方：</w:t>
      </w:r>
    </w:p>
    <w:p w14:paraId="45E6C7EC">
      <w:pPr>
        <w:jc w:val="both"/>
        <w:rPr>
          <w:rFonts w:hint="eastAsia" w:ascii="宋体" w:hAnsi="宋体" w:eastAsia="宋体" w:cs="宋体"/>
          <w:b w:val="0"/>
          <w:bCs/>
          <w:sz w:val="24"/>
          <w:szCs w:val="24"/>
        </w:rPr>
      </w:pPr>
    </w:p>
    <w:p w14:paraId="44346699">
      <w:pPr>
        <w:spacing w:before="120" w:after="120" w:line="360" w:lineRule="auto"/>
        <w:ind w:firstLine="420"/>
        <w:rPr>
          <w:rFonts w:hint="eastAsia" w:ascii="宋体" w:hAnsi="宋体" w:eastAsia="宋体" w:cs="宋体"/>
          <w:b w:val="0"/>
          <w:bCs/>
          <w:sz w:val="24"/>
          <w:szCs w:val="24"/>
        </w:rPr>
      </w:pPr>
      <w:r>
        <w:rPr>
          <w:rFonts w:hint="eastAsia" w:ascii="宋体" w:hAnsi="宋体" w:eastAsia="宋体" w:cs="宋体"/>
          <w:b w:val="0"/>
          <w:bCs/>
          <w:sz w:val="24"/>
          <w:szCs w:val="24"/>
        </w:rPr>
        <w:t>鉴于：甲乙双方签订了</w:t>
      </w:r>
      <w:r>
        <w:rPr>
          <w:rFonts w:hint="eastAsia" w:ascii="宋体" w:hAnsi="宋体" w:eastAsia="宋体" w:cs="宋体"/>
          <w:b w:val="0"/>
          <w:bCs/>
          <w:sz w:val="24"/>
          <w:szCs w:val="24"/>
          <w:u w:val="single"/>
        </w:rPr>
        <w:t xml:space="preserve">                </w:t>
      </w:r>
      <w:r>
        <w:rPr>
          <w:rFonts w:hint="eastAsia" w:ascii="宋体" w:hAnsi="宋体" w:eastAsia="宋体" w:cs="宋体"/>
          <w:b w:val="0"/>
          <w:bCs/>
          <w:sz w:val="24"/>
          <w:szCs w:val="24"/>
        </w:rPr>
        <w:t>合同（以下简称“合同”），在“合同”履行期间（以下简称“合作”期间），甲方向乙方提供的或者乙方在合作过程中所</w:t>
      </w:r>
      <w:r>
        <w:rPr>
          <w:rFonts w:hint="eastAsia" w:ascii="宋体" w:hAnsi="宋体" w:eastAsia="宋体" w:cs="宋体"/>
          <w:b w:val="0"/>
          <w:bCs/>
          <w:sz w:val="24"/>
          <w:szCs w:val="24"/>
          <w:lang w:val="en-US" w:eastAsia="zh-CN"/>
        </w:rPr>
        <w:t>接触</w:t>
      </w:r>
      <w:r>
        <w:rPr>
          <w:rFonts w:hint="eastAsia" w:ascii="宋体" w:hAnsi="宋体" w:eastAsia="宋体" w:cs="宋体"/>
          <w:b w:val="0"/>
          <w:bCs/>
          <w:sz w:val="24"/>
          <w:szCs w:val="24"/>
        </w:rPr>
        <w:t>到甲方</w:t>
      </w:r>
      <w:r>
        <w:rPr>
          <w:rFonts w:hint="eastAsia" w:ascii="宋体" w:hAnsi="宋体" w:eastAsia="宋体" w:cs="宋体"/>
          <w:b w:val="0"/>
          <w:bCs/>
          <w:sz w:val="24"/>
          <w:szCs w:val="24"/>
          <w:lang w:val="en-US" w:eastAsia="zh-CN"/>
        </w:rPr>
        <w:t>的</w:t>
      </w:r>
      <w:r>
        <w:rPr>
          <w:rFonts w:hint="eastAsia" w:ascii="宋体" w:hAnsi="宋体" w:eastAsia="宋体" w:cs="宋体"/>
          <w:b w:val="0"/>
          <w:bCs/>
          <w:sz w:val="24"/>
          <w:szCs w:val="24"/>
        </w:rPr>
        <w:t>数据</w:t>
      </w:r>
      <w:r>
        <w:rPr>
          <w:rFonts w:hint="eastAsia" w:ascii="宋体" w:hAnsi="宋体" w:eastAsia="宋体" w:cs="宋体"/>
          <w:b w:val="0"/>
          <w:bCs/>
          <w:sz w:val="24"/>
          <w:szCs w:val="24"/>
          <w:lang w:val="en-US" w:eastAsia="zh-CN"/>
        </w:rPr>
        <w:t>及数据处理活动</w:t>
      </w:r>
      <w:r>
        <w:rPr>
          <w:rFonts w:hint="eastAsia" w:ascii="宋体" w:hAnsi="宋体" w:eastAsia="宋体" w:cs="宋体"/>
          <w:b w:val="0"/>
          <w:bCs/>
          <w:sz w:val="24"/>
          <w:szCs w:val="24"/>
        </w:rPr>
        <w:t>。双方同意就上述相关数据安全保密达成以下一致：</w:t>
      </w:r>
    </w:p>
    <w:p w14:paraId="46A7B68E">
      <w:pPr>
        <w:spacing w:before="120" w:after="120" w:line="360" w:lineRule="auto"/>
        <w:rPr>
          <w:rFonts w:hint="eastAsia" w:ascii="宋体" w:hAnsi="宋体" w:eastAsia="宋体" w:cs="宋体"/>
          <w:b w:val="0"/>
          <w:bCs/>
          <w:sz w:val="24"/>
          <w:szCs w:val="24"/>
        </w:rPr>
      </w:pPr>
      <w:r>
        <w:rPr>
          <w:rFonts w:hint="eastAsia" w:ascii="宋体" w:hAnsi="宋体" w:eastAsia="宋体" w:cs="宋体"/>
          <w:b w:val="0"/>
          <w:bCs/>
          <w:sz w:val="24"/>
          <w:szCs w:val="24"/>
        </w:rPr>
        <w:t>一、定义</w:t>
      </w:r>
    </w:p>
    <w:p w14:paraId="2302939B">
      <w:pPr>
        <w:spacing w:line="360" w:lineRule="auto"/>
        <w:ind w:firstLine="323"/>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1.1</w:t>
      </w:r>
      <w:r>
        <w:rPr>
          <w:rFonts w:hint="eastAsia" w:ascii="宋体" w:hAnsi="宋体" w:eastAsia="宋体" w:cs="宋体"/>
          <w:b w:val="0"/>
          <w:bCs/>
          <w:sz w:val="24"/>
          <w:szCs w:val="24"/>
        </w:rPr>
        <w:t>本协议所称“数据”指甲方在合作期间以任何方式（包括但不限于书面、口头、可视方式）向乙方提供的，或在合作过程中乙方所接触到的、各种以电子或者其他方式记录的信息</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包括但不限于甲方的</w:t>
      </w:r>
      <w:r>
        <w:rPr>
          <w:rFonts w:hint="eastAsia" w:ascii="宋体" w:hAnsi="宋体" w:eastAsia="宋体" w:cs="宋体"/>
          <w:b w:val="0"/>
          <w:bCs/>
          <w:sz w:val="24"/>
          <w:szCs w:val="24"/>
        </w:rPr>
        <w:t>用户身份和鉴权信息、</w:t>
      </w:r>
      <w:bookmarkStart w:id="3" w:name="_Hlk52136067"/>
      <w:r>
        <w:rPr>
          <w:rFonts w:hint="eastAsia" w:ascii="宋体" w:hAnsi="宋体" w:eastAsia="宋体" w:cs="宋体"/>
          <w:b w:val="0"/>
          <w:bCs/>
          <w:sz w:val="24"/>
          <w:szCs w:val="24"/>
        </w:rPr>
        <w:t>用户数据及服务内容信息</w:t>
      </w:r>
      <w:bookmarkEnd w:id="3"/>
      <w:r>
        <w:rPr>
          <w:rFonts w:hint="eastAsia" w:ascii="宋体" w:hAnsi="宋体" w:eastAsia="宋体" w:cs="宋体"/>
          <w:b w:val="0"/>
          <w:bCs/>
          <w:sz w:val="24"/>
          <w:szCs w:val="24"/>
        </w:rPr>
        <w:t>、用户服务相关信息</w:t>
      </w:r>
      <w:r>
        <w:rPr>
          <w:rFonts w:hint="eastAsia" w:ascii="宋体" w:hAnsi="宋体" w:eastAsia="宋体" w:cs="宋体"/>
          <w:b w:val="0"/>
          <w:bCs/>
          <w:color w:val="auto"/>
          <w:sz w:val="24"/>
          <w:szCs w:val="24"/>
        </w:rPr>
        <w:t>、</w:t>
      </w:r>
      <w:r>
        <w:rPr>
          <w:rFonts w:hint="eastAsia" w:ascii="宋体" w:hAnsi="宋体" w:eastAsia="宋体" w:cs="宋体"/>
          <w:b w:val="0"/>
          <w:bCs/>
          <w:sz w:val="24"/>
          <w:szCs w:val="24"/>
        </w:rPr>
        <w:t>用户统计分析数据</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网络与系统的建设与运行维护类数据、业务运营类数据、企业管理数据</w:t>
      </w:r>
      <w:r>
        <w:rPr>
          <w:rFonts w:hint="eastAsia" w:ascii="宋体" w:hAnsi="宋体" w:eastAsia="宋体" w:cs="宋体"/>
          <w:b w:val="0"/>
          <w:bCs/>
          <w:sz w:val="24"/>
          <w:szCs w:val="24"/>
          <w:lang w:val="en-US" w:eastAsia="zh-CN"/>
        </w:rPr>
        <w:t>等一般数据、以及重要数据和核心数据</w:t>
      </w:r>
      <w:r>
        <w:rPr>
          <w:rFonts w:hint="eastAsia" w:ascii="宋体" w:hAnsi="宋体" w:eastAsia="宋体" w:cs="宋体"/>
          <w:b w:val="0"/>
          <w:bCs/>
          <w:sz w:val="24"/>
          <w:szCs w:val="24"/>
        </w:rPr>
        <w:t>。</w:t>
      </w:r>
    </w:p>
    <w:p w14:paraId="20FB63FD">
      <w:pPr>
        <w:spacing w:line="360" w:lineRule="auto"/>
        <w:ind w:firstLine="323"/>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1.2本</w:t>
      </w:r>
      <w:r>
        <w:rPr>
          <w:rFonts w:hint="eastAsia" w:ascii="宋体" w:hAnsi="宋体" w:eastAsia="宋体" w:cs="宋体"/>
          <w:b w:val="0"/>
          <w:bCs/>
          <w:sz w:val="24"/>
          <w:szCs w:val="24"/>
        </w:rPr>
        <w:t>协议所称“数据</w:t>
      </w:r>
      <w:r>
        <w:rPr>
          <w:rFonts w:hint="eastAsia" w:ascii="宋体" w:hAnsi="宋体" w:eastAsia="宋体" w:cs="宋体"/>
          <w:b w:val="0"/>
          <w:bCs/>
          <w:sz w:val="24"/>
          <w:szCs w:val="24"/>
          <w:lang w:val="en-US" w:eastAsia="zh-CN"/>
        </w:rPr>
        <w:t>处理活动</w:t>
      </w:r>
      <w:r>
        <w:rPr>
          <w:rFonts w:hint="eastAsia" w:ascii="宋体" w:hAnsi="宋体" w:eastAsia="宋体" w:cs="宋体"/>
          <w:b w:val="0"/>
          <w:bCs/>
          <w:sz w:val="24"/>
          <w:szCs w:val="24"/>
        </w:rPr>
        <w:t>”</w:t>
      </w:r>
      <w:r>
        <w:rPr>
          <w:rFonts w:hint="eastAsia" w:ascii="宋体" w:hAnsi="宋体" w:eastAsia="宋体" w:cs="宋体"/>
          <w:b w:val="0"/>
          <w:bCs/>
          <w:sz w:val="24"/>
          <w:szCs w:val="24"/>
          <w:lang w:val="en-US" w:eastAsia="zh-CN"/>
        </w:rPr>
        <w:t>指</w:t>
      </w:r>
      <w:r>
        <w:rPr>
          <w:rFonts w:hint="eastAsia" w:ascii="宋体" w:hAnsi="宋体" w:eastAsia="宋体" w:cs="宋体"/>
          <w:b w:val="0"/>
          <w:bCs/>
          <w:sz w:val="24"/>
          <w:szCs w:val="24"/>
        </w:rPr>
        <w:t>数据</w:t>
      </w:r>
      <w:r>
        <w:rPr>
          <w:rFonts w:hint="eastAsia" w:ascii="宋体" w:hAnsi="宋体" w:eastAsia="宋体" w:cs="宋体"/>
          <w:b w:val="0"/>
          <w:bCs/>
          <w:sz w:val="24"/>
          <w:szCs w:val="24"/>
          <w:lang w:val="en-US" w:eastAsia="zh-CN"/>
        </w:rPr>
        <w:t>的</w:t>
      </w:r>
      <w:r>
        <w:rPr>
          <w:rFonts w:hint="eastAsia" w:ascii="宋体" w:hAnsi="宋体" w:eastAsia="宋体" w:cs="宋体"/>
          <w:b w:val="0"/>
          <w:bCs/>
          <w:sz w:val="24"/>
          <w:szCs w:val="24"/>
        </w:rPr>
        <w:t>收集、存储、使用、加工、传输、提供、公开、销毁</w:t>
      </w:r>
      <w:r>
        <w:rPr>
          <w:rFonts w:hint="eastAsia" w:ascii="宋体" w:hAnsi="宋体" w:eastAsia="宋体" w:cs="宋体"/>
          <w:b w:val="0"/>
          <w:bCs/>
          <w:sz w:val="24"/>
          <w:szCs w:val="24"/>
          <w:lang w:val="en-US" w:eastAsia="zh-CN"/>
        </w:rPr>
        <w:t>等环节。</w:t>
      </w:r>
    </w:p>
    <w:p w14:paraId="39DE1436">
      <w:pPr>
        <w:spacing w:line="400" w:lineRule="atLeast"/>
        <w:ind w:firstLine="0"/>
        <w:rPr>
          <w:rFonts w:hint="eastAsia" w:ascii="宋体" w:hAnsi="宋体" w:eastAsia="宋体" w:cs="宋体"/>
          <w:b w:val="0"/>
          <w:bCs/>
          <w:sz w:val="24"/>
          <w:szCs w:val="24"/>
        </w:rPr>
      </w:pPr>
    </w:p>
    <w:p w14:paraId="4367B26B">
      <w:pPr>
        <w:numPr>
          <w:ilvl w:val="0"/>
          <w:numId w:val="3"/>
        </w:numPr>
        <w:spacing w:line="360" w:lineRule="auto"/>
        <w:ind w:firstLine="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合作涉及数据情况</w:t>
      </w:r>
    </w:p>
    <w:p w14:paraId="50BAA89B">
      <w:pPr>
        <w:spacing w:line="360" w:lineRule="auto"/>
        <w:ind w:firstLine="323"/>
        <w:rPr>
          <w:rFonts w:hint="eastAsia" w:ascii="宋体" w:hAnsi="宋体" w:eastAsia="宋体" w:cs="宋体"/>
          <w:b w:val="0"/>
          <w:bCs/>
          <w:sz w:val="24"/>
          <w:szCs w:val="24"/>
          <w:lang w:val="en-US" w:eastAsia="zh-CN"/>
        </w:rPr>
      </w:pPr>
      <w:r>
        <w:rPr>
          <w:rFonts w:hint="eastAsia" w:ascii="宋体" w:hAnsi="宋体" w:eastAsia="宋体" w:cs="宋体"/>
          <w:b w:val="0"/>
          <w:bCs/>
          <w:sz w:val="24"/>
          <w:szCs w:val="24"/>
          <w:u w:val="single"/>
          <w:lang w:val="en-US" w:eastAsia="zh-CN"/>
        </w:rPr>
        <w:t>见附件1。</w:t>
      </w:r>
      <w:r>
        <w:rPr>
          <w:rFonts w:hint="eastAsia" w:ascii="宋体" w:hAnsi="宋体" w:eastAsia="宋体" w:cs="宋体"/>
          <w:b w:val="0"/>
          <w:bCs/>
          <w:sz w:val="24"/>
          <w:szCs w:val="24"/>
          <w:u w:val="single"/>
        </w:rPr>
        <w:t xml:space="preserve">               </w:t>
      </w:r>
    </w:p>
    <w:p w14:paraId="62978641">
      <w:pPr>
        <w:spacing w:line="400" w:lineRule="atLeast"/>
        <w:ind w:firstLine="0"/>
        <w:rPr>
          <w:rFonts w:hint="eastAsia" w:ascii="宋体" w:hAnsi="宋体" w:eastAsia="宋体" w:cs="宋体"/>
          <w:b w:val="0"/>
          <w:bCs/>
          <w:sz w:val="24"/>
          <w:szCs w:val="24"/>
        </w:rPr>
      </w:pPr>
    </w:p>
    <w:p w14:paraId="77802F49">
      <w:pPr>
        <w:spacing w:line="360" w:lineRule="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三</w:t>
      </w:r>
      <w:r>
        <w:rPr>
          <w:rFonts w:hint="eastAsia" w:ascii="宋体" w:hAnsi="宋体" w:eastAsia="宋体" w:cs="宋体"/>
          <w:b w:val="0"/>
          <w:bCs/>
          <w:sz w:val="24"/>
          <w:szCs w:val="24"/>
        </w:rPr>
        <w:t>、</w:t>
      </w:r>
      <w:r>
        <w:rPr>
          <w:rFonts w:hint="eastAsia" w:ascii="宋体" w:hAnsi="宋体" w:eastAsia="宋体" w:cs="宋体"/>
          <w:b w:val="0"/>
          <w:bCs/>
          <w:sz w:val="24"/>
          <w:szCs w:val="24"/>
          <w:lang w:val="en-US" w:eastAsia="zh-CN"/>
        </w:rPr>
        <w:t>双方</w:t>
      </w:r>
      <w:r>
        <w:rPr>
          <w:rFonts w:hint="eastAsia" w:ascii="宋体" w:hAnsi="宋体" w:eastAsia="宋体" w:cs="宋体"/>
          <w:b w:val="0"/>
          <w:bCs/>
          <w:sz w:val="24"/>
          <w:szCs w:val="24"/>
        </w:rPr>
        <w:t>责任</w:t>
      </w:r>
      <w:r>
        <w:rPr>
          <w:rFonts w:hint="eastAsia" w:ascii="宋体" w:hAnsi="宋体" w:eastAsia="宋体" w:cs="宋体"/>
          <w:b w:val="0"/>
          <w:bCs/>
          <w:sz w:val="24"/>
          <w:szCs w:val="24"/>
          <w:lang w:val="en-US" w:eastAsia="zh-CN"/>
        </w:rPr>
        <w:t>及义务</w:t>
      </w:r>
    </w:p>
    <w:p w14:paraId="39F2A5B2">
      <w:pPr>
        <w:numPr>
          <w:ilvl w:val="0"/>
          <w:numId w:val="0"/>
        </w:numPr>
        <w:tabs>
          <w:tab w:val="left" w:pos="-1"/>
        </w:tabs>
        <w:spacing w:before="120" w:after="120" w:line="360" w:lineRule="auto"/>
        <w:ind w:left="420" w:leftChars="200" w:firstLine="480" w:firstLineChars="200"/>
        <w:jc w:val="both"/>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3.1</w:t>
      </w:r>
      <w:r>
        <w:rPr>
          <w:rFonts w:hint="eastAsia" w:ascii="宋体" w:hAnsi="宋体" w:eastAsia="宋体" w:cs="宋体"/>
          <w:b w:val="0"/>
          <w:bCs/>
          <w:sz w:val="24"/>
          <w:szCs w:val="24"/>
        </w:rPr>
        <w:t>甲方提供数据的行为不构成向乙方授予任何与数据相关的专利权、专利申请权、商标权、著作权、商业秘密或其它的知识产权、所有权或其他任何权利。</w:t>
      </w:r>
    </w:p>
    <w:p w14:paraId="24CA8315">
      <w:pPr>
        <w:numPr>
          <w:ilvl w:val="0"/>
          <w:numId w:val="0"/>
        </w:numPr>
        <w:tabs>
          <w:tab w:val="left" w:pos="-1"/>
        </w:tabs>
        <w:spacing w:before="120" w:after="120" w:line="360" w:lineRule="auto"/>
        <w:ind w:left="420" w:leftChars="200" w:firstLine="480" w:firstLineChars="200"/>
        <w:jc w:val="both"/>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3.2 甲方遵照</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网络安全法</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数据安全法</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个人信息保护法</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工业和信息化领域数据安全管理办法（试行）</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等</w:t>
      </w:r>
      <w:r>
        <w:rPr>
          <w:rFonts w:hint="eastAsia" w:ascii="宋体" w:hAnsi="宋体" w:eastAsia="宋体" w:cs="宋体"/>
          <w:b w:val="0"/>
          <w:bCs/>
          <w:sz w:val="24"/>
          <w:szCs w:val="24"/>
        </w:rPr>
        <w:t>国家相关</w:t>
      </w:r>
      <w:r>
        <w:rPr>
          <w:rFonts w:hint="eastAsia" w:ascii="宋体" w:hAnsi="宋体" w:eastAsia="宋体" w:cs="宋体"/>
          <w:b w:val="0"/>
          <w:bCs/>
          <w:sz w:val="24"/>
          <w:szCs w:val="24"/>
          <w:lang w:val="en-US" w:eastAsia="zh-CN"/>
        </w:rPr>
        <w:t>法律</w:t>
      </w:r>
      <w:r>
        <w:rPr>
          <w:rFonts w:hint="eastAsia" w:ascii="宋体" w:hAnsi="宋体" w:eastAsia="宋体" w:cs="宋体"/>
          <w:b w:val="0"/>
          <w:bCs/>
          <w:sz w:val="24"/>
          <w:szCs w:val="24"/>
        </w:rPr>
        <w:t>法规要求</w:t>
      </w:r>
      <w:r>
        <w:rPr>
          <w:rFonts w:hint="eastAsia" w:ascii="宋体" w:hAnsi="宋体" w:eastAsia="宋体" w:cs="宋体"/>
          <w:b w:val="0"/>
          <w:bCs/>
          <w:sz w:val="24"/>
          <w:szCs w:val="24"/>
          <w:lang w:val="en-US" w:eastAsia="zh-CN"/>
        </w:rPr>
        <w:t>以及</w:t>
      </w:r>
      <w:r>
        <w:rPr>
          <w:rFonts w:hint="eastAsia" w:ascii="宋体" w:hAnsi="宋体" w:eastAsia="宋体" w:cs="宋体"/>
          <w:b w:val="0"/>
          <w:bCs/>
          <w:sz w:val="24"/>
          <w:szCs w:val="24"/>
        </w:rPr>
        <w:t>甲方上级单位及甲方公司内部关于数据安全方面的管理规定，包括但不限于《中国移动通信集团有限公司数据安全管理办法》</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《中国移动江苏公司</w:t>
      </w:r>
      <w:r>
        <w:rPr>
          <w:rFonts w:hint="eastAsia" w:ascii="宋体" w:hAnsi="宋体" w:eastAsia="宋体" w:cs="宋体"/>
          <w:b w:val="0"/>
          <w:bCs/>
          <w:sz w:val="24"/>
          <w:szCs w:val="24"/>
          <w:lang w:val="en-US" w:eastAsia="zh-CN"/>
        </w:rPr>
        <w:t>数据安全</w:t>
      </w:r>
      <w:r>
        <w:rPr>
          <w:rFonts w:hint="eastAsia" w:ascii="宋体" w:hAnsi="宋体" w:eastAsia="宋体" w:cs="宋体"/>
          <w:b w:val="0"/>
          <w:bCs/>
          <w:sz w:val="24"/>
          <w:szCs w:val="24"/>
        </w:rPr>
        <w:t>管理实施细则》</w:t>
      </w:r>
      <w:r>
        <w:rPr>
          <w:rFonts w:hint="eastAsia" w:ascii="宋体" w:hAnsi="宋体" w:eastAsia="宋体" w:cs="宋体"/>
          <w:b w:val="0"/>
          <w:bCs/>
          <w:sz w:val="24"/>
          <w:szCs w:val="24"/>
          <w:lang w:val="en-US" w:eastAsia="zh-CN"/>
        </w:rPr>
        <w:t>及系列指南的要求，对合作期间乙方涉及的</w:t>
      </w:r>
      <w:r>
        <w:rPr>
          <w:rFonts w:hint="eastAsia" w:ascii="宋体" w:hAnsi="宋体" w:eastAsia="宋体" w:cs="宋体"/>
          <w:b w:val="0"/>
          <w:bCs/>
          <w:sz w:val="24"/>
          <w:szCs w:val="24"/>
        </w:rPr>
        <w:t>数据</w:t>
      </w:r>
      <w:r>
        <w:rPr>
          <w:rFonts w:hint="eastAsia" w:ascii="宋体" w:hAnsi="宋体" w:eastAsia="宋体" w:cs="宋体"/>
          <w:b w:val="0"/>
          <w:bCs/>
          <w:sz w:val="24"/>
          <w:szCs w:val="24"/>
          <w:lang w:val="en-US" w:eastAsia="zh-CN"/>
        </w:rPr>
        <w:t>处理活动</w:t>
      </w:r>
      <w:r>
        <w:rPr>
          <w:rFonts w:hint="eastAsia" w:ascii="宋体" w:hAnsi="宋体" w:eastAsia="宋体" w:cs="宋体"/>
          <w:b w:val="0"/>
          <w:bCs/>
          <w:sz w:val="24"/>
          <w:szCs w:val="24"/>
        </w:rPr>
        <w:t>安全进行监督</w:t>
      </w:r>
      <w:r>
        <w:rPr>
          <w:rFonts w:hint="eastAsia" w:ascii="宋体" w:hAnsi="宋体" w:eastAsia="宋体" w:cs="宋体"/>
          <w:b w:val="0"/>
          <w:bCs/>
          <w:sz w:val="24"/>
          <w:szCs w:val="24"/>
          <w:lang w:val="en-US" w:eastAsia="zh-CN"/>
        </w:rPr>
        <w:t>管理</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包括但不限于台账管理、安全评估、审计、检查等。</w:t>
      </w:r>
    </w:p>
    <w:p w14:paraId="059F8159">
      <w:pPr>
        <w:numPr>
          <w:ilvl w:val="0"/>
          <w:numId w:val="0"/>
        </w:numPr>
        <w:tabs>
          <w:tab w:val="left" w:pos="-1"/>
        </w:tabs>
        <w:spacing w:before="120" w:after="120" w:line="360" w:lineRule="auto"/>
        <w:ind w:left="420" w:leftChars="200"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3.3</w:t>
      </w:r>
      <w:r>
        <w:rPr>
          <w:rFonts w:hint="eastAsia" w:ascii="宋体" w:hAnsi="宋体" w:eastAsia="宋体" w:cs="宋体"/>
          <w:b w:val="0"/>
          <w:bCs/>
          <w:sz w:val="24"/>
          <w:szCs w:val="24"/>
        </w:rPr>
        <w:t>乙方对数据的</w:t>
      </w:r>
      <w:r>
        <w:rPr>
          <w:rFonts w:hint="eastAsia" w:ascii="宋体" w:hAnsi="宋体" w:eastAsia="宋体" w:cs="宋体"/>
          <w:b w:val="0"/>
          <w:bCs/>
          <w:sz w:val="24"/>
          <w:szCs w:val="24"/>
          <w:lang w:val="en-US" w:eastAsia="zh-CN"/>
        </w:rPr>
        <w:t>处理</w:t>
      </w:r>
      <w:r>
        <w:rPr>
          <w:rFonts w:hint="eastAsia" w:ascii="宋体" w:hAnsi="宋体" w:eastAsia="宋体" w:cs="宋体"/>
          <w:b w:val="0"/>
          <w:bCs/>
          <w:sz w:val="24"/>
          <w:szCs w:val="24"/>
        </w:rPr>
        <w:t>应当满足下列要求：</w:t>
      </w:r>
    </w:p>
    <w:p w14:paraId="02B1E6A0">
      <w:pPr>
        <w:spacing w:before="120" w:after="120" w:line="360" w:lineRule="auto"/>
        <w:ind w:left="420" w:leftChars="200"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3.3</w:t>
      </w:r>
      <w:r>
        <w:rPr>
          <w:rFonts w:hint="eastAsia" w:ascii="宋体" w:hAnsi="宋体" w:eastAsia="宋体" w:cs="宋体"/>
          <w:b w:val="0"/>
          <w:bCs/>
          <w:sz w:val="24"/>
          <w:szCs w:val="24"/>
        </w:rPr>
        <w:t>.1 乙方应遵守</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网络安全法</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数据安全法</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个人信息保护法</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工业和信息化领域数据安全管理办法（试行）</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等</w:t>
      </w:r>
      <w:r>
        <w:rPr>
          <w:rFonts w:hint="eastAsia" w:ascii="宋体" w:hAnsi="宋体" w:eastAsia="宋体" w:cs="宋体"/>
          <w:b w:val="0"/>
          <w:bCs/>
          <w:sz w:val="24"/>
          <w:szCs w:val="24"/>
        </w:rPr>
        <w:t>国家相关</w:t>
      </w:r>
      <w:r>
        <w:rPr>
          <w:rFonts w:hint="eastAsia" w:ascii="宋体" w:hAnsi="宋体" w:eastAsia="宋体" w:cs="宋体"/>
          <w:b w:val="0"/>
          <w:bCs/>
          <w:sz w:val="24"/>
          <w:szCs w:val="24"/>
          <w:lang w:val="en-US" w:eastAsia="zh-CN"/>
        </w:rPr>
        <w:t>法律</w:t>
      </w:r>
      <w:r>
        <w:rPr>
          <w:rFonts w:hint="eastAsia" w:ascii="宋体" w:hAnsi="宋体" w:eastAsia="宋体" w:cs="宋体"/>
          <w:b w:val="0"/>
          <w:bCs/>
          <w:sz w:val="24"/>
          <w:szCs w:val="24"/>
        </w:rPr>
        <w:t>法规要求</w:t>
      </w:r>
      <w:r>
        <w:rPr>
          <w:rFonts w:hint="eastAsia" w:ascii="宋体" w:hAnsi="宋体" w:eastAsia="宋体" w:cs="宋体"/>
          <w:b w:val="0"/>
          <w:bCs/>
          <w:sz w:val="24"/>
          <w:szCs w:val="24"/>
          <w:lang w:val="en-US" w:eastAsia="zh-CN"/>
        </w:rPr>
        <w:t>以及</w:t>
      </w:r>
      <w:r>
        <w:rPr>
          <w:rFonts w:hint="eastAsia" w:ascii="宋体" w:hAnsi="宋体" w:eastAsia="宋体" w:cs="宋体"/>
          <w:b w:val="0"/>
          <w:bCs/>
          <w:sz w:val="24"/>
          <w:szCs w:val="24"/>
        </w:rPr>
        <w:t>甲方上级单位及甲方公司内部关于数据安全方面的管理规定，包括但不限于《中国移动通信集团有限公司数据安全管理办法》</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《中国移动江苏公司</w:t>
      </w:r>
      <w:r>
        <w:rPr>
          <w:rFonts w:hint="eastAsia" w:ascii="宋体" w:hAnsi="宋体" w:eastAsia="宋体" w:cs="宋体"/>
          <w:b w:val="0"/>
          <w:bCs/>
          <w:sz w:val="24"/>
          <w:szCs w:val="24"/>
          <w:lang w:val="en-US" w:eastAsia="zh-CN"/>
        </w:rPr>
        <w:t>数据安全</w:t>
      </w:r>
      <w:r>
        <w:rPr>
          <w:rFonts w:hint="eastAsia" w:ascii="宋体" w:hAnsi="宋体" w:eastAsia="宋体" w:cs="宋体"/>
          <w:b w:val="0"/>
          <w:bCs/>
          <w:sz w:val="24"/>
          <w:szCs w:val="24"/>
        </w:rPr>
        <w:t>管理实施细则》</w:t>
      </w:r>
      <w:r>
        <w:rPr>
          <w:rFonts w:hint="eastAsia" w:ascii="宋体" w:hAnsi="宋体" w:eastAsia="宋体" w:cs="宋体"/>
          <w:b w:val="0"/>
          <w:bCs/>
          <w:sz w:val="24"/>
          <w:szCs w:val="24"/>
          <w:lang w:val="en-US" w:eastAsia="zh-CN"/>
        </w:rPr>
        <w:t>及系列指南</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并接受甲方必要的安全评估、审计、检查等监督管理</w:t>
      </w:r>
      <w:r>
        <w:rPr>
          <w:rFonts w:hint="eastAsia" w:ascii="宋体" w:hAnsi="宋体" w:eastAsia="宋体" w:cs="宋体"/>
          <w:b w:val="0"/>
          <w:bCs/>
          <w:sz w:val="24"/>
          <w:szCs w:val="24"/>
        </w:rPr>
        <w:t>。</w:t>
      </w:r>
    </w:p>
    <w:p w14:paraId="713D5BB7">
      <w:pPr>
        <w:spacing w:before="120" w:after="120" w:line="360" w:lineRule="auto"/>
        <w:ind w:left="420" w:leftChars="200"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3.3</w:t>
      </w:r>
      <w:r>
        <w:rPr>
          <w:rFonts w:hint="eastAsia" w:ascii="宋体" w:hAnsi="宋体" w:eastAsia="宋体" w:cs="宋体"/>
          <w:b w:val="0"/>
          <w:bCs/>
          <w:sz w:val="24"/>
          <w:szCs w:val="24"/>
        </w:rPr>
        <w:t>.2乙方承诺仅在本次合作期间，为合同履行的目的</w:t>
      </w:r>
      <w:r>
        <w:rPr>
          <w:rFonts w:hint="eastAsia" w:ascii="宋体" w:hAnsi="宋体" w:eastAsia="宋体" w:cs="宋体"/>
          <w:b w:val="0"/>
          <w:bCs/>
          <w:sz w:val="24"/>
          <w:szCs w:val="24"/>
          <w:lang w:val="en-US" w:eastAsia="zh-CN"/>
        </w:rPr>
        <w:t>处理</w:t>
      </w:r>
      <w:r>
        <w:rPr>
          <w:rFonts w:hint="eastAsia" w:ascii="宋体" w:hAnsi="宋体" w:eastAsia="宋体" w:cs="宋体"/>
          <w:b w:val="0"/>
          <w:bCs/>
          <w:sz w:val="24"/>
          <w:szCs w:val="24"/>
        </w:rPr>
        <w:t>数据，</w:t>
      </w:r>
      <w:r>
        <w:rPr>
          <w:rFonts w:hint="eastAsia" w:ascii="宋体" w:hAnsi="宋体" w:eastAsia="宋体" w:cs="宋体"/>
          <w:b w:val="0"/>
          <w:bCs/>
          <w:sz w:val="24"/>
          <w:szCs w:val="24"/>
          <w:lang w:val="en-US" w:eastAsia="zh-CN"/>
        </w:rPr>
        <w:t>不得未经同意改变数据处理的目的、方式和范围</w:t>
      </w:r>
      <w:r>
        <w:rPr>
          <w:rFonts w:hint="eastAsia" w:ascii="宋体" w:hAnsi="宋体" w:eastAsia="宋体" w:cs="宋体"/>
          <w:b w:val="0"/>
          <w:bCs/>
          <w:sz w:val="24"/>
          <w:szCs w:val="24"/>
        </w:rPr>
        <w:t>。</w:t>
      </w:r>
    </w:p>
    <w:p w14:paraId="5EA09C8C">
      <w:pPr>
        <w:spacing w:before="120" w:after="120" w:line="360" w:lineRule="auto"/>
        <w:ind w:left="420" w:leftChars="200"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3.3</w:t>
      </w:r>
      <w:r>
        <w:rPr>
          <w:rFonts w:hint="eastAsia" w:ascii="宋体" w:hAnsi="宋体" w:eastAsia="宋体" w:cs="宋体"/>
          <w:b w:val="0"/>
          <w:bCs/>
          <w:sz w:val="24"/>
          <w:szCs w:val="24"/>
        </w:rPr>
        <w:t>.3 未经甲方的事先书面批准，乙方不得以任何形式或任何方式</w:t>
      </w:r>
      <w:r>
        <w:rPr>
          <w:rFonts w:hint="eastAsia" w:ascii="宋体" w:hAnsi="宋体" w:eastAsia="宋体" w:cs="宋体"/>
          <w:b w:val="0"/>
          <w:bCs/>
          <w:sz w:val="24"/>
          <w:szCs w:val="24"/>
          <w:lang w:val="en-US" w:eastAsia="zh-CN"/>
        </w:rPr>
        <w:t>缓存、窃取、泄露、滥用数据以及向第三方提供数据。</w:t>
      </w:r>
    </w:p>
    <w:p w14:paraId="48C93914">
      <w:pPr>
        <w:spacing w:before="120" w:after="120" w:line="360" w:lineRule="auto"/>
        <w:ind w:left="420" w:leftChars="200"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3.3</w:t>
      </w:r>
      <w:r>
        <w:rPr>
          <w:rFonts w:hint="eastAsia" w:ascii="宋体" w:hAnsi="宋体" w:eastAsia="宋体" w:cs="宋体"/>
          <w:b w:val="0"/>
          <w:bCs/>
          <w:sz w:val="24"/>
          <w:szCs w:val="24"/>
        </w:rPr>
        <w:t>.4 乙方有义务妥善保管必要的数据，不得私自复制、泄漏或遗失，对于乙方保管的数据应采取必要技术保护措施，例如：</w:t>
      </w:r>
      <w:r>
        <w:rPr>
          <w:rFonts w:hint="eastAsia" w:ascii="宋体" w:hAnsi="宋体" w:eastAsia="宋体" w:cs="宋体"/>
          <w:b w:val="0"/>
          <w:bCs/>
          <w:sz w:val="24"/>
          <w:szCs w:val="24"/>
          <w:lang w:val="en-US" w:eastAsia="zh-CN"/>
        </w:rPr>
        <w:t>数据脱敏、</w:t>
      </w:r>
      <w:r>
        <w:rPr>
          <w:rFonts w:hint="eastAsia" w:ascii="宋体" w:hAnsi="宋体" w:eastAsia="宋体" w:cs="宋体"/>
          <w:b w:val="0"/>
          <w:bCs/>
          <w:sz w:val="24"/>
          <w:szCs w:val="24"/>
        </w:rPr>
        <w:t>数据模糊化、</w:t>
      </w:r>
      <w:r>
        <w:rPr>
          <w:rFonts w:hint="eastAsia" w:ascii="宋体" w:hAnsi="宋体" w:eastAsia="宋体" w:cs="宋体"/>
          <w:b w:val="0"/>
          <w:bCs/>
          <w:sz w:val="24"/>
          <w:szCs w:val="24"/>
          <w:lang w:val="en-US" w:eastAsia="zh-CN"/>
        </w:rPr>
        <w:t>数据加密、4A和</w:t>
      </w:r>
      <w:r>
        <w:rPr>
          <w:rFonts w:hint="eastAsia" w:ascii="宋体" w:hAnsi="宋体" w:eastAsia="宋体" w:cs="宋体"/>
          <w:b w:val="0"/>
          <w:bCs/>
          <w:sz w:val="24"/>
          <w:szCs w:val="24"/>
        </w:rPr>
        <w:t>金库</w:t>
      </w:r>
      <w:r>
        <w:rPr>
          <w:rFonts w:hint="eastAsia" w:ascii="宋体" w:hAnsi="宋体" w:eastAsia="宋体" w:cs="宋体"/>
          <w:b w:val="0"/>
          <w:bCs/>
          <w:sz w:val="24"/>
          <w:szCs w:val="24"/>
          <w:lang w:val="en-US" w:eastAsia="zh-CN"/>
        </w:rPr>
        <w:t>审批</w:t>
      </w:r>
      <w:r>
        <w:rPr>
          <w:rFonts w:hint="eastAsia" w:ascii="宋体" w:hAnsi="宋体" w:eastAsia="宋体" w:cs="宋体"/>
          <w:b w:val="0"/>
          <w:bCs/>
          <w:sz w:val="24"/>
          <w:szCs w:val="24"/>
        </w:rPr>
        <w:t>、账号和</w:t>
      </w:r>
      <w:r>
        <w:rPr>
          <w:rFonts w:hint="eastAsia" w:ascii="宋体" w:hAnsi="宋体" w:eastAsia="宋体" w:cs="宋体"/>
          <w:b w:val="0"/>
          <w:bCs/>
          <w:sz w:val="24"/>
          <w:szCs w:val="24"/>
          <w:lang w:val="en-US" w:eastAsia="zh-CN"/>
        </w:rPr>
        <w:t>访问操作</w:t>
      </w:r>
      <w:r>
        <w:rPr>
          <w:rFonts w:hint="eastAsia" w:ascii="宋体" w:hAnsi="宋体" w:eastAsia="宋体" w:cs="宋体"/>
          <w:b w:val="0"/>
          <w:bCs/>
          <w:sz w:val="24"/>
          <w:szCs w:val="24"/>
        </w:rPr>
        <w:t>日志审计等。</w:t>
      </w:r>
    </w:p>
    <w:p w14:paraId="5DC18950">
      <w:pPr>
        <w:spacing w:before="120" w:after="120" w:line="360" w:lineRule="auto"/>
        <w:ind w:left="420" w:leftChars="200"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3.3</w:t>
      </w:r>
      <w:r>
        <w:rPr>
          <w:rFonts w:hint="eastAsia" w:ascii="宋体" w:hAnsi="宋体" w:eastAsia="宋体" w:cs="宋体"/>
          <w:b w:val="0"/>
          <w:bCs/>
          <w:sz w:val="24"/>
          <w:szCs w:val="24"/>
        </w:rPr>
        <w:t>.5 乙方不得依据数据，就任何问题，向任何第三方做出任何建议。</w:t>
      </w:r>
    </w:p>
    <w:p w14:paraId="2888B0D8">
      <w:pPr>
        <w:spacing w:before="120" w:after="120" w:line="360" w:lineRule="auto"/>
        <w:ind w:left="420" w:leftChars="200"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3.3</w:t>
      </w:r>
      <w:r>
        <w:rPr>
          <w:rFonts w:hint="eastAsia" w:ascii="宋体" w:hAnsi="宋体" w:eastAsia="宋体" w:cs="宋体"/>
          <w:b w:val="0"/>
          <w:bCs/>
          <w:sz w:val="24"/>
          <w:szCs w:val="24"/>
        </w:rPr>
        <w:t>.6 未经甲方同意，乙方不得利用上述数据进行新的研究和开发。</w:t>
      </w:r>
    </w:p>
    <w:p w14:paraId="2F745E0D">
      <w:pPr>
        <w:numPr>
          <w:ilvl w:val="0"/>
          <w:numId w:val="0"/>
        </w:numPr>
        <w:tabs>
          <w:tab w:val="left" w:pos="-1"/>
        </w:tabs>
        <w:spacing w:before="120" w:after="120" w:line="360" w:lineRule="auto"/>
        <w:ind w:left="0" w:firstLine="480" w:firstLineChars="200"/>
        <w:jc w:val="both"/>
        <w:rPr>
          <w:rFonts w:hint="eastAsia" w:ascii="宋体" w:hAnsi="宋体" w:eastAsia="宋体" w:cs="宋体"/>
          <w:b w:val="0"/>
          <w:bCs/>
          <w:sz w:val="24"/>
          <w:szCs w:val="24"/>
          <w:u w:val="single"/>
        </w:rPr>
      </w:pPr>
      <w:r>
        <w:rPr>
          <w:rFonts w:hint="eastAsia" w:ascii="宋体" w:hAnsi="宋体" w:eastAsia="宋体" w:cs="宋体"/>
          <w:b w:val="0"/>
          <w:bCs/>
          <w:sz w:val="24"/>
          <w:szCs w:val="24"/>
          <w:lang w:val="en-US" w:eastAsia="zh-CN" w:bidi="ar-SA"/>
        </w:rPr>
        <w:t xml:space="preserve">3.4 </w:t>
      </w:r>
      <w:r>
        <w:rPr>
          <w:rFonts w:hint="eastAsia" w:ascii="宋体" w:hAnsi="宋体" w:eastAsia="宋体" w:cs="宋体"/>
          <w:b w:val="0"/>
          <w:bCs/>
          <w:sz w:val="24"/>
          <w:szCs w:val="24"/>
          <w:u w:val="single"/>
        </w:rPr>
        <w:t>乙方有权向其职员透露或使其接触数据和/或其中的任何相关部分，这些职员应是参与合作项目运行的项目组人员，前提是乙方向职员透露或使其接触数据前已经从该职员获得了至少与本协议保密义务一样严格的保密承诺，并要求在项目结束或职员退出该项目后删除数据，不得私人进行备份。</w:t>
      </w:r>
    </w:p>
    <w:p w14:paraId="7EC10977">
      <w:pPr>
        <w:numPr>
          <w:ilvl w:val="0"/>
          <w:numId w:val="0"/>
        </w:numPr>
        <w:tabs>
          <w:tab w:val="left" w:pos="-1"/>
        </w:tabs>
        <w:spacing w:before="120" w:after="120" w:line="360" w:lineRule="auto"/>
        <w:ind w:left="0" w:firstLine="480" w:firstLineChars="200"/>
        <w:jc w:val="both"/>
        <w:rPr>
          <w:rFonts w:hint="eastAsia" w:ascii="宋体" w:hAnsi="宋体" w:eastAsia="宋体" w:cs="宋体"/>
          <w:b w:val="0"/>
          <w:bCs/>
          <w:sz w:val="24"/>
          <w:szCs w:val="24"/>
        </w:rPr>
      </w:pPr>
      <w:r>
        <w:rPr>
          <w:rFonts w:hint="eastAsia" w:ascii="宋体" w:hAnsi="宋体" w:eastAsia="宋体" w:cs="宋体"/>
          <w:b w:val="0"/>
          <w:bCs/>
          <w:sz w:val="24"/>
          <w:szCs w:val="24"/>
          <w:lang w:val="en-US" w:eastAsia="zh-CN" w:bidi="ar-SA"/>
        </w:rPr>
        <w:t>3.5</w:t>
      </w:r>
      <w:r>
        <w:rPr>
          <w:rFonts w:hint="eastAsia" w:ascii="宋体" w:hAnsi="宋体" w:eastAsia="宋体" w:cs="宋体"/>
          <w:b w:val="0"/>
          <w:bCs/>
          <w:sz w:val="24"/>
          <w:szCs w:val="24"/>
        </w:rPr>
        <w:t>甲方有权在甲方认为必要的情况下收回所提供的数据及其</w:t>
      </w:r>
      <w:r>
        <w:rPr>
          <w:rFonts w:hint="eastAsia" w:ascii="宋体" w:hAnsi="宋体" w:eastAsia="宋体" w:cs="宋体"/>
          <w:b w:val="0"/>
          <w:bCs/>
          <w:sz w:val="24"/>
          <w:szCs w:val="24"/>
          <w:lang w:val="en-US" w:eastAsia="zh-CN"/>
        </w:rPr>
        <w:t>处理</w:t>
      </w:r>
      <w:r>
        <w:rPr>
          <w:rFonts w:hint="eastAsia" w:ascii="宋体" w:hAnsi="宋体" w:eastAsia="宋体" w:cs="宋体"/>
          <w:b w:val="0"/>
          <w:bCs/>
          <w:sz w:val="24"/>
          <w:szCs w:val="24"/>
        </w:rPr>
        <w:t>权，乙方应配合甲方行使上述权利，按照甲方的要求将所控制的数据交回甲方、删除或销毁。</w:t>
      </w:r>
    </w:p>
    <w:p w14:paraId="183F5FB9">
      <w:pPr>
        <w:spacing w:before="120" w:after="120" w:line="360" w:lineRule="auto"/>
        <w:jc w:val="both"/>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四</w:t>
      </w:r>
      <w:r>
        <w:rPr>
          <w:rFonts w:hint="eastAsia" w:ascii="宋体" w:hAnsi="宋体" w:eastAsia="宋体" w:cs="宋体"/>
          <w:b w:val="0"/>
          <w:bCs/>
          <w:sz w:val="24"/>
          <w:szCs w:val="24"/>
        </w:rPr>
        <w:t>、违约责任和处罚措施</w:t>
      </w:r>
    </w:p>
    <w:p w14:paraId="76B49E1D">
      <w:pPr>
        <w:numPr>
          <w:ilvl w:val="0"/>
          <w:numId w:val="0"/>
        </w:numPr>
        <w:tabs>
          <w:tab w:val="left" w:pos="-1"/>
        </w:tabs>
        <w:spacing w:before="120" w:after="120" w:line="360" w:lineRule="auto"/>
        <w:ind w:left="0" w:leftChars="0" w:firstLine="480" w:firstLineChars="200"/>
        <w:jc w:val="both"/>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4.1</w:t>
      </w:r>
      <w:r>
        <w:rPr>
          <w:rFonts w:hint="eastAsia" w:ascii="宋体" w:hAnsi="宋体" w:eastAsia="宋体" w:cs="宋体"/>
          <w:b w:val="0"/>
          <w:bCs/>
          <w:sz w:val="24"/>
          <w:szCs w:val="24"/>
        </w:rPr>
        <w:t>乙方</w:t>
      </w:r>
      <w:r>
        <w:rPr>
          <w:rFonts w:hint="eastAsia" w:ascii="宋体" w:hAnsi="宋体" w:eastAsia="宋体" w:cs="宋体"/>
          <w:b w:val="0"/>
          <w:bCs/>
          <w:sz w:val="24"/>
          <w:szCs w:val="24"/>
          <w:lang w:val="en-US" w:eastAsia="zh-CN"/>
        </w:rPr>
        <w:t>或乙方</w:t>
      </w:r>
      <w:r>
        <w:rPr>
          <w:rFonts w:hint="eastAsia" w:ascii="宋体" w:hAnsi="宋体" w:eastAsia="宋体" w:cs="宋体"/>
          <w:b w:val="0"/>
          <w:bCs/>
          <w:sz w:val="24"/>
          <w:szCs w:val="24"/>
        </w:rPr>
        <w:t>的职员</w:t>
      </w:r>
      <w:r>
        <w:rPr>
          <w:rFonts w:hint="eastAsia" w:ascii="宋体" w:hAnsi="宋体" w:eastAsia="宋体" w:cs="宋体"/>
          <w:b w:val="0"/>
          <w:bCs/>
          <w:sz w:val="24"/>
          <w:szCs w:val="24"/>
          <w:lang w:val="en-US" w:eastAsia="zh-CN"/>
        </w:rPr>
        <w:t>违反合同及本协议约定</w:t>
      </w:r>
      <w:r>
        <w:rPr>
          <w:rFonts w:hint="eastAsia" w:ascii="宋体" w:hAnsi="宋体" w:eastAsia="宋体" w:cs="宋体"/>
          <w:b w:val="0"/>
          <w:bCs/>
          <w:sz w:val="24"/>
          <w:szCs w:val="24"/>
        </w:rPr>
        <w:t>，未按照本协议的规定</w:t>
      </w:r>
      <w:r>
        <w:rPr>
          <w:rFonts w:hint="eastAsia" w:ascii="宋体" w:hAnsi="宋体" w:eastAsia="宋体" w:cs="宋体"/>
          <w:b w:val="0"/>
          <w:bCs/>
          <w:sz w:val="24"/>
          <w:szCs w:val="24"/>
          <w:lang w:val="en-US" w:eastAsia="zh-CN"/>
        </w:rPr>
        <w:t>处理</w:t>
      </w:r>
      <w:r>
        <w:rPr>
          <w:rFonts w:hint="eastAsia" w:ascii="宋体" w:hAnsi="宋体" w:eastAsia="宋体" w:cs="宋体"/>
          <w:b w:val="0"/>
          <w:bCs/>
          <w:sz w:val="24"/>
          <w:szCs w:val="24"/>
        </w:rPr>
        <w:t>数据，或未遵守甲方数据安全管理规定造成数据泄露，或向第三方披露数据，或依据该等数据向第三方做出任何建议，或利用数据进行新的研究开发</w:t>
      </w:r>
      <w:r>
        <w:rPr>
          <w:rFonts w:hint="eastAsia" w:ascii="宋体" w:hAnsi="宋体" w:eastAsia="宋体" w:cs="宋体"/>
          <w:b w:val="0"/>
          <w:bCs/>
          <w:sz w:val="24"/>
          <w:szCs w:val="24"/>
          <w:lang w:val="en-US" w:eastAsia="zh-CN"/>
        </w:rPr>
        <w:t>等</w:t>
      </w:r>
      <w:r>
        <w:rPr>
          <w:rFonts w:hint="eastAsia" w:ascii="宋体" w:hAnsi="宋体" w:eastAsia="宋体" w:cs="宋体"/>
          <w:b w:val="0"/>
          <w:bCs/>
          <w:sz w:val="24"/>
          <w:szCs w:val="24"/>
        </w:rPr>
        <w:t>，都被视为乙方</w:t>
      </w:r>
      <w:r>
        <w:rPr>
          <w:rFonts w:hint="eastAsia" w:ascii="宋体" w:hAnsi="宋体" w:eastAsia="宋体" w:cs="宋体"/>
          <w:b w:val="0"/>
          <w:bCs/>
          <w:sz w:val="24"/>
          <w:szCs w:val="24"/>
          <w:lang w:val="en-US" w:eastAsia="zh-CN"/>
        </w:rPr>
        <w:t>违约</w:t>
      </w:r>
      <w:r>
        <w:rPr>
          <w:rFonts w:hint="eastAsia" w:ascii="宋体" w:hAnsi="宋体" w:eastAsia="宋体" w:cs="宋体"/>
          <w:b w:val="0"/>
          <w:bCs/>
          <w:sz w:val="24"/>
          <w:szCs w:val="24"/>
        </w:rPr>
        <w:t>。</w:t>
      </w:r>
    </w:p>
    <w:p w14:paraId="09B5234A">
      <w:pPr>
        <w:numPr>
          <w:ilvl w:val="0"/>
          <w:numId w:val="0"/>
        </w:numPr>
        <w:tabs>
          <w:tab w:val="left" w:pos="-1"/>
        </w:tabs>
        <w:spacing w:before="120" w:after="120" w:line="360" w:lineRule="auto"/>
        <w:ind w:left="0" w:leftChars="0" w:firstLine="480" w:firstLineChars="200"/>
        <w:jc w:val="both"/>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4.2</w:t>
      </w:r>
      <w:r>
        <w:rPr>
          <w:rFonts w:hint="eastAsia" w:ascii="宋体" w:hAnsi="宋体" w:eastAsia="宋体" w:cs="宋体"/>
          <w:b w:val="0"/>
          <w:bCs/>
          <w:sz w:val="24"/>
          <w:szCs w:val="24"/>
        </w:rPr>
        <w:t>乙方</w:t>
      </w:r>
      <w:r>
        <w:rPr>
          <w:rFonts w:hint="eastAsia" w:ascii="宋体" w:hAnsi="宋体" w:eastAsia="宋体" w:cs="宋体"/>
          <w:b w:val="0"/>
          <w:bCs/>
          <w:sz w:val="24"/>
          <w:szCs w:val="24"/>
          <w:lang w:val="en-US" w:eastAsia="zh-CN"/>
        </w:rPr>
        <w:t>违约的</w:t>
      </w:r>
      <w:r>
        <w:rPr>
          <w:rFonts w:hint="eastAsia" w:ascii="宋体" w:hAnsi="宋体" w:eastAsia="宋体" w:cs="宋体"/>
          <w:b w:val="0"/>
          <w:bCs/>
          <w:sz w:val="24"/>
          <w:szCs w:val="24"/>
        </w:rPr>
        <w:t>，甲方有权要求乙方承担下述各项违约责任，同时甲方有权以书面形式单方面通知乙方终止合作：</w:t>
      </w:r>
    </w:p>
    <w:p w14:paraId="3C1EE0D5">
      <w:pPr>
        <w:spacing w:before="120" w:after="120" w:line="360" w:lineRule="auto"/>
        <w:ind w:left="600"/>
        <w:jc w:val="both"/>
        <w:rPr>
          <w:rFonts w:hint="eastAsia" w:ascii="宋体" w:hAnsi="宋体" w:eastAsia="宋体" w:cs="宋体"/>
          <w:b w:val="0"/>
          <w:bCs/>
          <w:sz w:val="24"/>
          <w:szCs w:val="24"/>
        </w:rPr>
      </w:pPr>
      <w:r>
        <w:rPr>
          <w:rFonts w:hint="eastAsia" w:ascii="宋体" w:hAnsi="宋体" w:eastAsia="宋体" w:cs="宋体"/>
          <w:b w:val="0"/>
          <w:bCs/>
          <w:sz w:val="24"/>
          <w:szCs w:val="24"/>
        </w:rPr>
        <w:t>（1）立即停止违反本协议的行为；</w:t>
      </w:r>
    </w:p>
    <w:p w14:paraId="73033459">
      <w:pPr>
        <w:spacing w:before="120" w:after="120" w:line="360" w:lineRule="auto"/>
        <w:ind w:left="600"/>
        <w:jc w:val="both"/>
        <w:rPr>
          <w:rFonts w:hint="eastAsia" w:ascii="宋体" w:hAnsi="宋体" w:eastAsia="宋体" w:cs="宋体"/>
          <w:b w:val="0"/>
          <w:bCs/>
          <w:sz w:val="24"/>
          <w:szCs w:val="24"/>
        </w:rPr>
      </w:pPr>
      <w:r>
        <w:rPr>
          <w:rFonts w:hint="eastAsia" w:ascii="宋体" w:hAnsi="宋体" w:eastAsia="宋体" w:cs="宋体"/>
          <w:b w:val="0"/>
          <w:bCs/>
          <w:sz w:val="24"/>
          <w:szCs w:val="24"/>
        </w:rPr>
        <w:t>（2）采取一切有效措施</w:t>
      </w:r>
      <w:r>
        <w:rPr>
          <w:rFonts w:hint="eastAsia" w:ascii="宋体" w:hAnsi="宋体" w:eastAsia="宋体" w:cs="宋体"/>
          <w:b w:val="0"/>
          <w:bCs/>
          <w:sz w:val="24"/>
          <w:szCs w:val="24"/>
          <w:lang w:val="en-US" w:eastAsia="zh-CN"/>
        </w:rPr>
        <w:t>进行补救，</w:t>
      </w:r>
      <w:r>
        <w:rPr>
          <w:rFonts w:hint="eastAsia" w:ascii="宋体" w:hAnsi="宋体" w:eastAsia="宋体" w:cs="宋体"/>
          <w:b w:val="0"/>
          <w:bCs/>
          <w:sz w:val="24"/>
          <w:szCs w:val="24"/>
        </w:rPr>
        <w:t>防止数据泄露</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滥用等</w:t>
      </w:r>
      <w:r>
        <w:rPr>
          <w:rFonts w:hint="eastAsia" w:ascii="宋体" w:hAnsi="宋体" w:eastAsia="宋体" w:cs="宋体"/>
          <w:b w:val="0"/>
          <w:bCs/>
          <w:sz w:val="24"/>
          <w:szCs w:val="24"/>
        </w:rPr>
        <w:t>范围继续扩大；</w:t>
      </w:r>
    </w:p>
    <w:p w14:paraId="706C14BC">
      <w:pPr>
        <w:spacing w:before="120" w:after="120" w:line="360" w:lineRule="auto"/>
        <w:ind w:left="0" w:firstLine="480" w:firstLineChars="200"/>
        <w:jc w:val="both"/>
        <w:rPr>
          <w:rFonts w:hint="eastAsia" w:ascii="宋体" w:hAnsi="宋体" w:eastAsia="宋体" w:cs="宋体"/>
          <w:b w:val="0"/>
          <w:bCs/>
          <w:sz w:val="24"/>
          <w:szCs w:val="24"/>
        </w:rPr>
      </w:pPr>
      <w:r>
        <w:rPr>
          <w:rFonts w:hint="eastAsia" w:ascii="宋体" w:hAnsi="宋体" w:eastAsia="宋体" w:cs="宋体"/>
          <w:b w:val="0"/>
          <w:bCs/>
          <w:sz w:val="24"/>
          <w:szCs w:val="24"/>
        </w:rPr>
        <w:t>（3）</w:t>
      </w:r>
      <w:r>
        <w:rPr>
          <w:rFonts w:hint="eastAsia" w:ascii="宋体" w:hAnsi="宋体" w:eastAsia="宋体" w:cs="宋体"/>
          <w:b w:val="0"/>
          <w:bCs/>
          <w:sz w:val="24"/>
          <w:szCs w:val="24"/>
          <w:lang w:val="en-US" w:eastAsia="zh-CN"/>
        </w:rPr>
        <w:t>按照合同总金额10 %向甲方支付违约金，甲方有权在合同中待结算给乙方的结算款中直接等额扣除；违约金不足以弥补甲方损失的，甲方有权继续向乙方追偿。上述违约金</w:t>
      </w:r>
      <w:r>
        <w:rPr>
          <w:rFonts w:hint="eastAsia" w:ascii="宋体" w:hAnsi="宋体" w:eastAsia="宋体" w:cs="宋体"/>
          <w:b w:val="0"/>
          <w:bCs/>
          <w:sz w:val="24"/>
          <w:szCs w:val="24"/>
        </w:rPr>
        <w:t>，包括但不限于甲方因此受到的直接、间接、连带、特殊损失，甲方为调查乙方违约所支出的费用，甲方因乙方违反本协议而导致的</w:t>
      </w:r>
      <w:r>
        <w:rPr>
          <w:rFonts w:hint="eastAsia" w:ascii="宋体" w:hAnsi="宋体" w:eastAsia="宋体" w:cs="宋体"/>
          <w:b w:val="0"/>
          <w:bCs/>
          <w:sz w:val="24"/>
          <w:szCs w:val="24"/>
          <w:lang w:val="en-US" w:eastAsia="zh-CN"/>
        </w:rPr>
        <w:t>律师费、诉讼仲裁费、差旅费等</w:t>
      </w:r>
      <w:r>
        <w:rPr>
          <w:rFonts w:hint="eastAsia" w:ascii="宋体" w:hAnsi="宋体" w:eastAsia="宋体" w:cs="宋体"/>
          <w:b w:val="0"/>
          <w:bCs/>
          <w:sz w:val="24"/>
          <w:szCs w:val="24"/>
        </w:rPr>
        <w:t>支出、罚金和费用等。</w:t>
      </w:r>
    </w:p>
    <w:p w14:paraId="0FC12CC5">
      <w:pPr>
        <w:spacing w:before="120" w:after="120" w:line="360" w:lineRule="auto"/>
        <w:ind w:left="0" w:firstLine="480" w:firstLineChars="200"/>
        <w:jc w:val="both"/>
        <w:rPr>
          <w:rFonts w:hint="eastAsia" w:ascii="宋体" w:hAnsi="宋体" w:eastAsia="宋体" w:cs="宋体"/>
          <w:b w:val="0"/>
          <w:bCs/>
          <w:sz w:val="24"/>
          <w:szCs w:val="24"/>
        </w:rPr>
      </w:pPr>
      <w:r>
        <w:rPr>
          <w:rFonts w:hint="eastAsia" w:ascii="宋体" w:hAnsi="宋体" w:eastAsia="宋体" w:cs="宋体"/>
          <w:b w:val="0"/>
          <w:bCs/>
          <w:sz w:val="24"/>
          <w:szCs w:val="24"/>
        </w:rPr>
        <w:t>（4）甲方有权利采取将乙方加入甲方合作负面行为名单，报送通信行业管理部门将乙方加入行业负面行为名单等措施。</w:t>
      </w:r>
    </w:p>
    <w:p w14:paraId="6FC9B141">
      <w:pPr>
        <w:spacing w:before="120" w:after="120" w:line="360" w:lineRule="auto"/>
        <w:jc w:val="both"/>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五</w:t>
      </w:r>
      <w:r>
        <w:rPr>
          <w:rFonts w:hint="eastAsia" w:ascii="宋体" w:hAnsi="宋体" w:eastAsia="宋体" w:cs="宋体"/>
          <w:b w:val="0"/>
          <w:bCs/>
          <w:sz w:val="24"/>
          <w:szCs w:val="24"/>
        </w:rPr>
        <w:t>、</w:t>
      </w:r>
      <w:r>
        <w:rPr>
          <w:rFonts w:hint="eastAsia" w:ascii="宋体" w:hAnsi="宋体" w:eastAsia="宋体" w:cs="宋体"/>
          <w:b w:val="0"/>
          <w:bCs/>
          <w:sz w:val="24"/>
          <w:szCs w:val="24"/>
        </w:rPr>
        <w:tab/>
      </w:r>
      <w:r>
        <w:rPr>
          <w:rFonts w:hint="eastAsia" w:ascii="宋体" w:hAnsi="宋体" w:eastAsia="宋体" w:cs="宋体"/>
          <w:b w:val="0"/>
          <w:bCs/>
          <w:sz w:val="24"/>
          <w:szCs w:val="24"/>
        </w:rPr>
        <w:t>数据</w:t>
      </w:r>
      <w:r>
        <w:rPr>
          <w:rFonts w:hint="eastAsia" w:ascii="宋体" w:hAnsi="宋体" w:eastAsia="宋体" w:cs="宋体"/>
          <w:b w:val="0"/>
          <w:bCs/>
          <w:sz w:val="24"/>
          <w:szCs w:val="24"/>
          <w:lang w:val="en-US" w:eastAsia="zh-CN"/>
        </w:rPr>
        <w:t>处理</w:t>
      </w:r>
      <w:r>
        <w:rPr>
          <w:rFonts w:hint="eastAsia" w:ascii="宋体" w:hAnsi="宋体" w:eastAsia="宋体" w:cs="宋体"/>
          <w:b w:val="0"/>
          <w:bCs/>
          <w:sz w:val="24"/>
          <w:szCs w:val="24"/>
        </w:rPr>
        <w:t>期限</w:t>
      </w:r>
    </w:p>
    <w:p w14:paraId="638FBBF8">
      <w:pPr>
        <w:spacing w:before="120" w:after="120" w:line="360" w:lineRule="auto"/>
        <w:ind w:firstLine="480" w:firstLineChars="200"/>
        <w:jc w:val="both"/>
        <w:rPr>
          <w:rFonts w:hint="eastAsia" w:ascii="宋体" w:hAnsi="宋体" w:eastAsia="宋体" w:cs="宋体"/>
          <w:b w:val="0"/>
          <w:bCs/>
          <w:sz w:val="24"/>
          <w:szCs w:val="24"/>
        </w:rPr>
      </w:pPr>
      <w:r>
        <w:rPr>
          <w:rFonts w:hint="eastAsia" w:ascii="宋体" w:hAnsi="宋体" w:eastAsia="宋体" w:cs="宋体"/>
          <w:b w:val="0"/>
          <w:bCs/>
          <w:sz w:val="24"/>
          <w:szCs w:val="24"/>
        </w:rPr>
        <w:t>除法律明确规定外，本协议规定的数据的</w:t>
      </w:r>
      <w:r>
        <w:rPr>
          <w:rFonts w:hint="eastAsia" w:ascii="宋体" w:hAnsi="宋体" w:eastAsia="宋体" w:cs="宋体"/>
          <w:b w:val="0"/>
          <w:bCs/>
          <w:sz w:val="24"/>
          <w:szCs w:val="24"/>
          <w:lang w:val="en-US" w:eastAsia="zh-CN"/>
        </w:rPr>
        <w:t>处理</w:t>
      </w:r>
      <w:r>
        <w:rPr>
          <w:rFonts w:hint="eastAsia" w:ascii="宋体" w:hAnsi="宋体" w:eastAsia="宋体" w:cs="宋体"/>
          <w:b w:val="0"/>
          <w:bCs/>
          <w:sz w:val="24"/>
          <w:szCs w:val="24"/>
        </w:rPr>
        <w:t>期限仅限于“合作”过程中（合同有效期内）</w:t>
      </w:r>
      <w:r>
        <w:rPr>
          <w:rFonts w:hint="eastAsia" w:ascii="宋体" w:hAnsi="宋体" w:eastAsia="宋体" w:cs="宋体"/>
          <w:b w:val="0"/>
          <w:bCs/>
          <w:sz w:val="24"/>
          <w:szCs w:val="24"/>
          <w:lang w:val="en-US" w:eastAsia="zh-CN"/>
        </w:rPr>
        <w:t>处理</w:t>
      </w:r>
      <w:r>
        <w:rPr>
          <w:rFonts w:hint="eastAsia" w:ascii="宋体" w:hAnsi="宋体" w:eastAsia="宋体" w:cs="宋体"/>
          <w:b w:val="0"/>
          <w:bCs/>
          <w:sz w:val="24"/>
          <w:szCs w:val="24"/>
        </w:rPr>
        <w:t>，合作结束后除非甲方书面授权，乙方应将所控制的数据交回甲方、删除或销毁。</w:t>
      </w:r>
    </w:p>
    <w:p w14:paraId="0A0CDD73">
      <w:pPr>
        <w:spacing w:before="120" w:after="120" w:line="360" w:lineRule="auto"/>
        <w:ind w:firstLine="480" w:firstLineChars="200"/>
        <w:jc w:val="both"/>
        <w:rPr>
          <w:rFonts w:hint="eastAsia" w:ascii="宋体" w:hAnsi="宋体" w:eastAsia="宋体" w:cs="宋体"/>
          <w:b w:val="0"/>
          <w:bCs/>
          <w:sz w:val="24"/>
          <w:szCs w:val="24"/>
        </w:rPr>
      </w:pPr>
      <w:r>
        <w:rPr>
          <w:rFonts w:hint="eastAsia" w:ascii="宋体" w:hAnsi="宋体" w:eastAsia="宋体" w:cs="宋体"/>
          <w:b w:val="0"/>
          <w:bCs/>
          <w:sz w:val="24"/>
          <w:szCs w:val="24"/>
        </w:rPr>
        <w:t>数据的保密责任期限为自本协议生效之日起至数据失去其保密性质并为公众所知悉之时为止，不因“合作”终止或解除（合同过期）而结束。</w:t>
      </w:r>
    </w:p>
    <w:p w14:paraId="0157D294">
      <w:pPr>
        <w:spacing w:before="120" w:after="120" w:line="360" w:lineRule="auto"/>
        <w:jc w:val="both"/>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六</w:t>
      </w:r>
      <w:r>
        <w:rPr>
          <w:rFonts w:hint="eastAsia" w:ascii="宋体" w:hAnsi="宋体" w:eastAsia="宋体" w:cs="宋体"/>
          <w:b w:val="0"/>
          <w:bCs/>
          <w:sz w:val="24"/>
          <w:szCs w:val="24"/>
        </w:rPr>
        <w:t>、</w:t>
      </w:r>
      <w:r>
        <w:rPr>
          <w:rFonts w:hint="eastAsia" w:ascii="宋体" w:hAnsi="宋体" w:eastAsia="宋体" w:cs="宋体"/>
          <w:b w:val="0"/>
          <w:bCs/>
          <w:sz w:val="24"/>
          <w:szCs w:val="24"/>
        </w:rPr>
        <w:tab/>
      </w:r>
      <w:r>
        <w:rPr>
          <w:rFonts w:hint="eastAsia" w:ascii="宋体" w:hAnsi="宋体" w:eastAsia="宋体" w:cs="宋体"/>
          <w:b w:val="0"/>
          <w:bCs/>
          <w:sz w:val="24"/>
          <w:szCs w:val="24"/>
        </w:rPr>
        <w:t>免责条款</w:t>
      </w:r>
    </w:p>
    <w:p w14:paraId="2C109676">
      <w:pPr>
        <w:spacing w:before="120" w:after="120" w:line="360" w:lineRule="auto"/>
        <w:ind w:firstLine="420"/>
        <w:jc w:val="both"/>
        <w:rPr>
          <w:rFonts w:hint="eastAsia" w:ascii="宋体" w:hAnsi="宋体" w:eastAsia="宋体" w:cs="宋体"/>
          <w:b w:val="0"/>
          <w:bCs/>
          <w:sz w:val="24"/>
          <w:szCs w:val="24"/>
        </w:rPr>
      </w:pPr>
      <w:r>
        <w:rPr>
          <w:rFonts w:hint="eastAsia" w:ascii="宋体" w:hAnsi="宋体" w:eastAsia="宋体" w:cs="宋体"/>
          <w:b w:val="0"/>
          <w:bCs/>
          <w:sz w:val="24"/>
          <w:szCs w:val="24"/>
        </w:rPr>
        <w:t>由于地震、水灾、火灾或政策法规变化等不能预见、不能避免、不能抗拒的原因，导致甲乙双方或一方不能履行或不能完全履行本协议项下的有关义务时，甲乙双方相互不承担违约责任；在不可抗力影响消除后的合理时间内，一方或双方应当继续履行本协议。</w:t>
      </w:r>
    </w:p>
    <w:p w14:paraId="689ADAD5">
      <w:pPr>
        <w:spacing w:line="240" w:lineRule="auto"/>
        <w:ind w:left="0" w:firstLine="0"/>
        <w:jc w:val="left"/>
        <w:rPr>
          <w:rFonts w:hint="eastAsia" w:ascii="宋体" w:hAnsi="宋体" w:eastAsia="宋体" w:cs="宋体"/>
          <w:b w:val="0"/>
          <w:bCs/>
          <w:sz w:val="24"/>
          <w:szCs w:val="24"/>
          <w:lang w:val="en-US" w:eastAsia="zh-CN"/>
        </w:rPr>
      </w:pPr>
    </w:p>
    <w:p w14:paraId="6A109755">
      <w:pPr>
        <w:spacing w:line="240" w:lineRule="auto"/>
        <w:ind w:left="0" w:firstLine="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附件1：</w:t>
      </w:r>
    </w:p>
    <w:p w14:paraId="0F135AFE">
      <w:pPr>
        <w:spacing w:line="240" w:lineRule="auto"/>
        <w:ind w:left="0" w:firstLine="0"/>
        <w:jc w:val="left"/>
        <w:rPr>
          <w:rFonts w:hint="eastAsia" w:ascii="宋体" w:hAnsi="宋体" w:eastAsia="宋体" w:cs="宋体"/>
          <w:b w:val="0"/>
          <w:bCs/>
          <w:sz w:val="24"/>
          <w:szCs w:val="24"/>
          <w:lang w:val="en-US" w:eastAsia="zh-CN"/>
        </w:rPr>
      </w:pPr>
    </w:p>
    <w:tbl>
      <w:tblPr>
        <w:tblStyle w:val="15"/>
        <w:tblW w:w="9638" w:type="dxa"/>
        <w:tblInd w:w="-25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25"/>
        <w:gridCol w:w="1170"/>
        <w:gridCol w:w="1201"/>
        <w:gridCol w:w="1532"/>
        <w:gridCol w:w="1177"/>
        <w:gridCol w:w="1597"/>
        <w:gridCol w:w="939"/>
        <w:gridCol w:w="997"/>
      </w:tblGrid>
      <w:tr w14:paraId="72FB2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638" w:type="dxa"/>
            <w:gridSpan w:val="8"/>
            <w:tcBorders>
              <w:top w:val="single" w:color="000000" w:sz="4" w:space="0"/>
              <w:left w:val="single" w:color="000000" w:sz="4" w:space="0"/>
              <w:bottom w:val="single" w:color="000000" w:sz="4" w:space="0"/>
              <w:right w:val="single" w:color="000000" w:sz="4" w:space="0"/>
            </w:tcBorders>
            <w:noWrap/>
            <w:vAlign w:val="center"/>
          </w:tcPr>
          <w:p w14:paraId="534E8602">
            <w:pPr>
              <w:keepNext w:val="0"/>
              <w:keepLines w:val="0"/>
              <w:widowControl/>
              <w:suppressLineNumbers w:val="0"/>
              <w:jc w:val="center"/>
              <w:textAlignment w:val="center"/>
              <w:rPr>
                <w:rFonts w:hint="eastAsia" w:ascii="宋体" w:hAnsi="宋体" w:eastAsia="宋体" w:cs="宋体"/>
                <w:b w:val="0"/>
                <w:bCs/>
                <w:i w:val="0"/>
                <w:iCs w:val="0"/>
                <w:color w:val="000000"/>
                <w:sz w:val="21"/>
                <w:szCs w:val="21"/>
                <w:u w:val="none"/>
              </w:rPr>
            </w:pPr>
            <w:r>
              <w:rPr>
                <w:rFonts w:hint="eastAsia" w:ascii="宋体" w:hAnsi="宋体" w:eastAsia="宋体" w:cs="宋体"/>
                <w:b w:val="0"/>
                <w:bCs/>
                <w:i w:val="0"/>
                <w:iCs w:val="0"/>
                <w:kern w:val="0"/>
                <w:sz w:val="21"/>
                <w:szCs w:val="21"/>
                <w:u w:val="none"/>
                <w:lang w:val="en-US" w:eastAsia="zh-CN" w:bidi="ar"/>
              </w:rPr>
              <w:t>合作涉及数据情况</w:t>
            </w:r>
          </w:p>
        </w:tc>
      </w:tr>
      <w:tr w14:paraId="5098D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025" w:type="dxa"/>
            <w:tcBorders>
              <w:top w:val="single" w:color="000000" w:sz="4" w:space="0"/>
              <w:left w:val="single" w:color="000000" w:sz="4" w:space="0"/>
              <w:bottom w:val="single" w:color="000000" w:sz="4" w:space="0"/>
              <w:right w:val="single" w:color="000000" w:sz="4" w:space="0"/>
            </w:tcBorders>
            <w:noWrap w:val="0"/>
            <w:vAlign w:val="center"/>
          </w:tcPr>
          <w:p w14:paraId="1B2752EF">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kern w:val="0"/>
                <w:sz w:val="21"/>
                <w:szCs w:val="21"/>
                <w:u w:val="none"/>
                <w:lang w:val="en-US" w:eastAsia="zh-CN" w:bidi="ar"/>
              </w:rPr>
            </w:pPr>
            <w:r>
              <w:rPr>
                <w:rFonts w:hint="eastAsia" w:ascii="宋体" w:hAnsi="宋体" w:eastAsia="宋体" w:cs="宋体"/>
                <w:b w:val="0"/>
                <w:bCs/>
                <w:i w:val="0"/>
                <w:iCs w:val="0"/>
                <w:kern w:val="0"/>
                <w:sz w:val="21"/>
                <w:szCs w:val="21"/>
                <w:u w:val="none"/>
                <w:lang w:val="en-US" w:eastAsia="zh-CN" w:bidi="ar"/>
              </w:rPr>
              <w:t>序号</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710E5CE0">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sz w:val="21"/>
                <w:szCs w:val="21"/>
                <w:u w:val="none"/>
                <w:lang w:bidi="ar"/>
              </w:rPr>
            </w:pPr>
            <w:r>
              <w:rPr>
                <w:rFonts w:hint="eastAsia" w:ascii="宋体" w:hAnsi="宋体" w:eastAsia="宋体" w:cs="宋体"/>
                <w:b w:val="0"/>
                <w:bCs/>
                <w:i w:val="0"/>
                <w:iCs w:val="0"/>
                <w:kern w:val="0"/>
                <w:sz w:val="21"/>
                <w:szCs w:val="21"/>
                <w:u w:val="none"/>
                <w:lang w:val="en-US" w:eastAsia="zh-CN" w:bidi="ar"/>
              </w:rPr>
              <w:t>数据名称</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111EA963">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sz w:val="21"/>
                <w:szCs w:val="21"/>
                <w:u w:val="none"/>
                <w:lang w:bidi="ar"/>
              </w:rPr>
            </w:pPr>
            <w:r>
              <w:rPr>
                <w:rFonts w:hint="eastAsia" w:ascii="宋体" w:hAnsi="宋体" w:eastAsia="宋体" w:cs="宋体"/>
                <w:b w:val="0"/>
                <w:bCs/>
                <w:i w:val="0"/>
                <w:iCs w:val="0"/>
                <w:kern w:val="0"/>
                <w:sz w:val="21"/>
                <w:szCs w:val="21"/>
                <w:u w:val="none"/>
                <w:lang w:val="en-US" w:eastAsia="zh-CN" w:bidi="ar"/>
              </w:rPr>
              <w:t>数据数量</w:t>
            </w:r>
          </w:p>
        </w:tc>
        <w:tc>
          <w:tcPr>
            <w:tcW w:w="1532" w:type="dxa"/>
            <w:tcBorders>
              <w:top w:val="single" w:color="000000" w:sz="4" w:space="0"/>
              <w:left w:val="single" w:color="000000" w:sz="4" w:space="0"/>
              <w:bottom w:val="single" w:color="000000" w:sz="4" w:space="0"/>
              <w:right w:val="single" w:color="000000" w:sz="4" w:space="0"/>
            </w:tcBorders>
            <w:noWrap w:val="0"/>
            <w:vAlign w:val="center"/>
          </w:tcPr>
          <w:p w14:paraId="54B6BDE0">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sz w:val="21"/>
                <w:szCs w:val="21"/>
                <w:u w:val="none"/>
                <w:lang w:bidi="ar"/>
              </w:rPr>
            </w:pPr>
            <w:r>
              <w:rPr>
                <w:rFonts w:hint="eastAsia" w:ascii="宋体" w:hAnsi="宋体" w:eastAsia="宋体" w:cs="宋体"/>
                <w:b w:val="0"/>
                <w:bCs/>
                <w:i w:val="0"/>
                <w:iCs w:val="0"/>
                <w:kern w:val="0"/>
                <w:sz w:val="21"/>
                <w:szCs w:val="21"/>
                <w:u w:val="none"/>
                <w:lang w:val="en-US" w:eastAsia="zh-CN" w:bidi="ar"/>
              </w:rPr>
              <w:t>数据级别</w:t>
            </w:r>
          </w:p>
        </w:tc>
        <w:tc>
          <w:tcPr>
            <w:tcW w:w="1177" w:type="dxa"/>
            <w:tcBorders>
              <w:top w:val="single" w:color="000000" w:sz="4" w:space="0"/>
              <w:left w:val="single" w:color="000000" w:sz="4" w:space="0"/>
              <w:bottom w:val="single" w:color="000000" w:sz="4" w:space="0"/>
              <w:right w:val="single" w:color="000000" w:sz="4" w:space="0"/>
            </w:tcBorders>
            <w:noWrap w:val="0"/>
            <w:vAlign w:val="center"/>
          </w:tcPr>
          <w:p w14:paraId="1980989C">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sz w:val="21"/>
                <w:szCs w:val="21"/>
                <w:u w:val="none"/>
                <w:lang w:bidi="ar"/>
              </w:rPr>
            </w:pPr>
            <w:r>
              <w:rPr>
                <w:rFonts w:hint="eastAsia" w:ascii="宋体" w:hAnsi="宋体" w:eastAsia="宋体" w:cs="宋体"/>
                <w:b w:val="0"/>
                <w:bCs/>
                <w:i w:val="0"/>
                <w:iCs w:val="0"/>
                <w:kern w:val="0"/>
                <w:sz w:val="21"/>
                <w:szCs w:val="21"/>
                <w:u w:val="none"/>
                <w:lang w:val="en-US" w:eastAsia="zh-CN" w:bidi="ar"/>
              </w:rPr>
              <w:t>数据类别</w:t>
            </w:r>
          </w:p>
        </w:tc>
        <w:tc>
          <w:tcPr>
            <w:tcW w:w="1597" w:type="dxa"/>
            <w:tcBorders>
              <w:top w:val="single" w:color="000000" w:sz="4" w:space="0"/>
              <w:left w:val="single" w:color="000000" w:sz="4" w:space="0"/>
              <w:bottom w:val="single" w:color="000000" w:sz="4" w:space="0"/>
              <w:right w:val="single" w:color="000000" w:sz="4" w:space="0"/>
            </w:tcBorders>
            <w:noWrap w:val="0"/>
            <w:vAlign w:val="center"/>
          </w:tcPr>
          <w:p w14:paraId="684BB312">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sz w:val="21"/>
                <w:szCs w:val="21"/>
                <w:u w:val="none"/>
                <w:lang w:bidi="ar"/>
              </w:rPr>
            </w:pPr>
            <w:r>
              <w:rPr>
                <w:rFonts w:hint="eastAsia" w:ascii="宋体" w:hAnsi="宋体" w:eastAsia="宋体" w:cs="宋体"/>
                <w:b w:val="0"/>
                <w:bCs/>
                <w:i w:val="0"/>
                <w:iCs w:val="0"/>
                <w:kern w:val="0"/>
                <w:sz w:val="21"/>
                <w:szCs w:val="21"/>
                <w:u w:val="none"/>
                <w:lang w:val="en-US" w:eastAsia="zh-CN" w:bidi="ar"/>
              </w:rPr>
              <w:t>数据处理方式</w:t>
            </w:r>
          </w:p>
        </w:tc>
        <w:tc>
          <w:tcPr>
            <w:tcW w:w="939" w:type="dxa"/>
            <w:tcBorders>
              <w:top w:val="single" w:color="000000" w:sz="4" w:space="0"/>
              <w:left w:val="single" w:color="000000" w:sz="4" w:space="0"/>
              <w:bottom w:val="single" w:color="000000" w:sz="4" w:space="0"/>
              <w:right w:val="single" w:color="000000" w:sz="4" w:space="0"/>
            </w:tcBorders>
            <w:noWrap w:val="0"/>
            <w:vAlign w:val="center"/>
          </w:tcPr>
          <w:p w14:paraId="648EDD91">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sz w:val="21"/>
                <w:szCs w:val="21"/>
                <w:u w:val="none"/>
                <w:lang w:bidi="ar"/>
              </w:rPr>
            </w:pPr>
            <w:r>
              <w:rPr>
                <w:rFonts w:hint="eastAsia" w:ascii="宋体" w:hAnsi="宋体" w:eastAsia="宋体" w:cs="宋体"/>
                <w:b w:val="0"/>
                <w:bCs/>
                <w:i w:val="0"/>
                <w:iCs w:val="0"/>
                <w:kern w:val="0"/>
                <w:sz w:val="21"/>
                <w:szCs w:val="21"/>
                <w:u w:val="none"/>
                <w:lang w:val="en-US" w:eastAsia="zh-CN" w:bidi="ar"/>
              </w:rPr>
              <w:t>数据处理目的</w:t>
            </w:r>
          </w:p>
        </w:tc>
        <w:tc>
          <w:tcPr>
            <w:tcW w:w="997" w:type="dxa"/>
            <w:tcBorders>
              <w:top w:val="single" w:color="000000" w:sz="4" w:space="0"/>
              <w:left w:val="single" w:color="000000" w:sz="4" w:space="0"/>
              <w:bottom w:val="single" w:color="000000" w:sz="4" w:space="0"/>
              <w:right w:val="single" w:color="000000" w:sz="4" w:space="0"/>
            </w:tcBorders>
            <w:noWrap w:val="0"/>
            <w:vAlign w:val="center"/>
          </w:tcPr>
          <w:p w14:paraId="6E7122A3">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sz w:val="21"/>
                <w:szCs w:val="21"/>
                <w:u w:val="none"/>
                <w:lang w:bidi="ar"/>
              </w:rPr>
            </w:pPr>
            <w:r>
              <w:rPr>
                <w:rFonts w:hint="eastAsia" w:ascii="宋体" w:hAnsi="宋体" w:eastAsia="宋体" w:cs="宋体"/>
                <w:b w:val="0"/>
                <w:bCs/>
                <w:i w:val="0"/>
                <w:iCs w:val="0"/>
                <w:kern w:val="0"/>
                <w:sz w:val="21"/>
                <w:szCs w:val="21"/>
                <w:u w:val="none"/>
                <w:lang w:val="en-US" w:eastAsia="zh-CN" w:bidi="ar"/>
              </w:rPr>
              <w:t>数据处理范围</w:t>
            </w:r>
          </w:p>
        </w:tc>
      </w:tr>
      <w:tr w14:paraId="28A57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1025" w:type="dxa"/>
            <w:tcBorders>
              <w:top w:val="single" w:color="000000" w:sz="4" w:space="0"/>
              <w:left w:val="single" w:color="000000" w:sz="4" w:space="0"/>
              <w:bottom w:val="single" w:color="000000" w:sz="4" w:space="0"/>
              <w:right w:val="single" w:color="000000" w:sz="4" w:space="0"/>
            </w:tcBorders>
            <w:noWrap/>
            <w:vAlign w:val="center"/>
          </w:tcPr>
          <w:p w14:paraId="67B3FEA7">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kern w:val="0"/>
                <w:sz w:val="21"/>
                <w:szCs w:val="21"/>
                <w:u w:val="none"/>
                <w:lang w:val="en-US" w:eastAsia="zh-CN" w:bidi="ar"/>
              </w:rPr>
            </w:pPr>
            <w:r>
              <w:rPr>
                <w:rFonts w:hint="eastAsia" w:ascii="宋体" w:hAnsi="宋体" w:eastAsia="宋体" w:cs="宋体"/>
                <w:b w:val="0"/>
                <w:bCs/>
                <w:i w:val="0"/>
                <w:iCs w:val="0"/>
                <w:kern w:val="0"/>
                <w:sz w:val="21"/>
                <w:szCs w:val="21"/>
                <w:u w:val="none"/>
                <w:lang w:val="en-US" w:eastAsia="zh-CN" w:bidi="ar"/>
              </w:rPr>
              <w:t>说明</w:t>
            </w:r>
          </w:p>
        </w:tc>
        <w:tc>
          <w:tcPr>
            <w:tcW w:w="1170" w:type="dxa"/>
            <w:tcBorders>
              <w:top w:val="single" w:color="000000" w:sz="4" w:space="0"/>
              <w:left w:val="single" w:color="000000" w:sz="4" w:space="0"/>
              <w:bottom w:val="single" w:color="000000" w:sz="4" w:space="0"/>
              <w:right w:val="single" w:color="000000" w:sz="4" w:space="0"/>
            </w:tcBorders>
            <w:noWrap/>
            <w:vAlign w:val="center"/>
          </w:tcPr>
          <w:p w14:paraId="57111F00">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sz w:val="21"/>
                <w:szCs w:val="21"/>
                <w:u w:val="none"/>
                <w:lang w:bidi="ar"/>
              </w:rPr>
            </w:pPr>
            <w:r>
              <w:rPr>
                <w:rFonts w:hint="eastAsia" w:ascii="宋体" w:hAnsi="宋体" w:eastAsia="宋体" w:cs="宋体"/>
                <w:b w:val="0"/>
                <w:bCs/>
                <w:i w:val="0"/>
                <w:iCs w:val="0"/>
                <w:kern w:val="0"/>
                <w:sz w:val="21"/>
                <w:szCs w:val="21"/>
                <w:u w:val="none"/>
                <w:lang w:val="en-US" w:eastAsia="zh-CN" w:bidi="ar"/>
              </w:rPr>
              <w:t>根据合作实际情况填写</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1E7A1449">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sz w:val="21"/>
                <w:szCs w:val="21"/>
                <w:u w:val="none"/>
                <w:lang w:bidi="ar"/>
              </w:rPr>
            </w:pPr>
            <w:r>
              <w:rPr>
                <w:rFonts w:hint="eastAsia" w:ascii="宋体" w:hAnsi="宋体" w:eastAsia="宋体" w:cs="宋体"/>
                <w:b w:val="0"/>
                <w:bCs/>
                <w:i w:val="0"/>
                <w:iCs w:val="0"/>
                <w:kern w:val="0"/>
                <w:sz w:val="21"/>
                <w:szCs w:val="21"/>
                <w:u w:val="none"/>
                <w:lang w:val="en-US" w:eastAsia="zh-CN" w:bidi="ar"/>
              </w:rPr>
              <w:t>电子化数据填写大小，单位GB；</w:t>
            </w:r>
            <w:r>
              <w:rPr>
                <w:rFonts w:hint="eastAsia" w:ascii="宋体" w:hAnsi="宋体" w:eastAsia="宋体" w:cs="宋体"/>
                <w:b w:val="0"/>
                <w:bCs/>
                <w:i w:val="0"/>
                <w:iCs w:val="0"/>
                <w:kern w:val="0"/>
                <w:sz w:val="21"/>
                <w:szCs w:val="21"/>
                <w:u w:val="none"/>
                <w:lang w:val="en-US" w:eastAsia="zh-CN" w:bidi="ar"/>
              </w:rPr>
              <w:br w:type="textWrapping"/>
            </w:r>
            <w:r>
              <w:rPr>
                <w:rFonts w:hint="eastAsia" w:ascii="宋体" w:hAnsi="宋体" w:eastAsia="宋体" w:cs="宋体"/>
                <w:b w:val="0"/>
                <w:bCs/>
                <w:i w:val="0"/>
                <w:iCs w:val="0"/>
                <w:kern w:val="0"/>
                <w:sz w:val="21"/>
                <w:szCs w:val="21"/>
                <w:u w:val="none"/>
                <w:lang w:val="en-US" w:eastAsia="zh-CN" w:bidi="ar"/>
              </w:rPr>
              <w:t>非电子化数据填写条数</w:t>
            </w:r>
          </w:p>
        </w:tc>
        <w:tc>
          <w:tcPr>
            <w:tcW w:w="1532" w:type="dxa"/>
            <w:tcBorders>
              <w:top w:val="single" w:color="000000" w:sz="4" w:space="0"/>
              <w:left w:val="single" w:color="000000" w:sz="4" w:space="0"/>
              <w:bottom w:val="single" w:color="000000" w:sz="4" w:space="0"/>
              <w:right w:val="single" w:color="000000" w:sz="4" w:space="0"/>
            </w:tcBorders>
            <w:noWrap/>
            <w:vAlign w:val="center"/>
          </w:tcPr>
          <w:p w14:paraId="59BB075A">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sz w:val="21"/>
                <w:szCs w:val="21"/>
                <w:u w:val="none"/>
                <w:lang w:bidi="ar"/>
              </w:rPr>
            </w:pPr>
            <w:r>
              <w:rPr>
                <w:rFonts w:hint="eastAsia" w:ascii="宋体" w:hAnsi="宋体" w:eastAsia="宋体" w:cs="宋体"/>
                <w:b w:val="0"/>
                <w:bCs/>
                <w:i w:val="0"/>
                <w:iCs w:val="0"/>
                <w:kern w:val="0"/>
                <w:sz w:val="21"/>
                <w:szCs w:val="21"/>
                <w:u w:val="none"/>
                <w:lang w:val="en-US" w:eastAsia="zh-CN" w:bidi="ar"/>
              </w:rPr>
              <w:t>参考数据分类分级表</w:t>
            </w:r>
          </w:p>
        </w:tc>
        <w:tc>
          <w:tcPr>
            <w:tcW w:w="1177" w:type="dxa"/>
            <w:tcBorders>
              <w:top w:val="single" w:color="000000" w:sz="4" w:space="0"/>
              <w:left w:val="single" w:color="000000" w:sz="4" w:space="0"/>
              <w:bottom w:val="single" w:color="000000" w:sz="4" w:space="0"/>
              <w:right w:val="single" w:color="000000" w:sz="4" w:space="0"/>
            </w:tcBorders>
            <w:noWrap/>
            <w:vAlign w:val="center"/>
          </w:tcPr>
          <w:p w14:paraId="4AE808D9">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sz w:val="21"/>
                <w:szCs w:val="21"/>
                <w:u w:val="none"/>
                <w:lang w:bidi="ar"/>
              </w:rPr>
            </w:pPr>
            <w:r>
              <w:rPr>
                <w:rFonts w:hint="eastAsia" w:ascii="宋体" w:hAnsi="宋体" w:eastAsia="宋体" w:cs="宋体"/>
                <w:b w:val="0"/>
                <w:bCs/>
                <w:i w:val="0"/>
                <w:iCs w:val="0"/>
                <w:kern w:val="0"/>
                <w:sz w:val="21"/>
                <w:szCs w:val="21"/>
                <w:u w:val="none"/>
                <w:lang w:val="en-US" w:eastAsia="zh-CN" w:bidi="ar"/>
              </w:rPr>
              <w:t>参考数据分类分级表</w:t>
            </w:r>
          </w:p>
        </w:tc>
        <w:tc>
          <w:tcPr>
            <w:tcW w:w="1597" w:type="dxa"/>
            <w:tcBorders>
              <w:top w:val="single" w:color="000000" w:sz="4" w:space="0"/>
              <w:left w:val="single" w:color="000000" w:sz="4" w:space="0"/>
              <w:bottom w:val="single" w:color="000000" w:sz="4" w:space="0"/>
              <w:right w:val="single" w:color="000000" w:sz="4" w:space="0"/>
            </w:tcBorders>
            <w:noWrap w:val="0"/>
            <w:vAlign w:val="center"/>
          </w:tcPr>
          <w:p w14:paraId="6DB08790">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sz w:val="21"/>
                <w:szCs w:val="21"/>
                <w:u w:val="none"/>
                <w:lang w:bidi="ar"/>
              </w:rPr>
            </w:pPr>
            <w:r>
              <w:rPr>
                <w:rFonts w:hint="eastAsia" w:ascii="宋体" w:hAnsi="宋体" w:eastAsia="宋体" w:cs="宋体"/>
                <w:b w:val="0"/>
                <w:bCs/>
                <w:i w:val="0"/>
                <w:iCs w:val="0"/>
                <w:kern w:val="0"/>
                <w:sz w:val="21"/>
                <w:szCs w:val="21"/>
                <w:u w:val="none"/>
                <w:lang w:val="en-US" w:eastAsia="zh-CN" w:bidi="ar"/>
              </w:rPr>
              <w:t>选择收集、存储、使用、加工、传输、提供、公开、销毁，可多选</w:t>
            </w:r>
          </w:p>
        </w:tc>
        <w:tc>
          <w:tcPr>
            <w:tcW w:w="939" w:type="dxa"/>
            <w:tcBorders>
              <w:top w:val="single" w:color="000000" w:sz="4" w:space="0"/>
              <w:left w:val="single" w:color="000000" w:sz="4" w:space="0"/>
              <w:bottom w:val="single" w:color="000000" w:sz="4" w:space="0"/>
              <w:right w:val="single" w:color="000000" w:sz="4" w:space="0"/>
            </w:tcBorders>
            <w:noWrap/>
            <w:vAlign w:val="center"/>
          </w:tcPr>
          <w:p w14:paraId="268CD784">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sz w:val="21"/>
                <w:szCs w:val="21"/>
                <w:u w:val="none"/>
                <w:lang w:bidi="ar"/>
              </w:rPr>
            </w:pPr>
            <w:r>
              <w:rPr>
                <w:rFonts w:hint="eastAsia" w:ascii="宋体" w:hAnsi="宋体" w:eastAsia="宋体" w:cs="宋体"/>
                <w:b w:val="0"/>
                <w:bCs/>
                <w:i w:val="0"/>
                <w:iCs w:val="0"/>
                <w:kern w:val="0"/>
                <w:sz w:val="21"/>
                <w:szCs w:val="21"/>
                <w:u w:val="none"/>
                <w:lang w:val="en-US" w:eastAsia="zh-CN" w:bidi="ar"/>
              </w:rPr>
              <w:t>根据合作实际情况填写</w:t>
            </w:r>
          </w:p>
        </w:tc>
        <w:tc>
          <w:tcPr>
            <w:tcW w:w="997" w:type="dxa"/>
            <w:tcBorders>
              <w:top w:val="single" w:color="000000" w:sz="4" w:space="0"/>
              <w:left w:val="single" w:color="000000" w:sz="4" w:space="0"/>
              <w:bottom w:val="single" w:color="000000" w:sz="4" w:space="0"/>
              <w:right w:val="single" w:color="000000" w:sz="4" w:space="0"/>
            </w:tcBorders>
            <w:noWrap/>
            <w:vAlign w:val="center"/>
          </w:tcPr>
          <w:p w14:paraId="6CAB751B">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sz w:val="21"/>
                <w:szCs w:val="21"/>
                <w:u w:val="none"/>
                <w:lang w:bidi="ar"/>
              </w:rPr>
            </w:pPr>
            <w:r>
              <w:rPr>
                <w:rFonts w:hint="eastAsia" w:ascii="宋体" w:hAnsi="宋体" w:eastAsia="宋体" w:cs="宋体"/>
                <w:b w:val="0"/>
                <w:bCs/>
                <w:i w:val="0"/>
                <w:iCs w:val="0"/>
                <w:kern w:val="0"/>
                <w:sz w:val="21"/>
                <w:szCs w:val="21"/>
                <w:u w:val="none"/>
                <w:lang w:val="en-US" w:eastAsia="zh-CN" w:bidi="ar"/>
              </w:rPr>
              <w:t>根据合作实际情况填写</w:t>
            </w:r>
          </w:p>
        </w:tc>
      </w:tr>
      <w:tr w14:paraId="7BEB8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trPr>
        <w:tc>
          <w:tcPr>
            <w:tcW w:w="1025" w:type="dxa"/>
            <w:tcBorders>
              <w:top w:val="single" w:color="000000" w:sz="4" w:space="0"/>
              <w:left w:val="single" w:color="000000" w:sz="4" w:space="0"/>
              <w:bottom w:val="single" w:color="000000" w:sz="4" w:space="0"/>
              <w:right w:val="single" w:color="000000" w:sz="4" w:space="0"/>
            </w:tcBorders>
            <w:noWrap/>
            <w:vAlign w:val="center"/>
          </w:tcPr>
          <w:p w14:paraId="325A4A4F">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kern w:val="0"/>
                <w:sz w:val="21"/>
                <w:szCs w:val="21"/>
                <w:u w:val="none"/>
                <w:lang w:val="en-US" w:eastAsia="zh-CN" w:bidi="ar"/>
              </w:rPr>
            </w:pPr>
            <w:r>
              <w:rPr>
                <w:rFonts w:hint="eastAsia" w:ascii="宋体" w:hAnsi="宋体" w:eastAsia="宋体" w:cs="宋体"/>
                <w:b w:val="0"/>
                <w:bCs/>
                <w:i w:val="0"/>
                <w:iCs w:val="0"/>
                <w:kern w:val="0"/>
                <w:sz w:val="21"/>
                <w:szCs w:val="21"/>
                <w:u w:val="none"/>
                <w:lang w:val="en-US" w:eastAsia="zh-CN" w:bidi="ar"/>
              </w:rPr>
              <w:t>举例</w:t>
            </w:r>
          </w:p>
        </w:tc>
        <w:tc>
          <w:tcPr>
            <w:tcW w:w="1170" w:type="dxa"/>
            <w:tcBorders>
              <w:top w:val="single" w:color="000000" w:sz="4" w:space="0"/>
              <w:left w:val="single" w:color="000000" w:sz="4" w:space="0"/>
              <w:bottom w:val="single" w:color="000000" w:sz="4" w:space="0"/>
              <w:right w:val="single" w:color="000000" w:sz="4" w:space="0"/>
            </w:tcBorders>
            <w:noWrap/>
            <w:vAlign w:val="center"/>
          </w:tcPr>
          <w:p w14:paraId="31AC740A">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sz w:val="21"/>
                <w:szCs w:val="21"/>
                <w:u w:val="none"/>
                <w:lang w:bidi="ar"/>
              </w:rPr>
            </w:pPr>
            <w:r>
              <w:rPr>
                <w:rFonts w:hint="eastAsia" w:ascii="宋体" w:hAnsi="宋体" w:eastAsia="宋体" w:cs="宋体"/>
                <w:b w:val="0"/>
                <w:bCs/>
                <w:i w:val="0"/>
                <w:iCs w:val="0"/>
                <w:kern w:val="0"/>
                <w:sz w:val="21"/>
                <w:szCs w:val="21"/>
                <w:u w:val="none"/>
                <w:lang w:val="en-US" w:eastAsia="zh-CN" w:bidi="ar"/>
              </w:rPr>
              <w:t>用户上网日志</w:t>
            </w:r>
          </w:p>
        </w:tc>
        <w:tc>
          <w:tcPr>
            <w:tcW w:w="1201" w:type="dxa"/>
            <w:tcBorders>
              <w:top w:val="single" w:color="000000" w:sz="4" w:space="0"/>
              <w:left w:val="single" w:color="000000" w:sz="4" w:space="0"/>
              <w:bottom w:val="single" w:color="000000" w:sz="4" w:space="0"/>
              <w:right w:val="single" w:color="000000" w:sz="4" w:space="0"/>
            </w:tcBorders>
            <w:noWrap/>
            <w:vAlign w:val="center"/>
          </w:tcPr>
          <w:p w14:paraId="7510AF83">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sz w:val="21"/>
                <w:szCs w:val="21"/>
                <w:u w:val="none"/>
                <w:lang w:bidi="ar"/>
              </w:rPr>
            </w:pPr>
            <w:r>
              <w:rPr>
                <w:rFonts w:hint="eastAsia" w:ascii="宋体" w:hAnsi="宋体" w:eastAsia="宋体" w:cs="宋体"/>
                <w:b w:val="0"/>
                <w:bCs/>
                <w:i w:val="0"/>
                <w:iCs w:val="0"/>
                <w:kern w:val="0"/>
                <w:sz w:val="21"/>
                <w:szCs w:val="21"/>
                <w:u w:val="none"/>
                <w:lang w:val="en-US" w:eastAsia="zh-CN" w:bidi="ar"/>
              </w:rPr>
              <w:t>1GB</w:t>
            </w:r>
          </w:p>
        </w:tc>
        <w:tc>
          <w:tcPr>
            <w:tcW w:w="1532" w:type="dxa"/>
            <w:tcBorders>
              <w:top w:val="single" w:color="000000" w:sz="4" w:space="0"/>
              <w:left w:val="single" w:color="000000" w:sz="4" w:space="0"/>
              <w:bottom w:val="single" w:color="000000" w:sz="4" w:space="0"/>
              <w:right w:val="single" w:color="000000" w:sz="4" w:space="0"/>
            </w:tcBorders>
            <w:noWrap/>
            <w:vAlign w:val="center"/>
          </w:tcPr>
          <w:p w14:paraId="655E24C8">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sz w:val="21"/>
                <w:szCs w:val="21"/>
                <w:u w:val="none"/>
                <w:lang w:bidi="ar"/>
              </w:rPr>
            </w:pPr>
            <w:r>
              <w:rPr>
                <w:rFonts w:hint="eastAsia" w:ascii="宋体" w:hAnsi="宋体" w:eastAsia="宋体" w:cs="宋体"/>
                <w:b w:val="0"/>
                <w:bCs/>
                <w:i w:val="0"/>
                <w:iCs w:val="0"/>
                <w:kern w:val="0"/>
                <w:sz w:val="21"/>
                <w:szCs w:val="21"/>
                <w:u w:val="none"/>
                <w:lang w:val="en-US" w:eastAsia="zh-CN" w:bidi="ar"/>
              </w:rPr>
              <w:t>一般数据-3级</w:t>
            </w:r>
          </w:p>
        </w:tc>
        <w:tc>
          <w:tcPr>
            <w:tcW w:w="1177" w:type="dxa"/>
            <w:tcBorders>
              <w:top w:val="single" w:color="000000" w:sz="4" w:space="0"/>
              <w:left w:val="single" w:color="000000" w:sz="4" w:space="0"/>
              <w:bottom w:val="single" w:color="000000" w:sz="4" w:space="0"/>
              <w:right w:val="single" w:color="000000" w:sz="4" w:space="0"/>
            </w:tcBorders>
            <w:noWrap/>
            <w:vAlign w:val="center"/>
          </w:tcPr>
          <w:p w14:paraId="73914876">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sz w:val="21"/>
                <w:szCs w:val="21"/>
                <w:u w:val="none"/>
                <w:lang w:bidi="ar"/>
              </w:rPr>
            </w:pPr>
            <w:r>
              <w:rPr>
                <w:rFonts w:hint="eastAsia" w:ascii="宋体" w:hAnsi="宋体" w:eastAsia="宋体" w:cs="宋体"/>
                <w:b w:val="0"/>
                <w:bCs/>
                <w:i w:val="0"/>
                <w:iCs w:val="0"/>
                <w:kern w:val="0"/>
                <w:sz w:val="21"/>
                <w:szCs w:val="21"/>
                <w:u w:val="none"/>
                <w:lang w:val="en-US" w:eastAsia="zh-CN" w:bidi="ar"/>
              </w:rPr>
              <w:t xml:space="preserve">C1-2：服务记录和日志 </w:t>
            </w:r>
          </w:p>
        </w:tc>
        <w:tc>
          <w:tcPr>
            <w:tcW w:w="1597" w:type="dxa"/>
            <w:tcBorders>
              <w:top w:val="single" w:color="000000" w:sz="4" w:space="0"/>
              <w:left w:val="single" w:color="000000" w:sz="4" w:space="0"/>
              <w:bottom w:val="single" w:color="000000" w:sz="4" w:space="0"/>
              <w:right w:val="single" w:color="000000" w:sz="4" w:space="0"/>
            </w:tcBorders>
            <w:noWrap/>
            <w:vAlign w:val="center"/>
          </w:tcPr>
          <w:p w14:paraId="4FC0EBFD">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sz w:val="21"/>
                <w:szCs w:val="21"/>
                <w:u w:val="none"/>
                <w:lang w:bidi="ar"/>
              </w:rPr>
            </w:pPr>
            <w:r>
              <w:rPr>
                <w:rFonts w:hint="eastAsia" w:ascii="宋体" w:hAnsi="宋体" w:eastAsia="宋体" w:cs="宋体"/>
                <w:b w:val="0"/>
                <w:bCs/>
                <w:i w:val="0"/>
                <w:iCs w:val="0"/>
                <w:kern w:val="0"/>
                <w:sz w:val="21"/>
                <w:szCs w:val="21"/>
                <w:u w:val="none"/>
                <w:lang w:val="en-US" w:eastAsia="zh-CN" w:bidi="ar"/>
              </w:rPr>
              <w:t>收集、存储、传输、提供</w:t>
            </w:r>
          </w:p>
        </w:tc>
        <w:tc>
          <w:tcPr>
            <w:tcW w:w="939" w:type="dxa"/>
            <w:tcBorders>
              <w:top w:val="single" w:color="000000" w:sz="4" w:space="0"/>
              <w:left w:val="single" w:color="000000" w:sz="4" w:space="0"/>
              <w:bottom w:val="single" w:color="000000" w:sz="4" w:space="0"/>
              <w:right w:val="single" w:color="000000" w:sz="4" w:space="0"/>
            </w:tcBorders>
            <w:noWrap/>
            <w:vAlign w:val="center"/>
          </w:tcPr>
          <w:p w14:paraId="6D76383A">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sz w:val="21"/>
                <w:szCs w:val="21"/>
                <w:u w:val="none"/>
                <w:lang w:bidi="ar"/>
              </w:rPr>
            </w:pPr>
            <w:r>
              <w:rPr>
                <w:rFonts w:hint="eastAsia" w:ascii="宋体" w:hAnsi="宋体" w:eastAsia="宋体" w:cs="宋体"/>
                <w:b w:val="0"/>
                <w:bCs/>
                <w:i w:val="0"/>
                <w:iCs w:val="0"/>
                <w:kern w:val="0"/>
                <w:sz w:val="21"/>
                <w:szCs w:val="21"/>
                <w:u w:val="none"/>
                <w:lang w:val="en-US" w:eastAsia="zh-CN" w:bidi="ar"/>
              </w:rPr>
              <w:t>XX系统的运维支撑</w:t>
            </w:r>
          </w:p>
        </w:tc>
        <w:tc>
          <w:tcPr>
            <w:tcW w:w="997" w:type="dxa"/>
            <w:tcBorders>
              <w:top w:val="single" w:color="000000" w:sz="4" w:space="0"/>
              <w:left w:val="single" w:color="000000" w:sz="4" w:space="0"/>
              <w:bottom w:val="single" w:color="000000" w:sz="4" w:space="0"/>
              <w:right w:val="single" w:color="000000" w:sz="4" w:space="0"/>
            </w:tcBorders>
            <w:noWrap w:val="0"/>
            <w:vAlign w:val="center"/>
          </w:tcPr>
          <w:p w14:paraId="28A6668D">
            <w:pPr>
              <w:keepNext w:val="0"/>
              <w:keepLines w:val="0"/>
              <w:widowControl/>
              <w:suppressLineNumbers w:val="0"/>
              <w:spacing w:before="120" w:after="120" w:line="360" w:lineRule="auto"/>
              <w:jc w:val="both"/>
              <w:textAlignment w:val="auto"/>
              <w:rPr>
                <w:rFonts w:hint="eastAsia" w:ascii="宋体" w:hAnsi="宋体" w:eastAsia="宋体" w:cs="宋体"/>
                <w:b w:val="0"/>
                <w:bCs/>
                <w:i w:val="0"/>
                <w:iCs w:val="0"/>
                <w:sz w:val="21"/>
                <w:szCs w:val="21"/>
                <w:u w:val="none"/>
                <w:lang w:bidi="ar"/>
              </w:rPr>
            </w:pPr>
            <w:r>
              <w:rPr>
                <w:rFonts w:hint="eastAsia" w:ascii="宋体" w:hAnsi="宋体" w:eastAsia="宋体" w:cs="宋体"/>
                <w:b w:val="0"/>
                <w:bCs/>
                <w:i w:val="0"/>
                <w:iCs w:val="0"/>
                <w:kern w:val="0"/>
                <w:sz w:val="21"/>
                <w:szCs w:val="21"/>
                <w:u w:val="none"/>
                <w:lang w:val="en-US" w:eastAsia="zh-CN" w:bidi="ar"/>
              </w:rPr>
              <w:t>XX系统的用户上网日志数据</w:t>
            </w:r>
          </w:p>
        </w:tc>
      </w:tr>
      <w:tr w14:paraId="1A496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025" w:type="dxa"/>
            <w:tcBorders>
              <w:top w:val="single" w:color="000000" w:sz="4" w:space="0"/>
              <w:left w:val="single" w:color="000000" w:sz="4" w:space="0"/>
              <w:bottom w:val="single" w:color="000000" w:sz="4" w:space="0"/>
              <w:right w:val="single" w:color="000000" w:sz="4" w:space="0"/>
            </w:tcBorders>
            <w:noWrap/>
            <w:vAlign w:val="center"/>
          </w:tcPr>
          <w:p w14:paraId="20E04CF2">
            <w:pPr>
              <w:spacing w:before="120" w:after="120" w:line="360" w:lineRule="auto"/>
              <w:jc w:val="both"/>
              <w:rPr>
                <w:rFonts w:hint="eastAsia" w:ascii="宋体" w:hAnsi="宋体" w:eastAsia="宋体" w:cs="宋体"/>
                <w:b w:val="0"/>
                <w:bCs/>
                <w:i w:val="0"/>
                <w:iCs w:val="0"/>
                <w:sz w:val="21"/>
                <w:szCs w:val="21"/>
                <w:u w:val="none"/>
                <w:lang w:val="en-US" w:eastAsia="zh-CN" w:bidi="ar"/>
              </w:rPr>
            </w:pPr>
            <w:r>
              <w:rPr>
                <w:rFonts w:hint="eastAsia" w:ascii="宋体" w:hAnsi="宋体" w:eastAsia="宋体" w:cs="宋体"/>
                <w:b w:val="0"/>
                <w:bCs/>
                <w:i w:val="0"/>
                <w:iCs w:val="0"/>
                <w:sz w:val="21"/>
                <w:szCs w:val="21"/>
                <w:u w:val="none"/>
                <w:lang w:val="en-US" w:eastAsia="zh-CN" w:bidi="ar"/>
              </w:rPr>
              <w:t>1</w:t>
            </w:r>
          </w:p>
        </w:tc>
        <w:tc>
          <w:tcPr>
            <w:tcW w:w="1170" w:type="dxa"/>
            <w:tcBorders>
              <w:top w:val="single" w:color="000000" w:sz="4" w:space="0"/>
              <w:left w:val="single" w:color="000000" w:sz="4" w:space="0"/>
              <w:bottom w:val="single" w:color="000000" w:sz="4" w:space="0"/>
              <w:right w:val="single" w:color="000000" w:sz="4" w:space="0"/>
            </w:tcBorders>
            <w:noWrap/>
            <w:vAlign w:val="center"/>
          </w:tcPr>
          <w:p w14:paraId="2607738A">
            <w:pPr>
              <w:spacing w:before="120" w:after="120" w:line="360" w:lineRule="auto"/>
              <w:jc w:val="both"/>
              <w:rPr>
                <w:rFonts w:hint="eastAsia" w:ascii="宋体" w:hAnsi="宋体" w:eastAsia="宋体" w:cs="宋体"/>
                <w:b w:val="0"/>
                <w:bCs/>
                <w:i w:val="0"/>
                <w:iCs w:val="0"/>
                <w:sz w:val="21"/>
                <w:szCs w:val="21"/>
                <w:u w:val="none"/>
                <w:lang w:bidi="ar"/>
              </w:rPr>
            </w:pPr>
          </w:p>
        </w:tc>
        <w:tc>
          <w:tcPr>
            <w:tcW w:w="1201" w:type="dxa"/>
            <w:tcBorders>
              <w:top w:val="single" w:color="000000" w:sz="4" w:space="0"/>
              <w:left w:val="single" w:color="000000" w:sz="4" w:space="0"/>
              <w:bottom w:val="single" w:color="000000" w:sz="4" w:space="0"/>
              <w:right w:val="single" w:color="000000" w:sz="4" w:space="0"/>
            </w:tcBorders>
            <w:noWrap/>
            <w:vAlign w:val="center"/>
          </w:tcPr>
          <w:p w14:paraId="5852CA73">
            <w:pPr>
              <w:spacing w:before="120" w:after="120" w:line="360" w:lineRule="auto"/>
              <w:jc w:val="both"/>
              <w:rPr>
                <w:rFonts w:hint="eastAsia" w:ascii="宋体" w:hAnsi="宋体" w:eastAsia="宋体" w:cs="宋体"/>
                <w:b w:val="0"/>
                <w:bCs/>
                <w:i w:val="0"/>
                <w:iCs w:val="0"/>
                <w:sz w:val="21"/>
                <w:szCs w:val="21"/>
                <w:u w:val="none"/>
                <w:lang w:bidi="ar"/>
              </w:rPr>
            </w:pPr>
          </w:p>
        </w:tc>
        <w:tc>
          <w:tcPr>
            <w:tcW w:w="1532" w:type="dxa"/>
            <w:tcBorders>
              <w:top w:val="single" w:color="000000" w:sz="4" w:space="0"/>
              <w:left w:val="single" w:color="000000" w:sz="4" w:space="0"/>
              <w:bottom w:val="single" w:color="000000" w:sz="4" w:space="0"/>
              <w:right w:val="single" w:color="000000" w:sz="4" w:space="0"/>
            </w:tcBorders>
            <w:noWrap/>
            <w:vAlign w:val="center"/>
          </w:tcPr>
          <w:p w14:paraId="0CD894A2">
            <w:pPr>
              <w:spacing w:before="120" w:after="120" w:line="360" w:lineRule="auto"/>
              <w:jc w:val="both"/>
              <w:rPr>
                <w:rFonts w:hint="eastAsia" w:ascii="宋体" w:hAnsi="宋体" w:eastAsia="宋体" w:cs="宋体"/>
                <w:b w:val="0"/>
                <w:bCs/>
                <w:i w:val="0"/>
                <w:iCs w:val="0"/>
                <w:sz w:val="21"/>
                <w:szCs w:val="21"/>
                <w:u w:val="none"/>
                <w:lang w:bidi="ar"/>
              </w:rPr>
            </w:pPr>
          </w:p>
        </w:tc>
        <w:tc>
          <w:tcPr>
            <w:tcW w:w="1177" w:type="dxa"/>
            <w:tcBorders>
              <w:top w:val="single" w:color="000000" w:sz="4" w:space="0"/>
              <w:left w:val="single" w:color="000000" w:sz="4" w:space="0"/>
              <w:bottom w:val="single" w:color="000000" w:sz="4" w:space="0"/>
              <w:right w:val="single" w:color="000000" w:sz="4" w:space="0"/>
            </w:tcBorders>
            <w:noWrap/>
            <w:vAlign w:val="center"/>
          </w:tcPr>
          <w:p w14:paraId="2F4B8B0E">
            <w:pPr>
              <w:spacing w:before="120" w:after="120" w:line="360" w:lineRule="auto"/>
              <w:jc w:val="both"/>
              <w:rPr>
                <w:rFonts w:hint="eastAsia" w:ascii="宋体" w:hAnsi="宋体" w:eastAsia="宋体" w:cs="宋体"/>
                <w:b w:val="0"/>
                <w:bCs/>
                <w:i w:val="0"/>
                <w:iCs w:val="0"/>
                <w:sz w:val="21"/>
                <w:szCs w:val="21"/>
                <w:u w:val="none"/>
                <w:lang w:bidi="ar"/>
              </w:rPr>
            </w:pPr>
          </w:p>
        </w:tc>
        <w:tc>
          <w:tcPr>
            <w:tcW w:w="1597" w:type="dxa"/>
            <w:tcBorders>
              <w:top w:val="single" w:color="000000" w:sz="4" w:space="0"/>
              <w:left w:val="single" w:color="000000" w:sz="4" w:space="0"/>
              <w:bottom w:val="single" w:color="000000" w:sz="4" w:space="0"/>
              <w:right w:val="single" w:color="000000" w:sz="4" w:space="0"/>
            </w:tcBorders>
            <w:noWrap/>
            <w:vAlign w:val="center"/>
          </w:tcPr>
          <w:p w14:paraId="0F667961">
            <w:pPr>
              <w:spacing w:before="120" w:after="120" w:line="360" w:lineRule="auto"/>
              <w:jc w:val="both"/>
              <w:rPr>
                <w:rFonts w:hint="eastAsia" w:ascii="宋体" w:hAnsi="宋体" w:eastAsia="宋体" w:cs="宋体"/>
                <w:b w:val="0"/>
                <w:bCs/>
                <w:i w:val="0"/>
                <w:iCs w:val="0"/>
                <w:sz w:val="21"/>
                <w:szCs w:val="21"/>
                <w:u w:val="none"/>
                <w:lang w:bidi="ar"/>
              </w:rPr>
            </w:pPr>
          </w:p>
        </w:tc>
        <w:tc>
          <w:tcPr>
            <w:tcW w:w="939" w:type="dxa"/>
            <w:tcBorders>
              <w:top w:val="single" w:color="000000" w:sz="4" w:space="0"/>
              <w:left w:val="single" w:color="000000" w:sz="4" w:space="0"/>
              <w:bottom w:val="single" w:color="000000" w:sz="4" w:space="0"/>
              <w:right w:val="single" w:color="000000" w:sz="4" w:space="0"/>
            </w:tcBorders>
            <w:noWrap/>
            <w:vAlign w:val="center"/>
          </w:tcPr>
          <w:p w14:paraId="28DD45FE">
            <w:pPr>
              <w:spacing w:before="120" w:after="120" w:line="360" w:lineRule="auto"/>
              <w:jc w:val="both"/>
              <w:rPr>
                <w:rFonts w:hint="eastAsia" w:ascii="宋体" w:hAnsi="宋体" w:eastAsia="宋体" w:cs="宋体"/>
                <w:b w:val="0"/>
                <w:bCs/>
                <w:i w:val="0"/>
                <w:iCs w:val="0"/>
                <w:sz w:val="21"/>
                <w:szCs w:val="21"/>
                <w:u w:val="none"/>
                <w:lang w:bidi="ar"/>
              </w:rPr>
            </w:pPr>
          </w:p>
        </w:tc>
        <w:tc>
          <w:tcPr>
            <w:tcW w:w="997" w:type="dxa"/>
            <w:tcBorders>
              <w:top w:val="single" w:color="000000" w:sz="4" w:space="0"/>
              <w:left w:val="single" w:color="000000" w:sz="4" w:space="0"/>
              <w:bottom w:val="single" w:color="000000" w:sz="4" w:space="0"/>
              <w:right w:val="single" w:color="000000" w:sz="4" w:space="0"/>
            </w:tcBorders>
            <w:noWrap w:val="0"/>
            <w:vAlign w:val="center"/>
          </w:tcPr>
          <w:p w14:paraId="36ED21FF">
            <w:pPr>
              <w:spacing w:before="120" w:after="120" w:line="360" w:lineRule="auto"/>
              <w:jc w:val="both"/>
              <w:rPr>
                <w:rFonts w:hint="eastAsia" w:ascii="宋体" w:hAnsi="宋体" w:eastAsia="宋体" w:cs="宋体"/>
                <w:b w:val="0"/>
                <w:bCs/>
                <w:i w:val="0"/>
                <w:iCs w:val="0"/>
                <w:sz w:val="21"/>
                <w:szCs w:val="21"/>
                <w:u w:val="none"/>
                <w:lang w:bidi="ar"/>
              </w:rPr>
            </w:pPr>
          </w:p>
        </w:tc>
      </w:tr>
      <w:tr w14:paraId="00BFD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025" w:type="dxa"/>
            <w:tcBorders>
              <w:top w:val="single" w:color="000000" w:sz="4" w:space="0"/>
              <w:left w:val="single" w:color="000000" w:sz="4" w:space="0"/>
              <w:bottom w:val="single" w:color="000000" w:sz="4" w:space="0"/>
              <w:right w:val="single" w:color="000000" w:sz="4" w:space="0"/>
            </w:tcBorders>
            <w:noWrap/>
            <w:vAlign w:val="center"/>
          </w:tcPr>
          <w:p w14:paraId="12FB1011">
            <w:pPr>
              <w:spacing w:before="120" w:after="120" w:line="360" w:lineRule="auto"/>
              <w:jc w:val="both"/>
              <w:rPr>
                <w:rFonts w:hint="default" w:ascii="宋体" w:hAnsi="宋体" w:eastAsia="宋体" w:cs="宋体"/>
                <w:b w:val="0"/>
                <w:bCs/>
                <w:i w:val="0"/>
                <w:iCs w:val="0"/>
                <w:sz w:val="21"/>
                <w:szCs w:val="21"/>
                <w:u w:val="none"/>
                <w:lang w:val="en-US" w:eastAsia="zh-CN" w:bidi="ar"/>
              </w:rPr>
            </w:pPr>
            <w:r>
              <w:rPr>
                <w:rFonts w:hint="eastAsia" w:ascii="宋体" w:hAnsi="宋体" w:eastAsia="宋体" w:cs="宋体"/>
                <w:b w:val="0"/>
                <w:bCs/>
                <w:i w:val="0"/>
                <w:iCs w:val="0"/>
                <w:sz w:val="21"/>
                <w:szCs w:val="21"/>
                <w:u w:val="none"/>
                <w:lang w:val="en-US" w:eastAsia="zh-CN" w:bidi="ar"/>
              </w:rPr>
              <w:t>2</w:t>
            </w:r>
          </w:p>
        </w:tc>
        <w:tc>
          <w:tcPr>
            <w:tcW w:w="1170" w:type="dxa"/>
            <w:tcBorders>
              <w:top w:val="single" w:color="000000" w:sz="4" w:space="0"/>
              <w:left w:val="single" w:color="000000" w:sz="4" w:space="0"/>
              <w:bottom w:val="single" w:color="000000" w:sz="4" w:space="0"/>
              <w:right w:val="single" w:color="000000" w:sz="4" w:space="0"/>
            </w:tcBorders>
            <w:noWrap/>
            <w:vAlign w:val="center"/>
          </w:tcPr>
          <w:p w14:paraId="7EF5882E">
            <w:pPr>
              <w:spacing w:before="120" w:after="120" w:line="360" w:lineRule="auto"/>
              <w:jc w:val="both"/>
              <w:rPr>
                <w:rFonts w:hint="eastAsia" w:ascii="宋体" w:hAnsi="宋体" w:eastAsia="宋体" w:cs="宋体"/>
                <w:b w:val="0"/>
                <w:bCs/>
                <w:i w:val="0"/>
                <w:iCs w:val="0"/>
                <w:sz w:val="21"/>
                <w:szCs w:val="21"/>
                <w:u w:val="none"/>
                <w:lang w:bidi="ar"/>
              </w:rPr>
            </w:pPr>
          </w:p>
        </w:tc>
        <w:tc>
          <w:tcPr>
            <w:tcW w:w="1201" w:type="dxa"/>
            <w:tcBorders>
              <w:top w:val="single" w:color="000000" w:sz="4" w:space="0"/>
              <w:left w:val="single" w:color="000000" w:sz="4" w:space="0"/>
              <w:bottom w:val="single" w:color="000000" w:sz="4" w:space="0"/>
              <w:right w:val="single" w:color="000000" w:sz="4" w:space="0"/>
            </w:tcBorders>
            <w:noWrap/>
            <w:vAlign w:val="center"/>
          </w:tcPr>
          <w:p w14:paraId="5919A637">
            <w:pPr>
              <w:spacing w:before="120" w:after="120" w:line="360" w:lineRule="auto"/>
              <w:jc w:val="both"/>
              <w:rPr>
                <w:rFonts w:hint="eastAsia" w:ascii="宋体" w:hAnsi="宋体" w:eastAsia="宋体" w:cs="宋体"/>
                <w:b w:val="0"/>
                <w:bCs/>
                <w:i w:val="0"/>
                <w:iCs w:val="0"/>
                <w:sz w:val="21"/>
                <w:szCs w:val="21"/>
                <w:u w:val="none"/>
                <w:lang w:bidi="ar"/>
              </w:rPr>
            </w:pPr>
          </w:p>
        </w:tc>
        <w:tc>
          <w:tcPr>
            <w:tcW w:w="1532" w:type="dxa"/>
            <w:tcBorders>
              <w:top w:val="single" w:color="000000" w:sz="4" w:space="0"/>
              <w:left w:val="single" w:color="000000" w:sz="4" w:space="0"/>
              <w:bottom w:val="single" w:color="000000" w:sz="4" w:space="0"/>
              <w:right w:val="single" w:color="000000" w:sz="4" w:space="0"/>
            </w:tcBorders>
            <w:noWrap/>
            <w:vAlign w:val="center"/>
          </w:tcPr>
          <w:p w14:paraId="4AD511CA">
            <w:pPr>
              <w:spacing w:before="120" w:after="120" w:line="360" w:lineRule="auto"/>
              <w:jc w:val="both"/>
              <w:rPr>
                <w:rFonts w:hint="eastAsia" w:ascii="宋体" w:hAnsi="宋体" w:eastAsia="宋体" w:cs="宋体"/>
                <w:b w:val="0"/>
                <w:bCs/>
                <w:i w:val="0"/>
                <w:iCs w:val="0"/>
                <w:sz w:val="21"/>
                <w:szCs w:val="21"/>
                <w:u w:val="none"/>
                <w:lang w:bidi="ar"/>
              </w:rPr>
            </w:pPr>
          </w:p>
        </w:tc>
        <w:tc>
          <w:tcPr>
            <w:tcW w:w="1177" w:type="dxa"/>
            <w:tcBorders>
              <w:top w:val="single" w:color="000000" w:sz="4" w:space="0"/>
              <w:left w:val="single" w:color="000000" w:sz="4" w:space="0"/>
              <w:bottom w:val="single" w:color="000000" w:sz="4" w:space="0"/>
              <w:right w:val="single" w:color="000000" w:sz="4" w:space="0"/>
            </w:tcBorders>
            <w:noWrap/>
            <w:vAlign w:val="center"/>
          </w:tcPr>
          <w:p w14:paraId="0CA4BAEB">
            <w:pPr>
              <w:spacing w:before="120" w:after="120" w:line="360" w:lineRule="auto"/>
              <w:jc w:val="both"/>
              <w:rPr>
                <w:rFonts w:hint="eastAsia" w:ascii="宋体" w:hAnsi="宋体" w:eastAsia="宋体" w:cs="宋体"/>
                <w:b w:val="0"/>
                <w:bCs/>
                <w:i w:val="0"/>
                <w:iCs w:val="0"/>
                <w:sz w:val="21"/>
                <w:szCs w:val="21"/>
                <w:u w:val="none"/>
                <w:lang w:bidi="ar"/>
              </w:rPr>
            </w:pPr>
          </w:p>
        </w:tc>
        <w:tc>
          <w:tcPr>
            <w:tcW w:w="1597" w:type="dxa"/>
            <w:tcBorders>
              <w:top w:val="single" w:color="000000" w:sz="4" w:space="0"/>
              <w:left w:val="single" w:color="000000" w:sz="4" w:space="0"/>
              <w:bottom w:val="single" w:color="000000" w:sz="4" w:space="0"/>
              <w:right w:val="single" w:color="000000" w:sz="4" w:space="0"/>
            </w:tcBorders>
            <w:noWrap/>
            <w:vAlign w:val="center"/>
          </w:tcPr>
          <w:p w14:paraId="74BBF17E">
            <w:pPr>
              <w:spacing w:before="120" w:after="120" w:line="360" w:lineRule="auto"/>
              <w:jc w:val="both"/>
              <w:rPr>
                <w:rFonts w:hint="eastAsia" w:ascii="宋体" w:hAnsi="宋体" w:eastAsia="宋体" w:cs="宋体"/>
                <w:b w:val="0"/>
                <w:bCs/>
                <w:i w:val="0"/>
                <w:iCs w:val="0"/>
                <w:sz w:val="21"/>
                <w:szCs w:val="21"/>
                <w:u w:val="none"/>
                <w:lang w:bidi="ar"/>
              </w:rPr>
            </w:pPr>
          </w:p>
        </w:tc>
        <w:tc>
          <w:tcPr>
            <w:tcW w:w="939" w:type="dxa"/>
            <w:tcBorders>
              <w:top w:val="single" w:color="000000" w:sz="4" w:space="0"/>
              <w:left w:val="single" w:color="000000" w:sz="4" w:space="0"/>
              <w:bottom w:val="single" w:color="000000" w:sz="4" w:space="0"/>
              <w:right w:val="single" w:color="000000" w:sz="4" w:space="0"/>
            </w:tcBorders>
            <w:noWrap/>
            <w:vAlign w:val="center"/>
          </w:tcPr>
          <w:p w14:paraId="7FED721C">
            <w:pPr>
              <w:spacing w:before="120" w:after="120" w:line="360" w:lineRule="auto"/>
              <w:jc w:val="both"/>
              <w:rPr>
                <w:rFonts w:hint="eastAsia" w:ascii="宋体" w:hAnsi="宋体" w:eastAsia="宋体" w:cs="宋体"/>
                <w:b w:val="0"/>
                <w:bCs/>
                <w:i w:val="0"/>
                <w:iCs w:val="0"/>
                <w:sz w:val="21"/>
                <w:szCs w:val="21"/>
                <w:u w:val="none"/>
                <w:lang w:bidi="ar"/>
              </w:rPr>
            </w:pPr>
          </w:p>
        </w:tc>
        <w:tc>
          <w:tcPr>
            <w:tcW w:w="997" w:type="dxa"/>
            <w:tcBorders>
              <w:top w:val="single" w:color="000000" w:sz="4" w:space="0"/>
              <w:left w:val="single" w:color="000000" w:sz="4" w:space="0"/>
              <w:bottom w:val="single" w:color="000000" w:sz="4" w:space="0"/>
              <w:right w:val="single" w:color="000000" w:sz="4" w:space="0"/>
            </w:tcBorders>
            <w:noWrap w:val="0"/>
            <w:vAlign w:val="center"/>
          </w:tcPr>
          <w:p w14:paraId="5A032AD8">
            <w:pPr>
              <w:spacing w:before="120" w:after="120" w:line="360" w:lineRule="auto"/>
              <w:jc w:val="both"/>
              <w:rPr>
                <w:rFonts w:hint="eastAsia" w:ascii="宋体" w:hAnsi="宋体" w:eastAsia="宋体" w:cs="宋体"/>
                <w:b w:val="0"/>
                <w:bCs/>
                <w:i w:val="0"/>
                <w:iCs w:val="0"/>
                <w:sz w:val="21"/>
                <w:szCs w:val="21"/>
                <w:u w:val="none"/>
                <w:lang w:bidi="ar"/>
              </w:rPr>
            </w:pPr>
          </w:p>
        </w:tc>
      </w:tr>
    </w:tbl>
    <w:p w14:paraId="318159BA">
      <w:pPr>
        <w:spacing w:line="240" w:lineRule="auto"/>
        <w:ind w:left="0" w:firstLine="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br w:type="page"/>
      </w:r>
    </w:p>
    <w:p w14:paraId="3F18ED13">
      <w:pPr>
        <w:spacing w:line="360" w:lineRule="auto"/>
        <w:ind w:left="0" w:firstLine="0"/>
        <w:jc w:val="both"/>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附录：数据分级分类表</w:t>
      </w:r>
    </w:p>
    <w:p w14:paraId="02D0E6D3">
      <w:pPr>
        <w:spacing w:line="360" w:lineRule="auto"/>
        <w:ind w:left="0" w:firstLine="0"/>
        <w:jc w:val="both"/>
        <w:rPr>
          <w:rFonts w:hint="eastAsia" w:ascii="宋体" w:hAnsi="宋体" w:eastAsia="宋体" w:cs="宋体"/>
          <w:b w:val="0"/>
          <w:bCs/>
          <w:sz w:val="24"/>
          <w:szCs w:val="24"/>
          <w:lang w:val="en-US" w:eastAsia="zh-CN"/>
        </w:rPr>
      </w:pPr>
    </w:p>
    <w:tbl>
      <w:tblPr>
        <w:tblStyle w:val="15"/>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57"/>
        <w:gridCol w:w="6669"/>
      </w:tblGrid>
      <w:tr w14:paraId="7D022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89" w:type="pct"/>
            <w:tcBorders>
              <w:top w:val="single" w:color="000000" w:sz="4" w:space="0"/>
              <w:left w:val="single" w:color="000000" w:sz="4" w:space="0"/>
              <w:bottom w:val="single" w:color="000000" w:sz="4" w:space="0"/>
              <w:right w:val="single" w:color="000000" w:sz="4" w:space="0"/>
            </w:tcBorders>
            <w:shd w:val="clear" w:color="auto" w:fill="D9D9D9"/>
            <w:noWrap w:val="0"/>
            <w:vAlign w:val="center"/>
          </w:tcPr>
          <w:p w14:paraId="2E7F93F6">
            <w:pPr>
              <w:keepNext w:val="0"/>
              <w:keepLines w:val="0"/>
              <w:widowControl/>
              <w:suppressLineNumbers w:val="0"/>
              <w:jc w:val="center"/>
              <w:textAlignment w:val="center"/>
              <w:rPr>
                <w:rFonts w:hint="eastAsia" w:ascii="宋体" w:hAnsi="宋体" w:eastAsia="宋体" w:cs="宋体"/>
                <w:b w:val="0"/>
                <w:bCs/>
                <w:i w:val="0"/>
                <w:iCs w:val="0"/>
                <w:color w:val="000000"/>
                <w:sz w:val="21"/>
                <w:szCs w:val="21"/>
                <w:u w:val="none"/>
              </w:rPr>
            </w:pPr>
            <w:r>
              <w:rPr>
                <w:rFonts w:hint="eastAsia" w:ascii="宋体" w:hAnsi="宋体" w:eastAsia="宋体" w:cs="宋体"/>
                <w:b w:val="0"/>
                <w:bCs/>
                <w:i w:val="0"/>
                <w:iCs w:val="0"/>
                <w:color w:val="000000"/>
                <w:kern w:val="0"/>
                <w:sz w:val="21"/>
                <w:szCs w:val="21"/>
                <w:u w:val="none"/>
                <w:lang w:val="en-US" w:eastAsia="zh-CN" w:bidi="ar"/>
              </w:rPr>
              <w:t>数据分级</w:t>
            </w:r>
          </w:p>
        </w:tc>
        <w:tc>
          <w:tcPr>
            <w:tcW w:w="3910" w:type="pct"/>
            <w:tcBorders>
              <w:top w:val="single" w:color="000000" w:sz="4" w:space="0"/>
              <w:left w:val="single" w:color="000000" w:sz="4" w:space="0"/>
              <w:bottom w:val="single" w:color="000000" w:sz="4" w:space="0"/>
              <w:right w:val="single" w:color="000000" w:sz="4" w:space="0"/>
            </w:tcBorders>
            <w:shd w:val="clear" w:color="auto" w:fill="D9D9D9"/>
            <w:noWrap w:val="0"/>
            <w:vAlign w:val="center"/>
          </w:tcPr>
          <w:p w14:paraId="5780BD73">
            <w:pPr>
              <w:keepNext w:val="0"/>
              <w:keepLines w:val="0"/>
              <w:widowControl/>
              <w:suppressLineNumbers w:val="0"/>
              <w:jc w:val="center"/>
              <w:textAlignment w:val="center"/>
              <w:rPr>
                <w:rFonts w:hint="eastAsia" w:ascii="宋体" w:hAnsi="宋体" w:eastAsia="宋体" w:cs="宋体"/>
                <w:b w:val="0"/>
                <w:bCs/>
                <w:i w:val="0"/>
                <w:iCs w:val="0"/>
                <w:color w:val="000000"/>
                <w:sz w:val="21"/>
                <w:szCs w:val="21"/>
                <w:u w:val="none"/>
              </w:rPr>
            </w:pPr>
            <w:r>
              <w:rPr>
                <w:rFonts w:hint="eastAsia" w:ascii="宋体" w:hAnsi="宋体" w:eastAsia="宋体" w:cs="宋体"/>
                <w:b w:val="0"/>
                <w:bCs/>
                <w:i w:val="0"/>
                <w:iCs w:val="0"/>
                <w:color w:val="000000"/>
                <w:kern w:val="0"/>
                <w:sz w:val="21"/>
                <w:szCs w:val="21"/>
                <w:u w:val="none"/>
                <w:lang w:val="en-US" w:eastAsia="zh-CN" w:bidi="ar"/>
              </w:rPr>
              <w:t>数据分类</w:t>
            </w:r>
          </w:p>
        </w:tc>
      </w:tr>
      <w:tr w14:paraId="3FFB1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9" w:type="pct"/>
            <w:tcBorders>
              <w:top w:val="single" w:color="000000" w:sz="4" w:space="0"/>
              <w:left w:val="single" w:color="000000" w:sz="4" w:space="0"/>
              <w:bottom w:val="single" w:color="000000" w:sz="4" w:space="0"/>
              <w:right w:val="single" w:color="000000" w:sz="4" w:space="0"/>
            </w:tcBorders>
            <w:noWrap w:val="0"/>
            <w:vAlign w:val="center"/>
          </w:tcPr>
          <w:p w14:paraId="43097329">
            <w:pPr>
              <w:keepNext w:val="0"/>
              <w:keepLines w:val="0"/>
              <w:widowControl/>
              <w:suppressLineNumbers w:val="0"/>
              <w:jc w:val="center"/>
              <w:textAlignment w:val="center"/>
              <w:rPr>
                <w:rFonts w:hint="eastAsia" w:ascii="宋体" w:hAnsi="宋体" w:eastAsia="宋体" w:cs="宋体"/>
                <w:b w:val="0"/>
                <w:bCs/>
                <w:i w:val="0"/>
                <w:iCs w:val="0"/>
                <w:color w:val="000000"/>
                <w:sz w:val="21"/>
                <w:szCs w:val="21"/>
                <w:u w:val="none"/>
              </w:rPr>
            </w:pPr>
            <w:r>
              <w:rPr>
                <w:rFonts w:hint="eastAsia" w:ascii="宋体" w:hAnsi="宋体" w:eastAsia="宋体" w:cs="宋体"/>
                <w:b w:val="0"/>
                <w:bCs/>
                <w:i w:val="0"/>
                <w:iCs w:val="0"/>
                <w:color w:val="000000"/>
                <w:kern w:val="0"/>
                <w:sz w:val="21"/>
                <w:szCs w:val="21"/>
                <w:u w:val="none"/>
                <w:lang w:val="en-US" w:eastAsia="zh-CN" w:bidi="ar"/>
              </w:rPr>
              <w:t>核心数据</w:t>
            </w:r>
          </w:p>
        </w:tc>
        <w:tc>
          <w:tcPr>
            <w:tcW w:w="3910" w:type="pct"/>
            <w:tcBorders>
              <w:top w:val="single" w:color="000000" w:sz="4" w:space="0"/>
              <w:left w:val="single" w:color="000000" w:sz="4" w:space="0"/>
              <w:bottom w:val="single" w:color="000000" w:sz="4" w:space="0"/>
              <w:right w:val="single" w:color="000000" w:sz="4" w:space="0"/>
            </w:tcBorders>
            <w:noWrap w:val="0"/>
            <w:vAlign w:val="center"/>
          </w:tcPr>
          <w:p w14:paraId="62E262E1">
            <w:pPr>
              <w:keepNext w:val="0"/>
              <w:keepLines w:val="0"/>
              <w:widowControl/>
              <w:suppressLineNumbers w:val="0"/>
              <w:jc w:val="left"/>
              <w:textAlignment w:val="center"/>
              <w:rPr>
                <w:rFonts w:hint="eastAsia" w:ascii="宋体" w:hAnsi="宋体" w:eastAsia="宋体" w:cs="宋体"/>
                <w:b w:val="0"/>
                <w:bCs/>
                <w:i w:val="0"/>
                <w:iCs w:val="0"/>
                <w:color w:val="000000"/>
                <w:sz w:val="21"/>
                <w:szCs w:val="21"/>
                <w:u w:val="none"/>
              </w:rPr>
            </w:pPr>
            <w:r>
              <w:rPr>
                <w:rFonts w:hint="eastAsia" w:ascii="宋体" w:hAnsi="宋体" w:eastAsia="宋体" w:cs="宋体"/>
                <w:b w:val="0"/>
                <w:bCs/>
                <w:i w:val="0"/>
                <w:iCs w:val="0"/>
                <w:color w:val="000000"/>
                <w:kern w:val="0"/>
                <w:sz w:val="21"/>
                <w:szCs w:val="21"/>
                <w:u w:val="none"/>
                <w:lang w:val="en-US" w:eastAsia="zh-CN" w:bidi="ar"/>
              </w:rPr>
              <w:t xml:space="preserve">H1-1 </w:t>
            </w:r>
            <w:r>
              <w:rPr>
                <w:rStyle w:val="43"/>
                <w:rFonts w:hint="eastAsia" w:ascii="宋体" w:hAnsi="宋体" w:eastAsia="宋体" w:cs="宋体"/>
                <w:b w:val="0"/>
                <w:bCs/>
                <w:sz w:val="21"/>
                <w:szCs w:val="21"/>
                <w:lang w:val="en-US" w:eastAsia="zh-CN" w:bidi="ar"/>
              </w:rPr>
              <w:t>网络规划建设、</w:t>
            </w:r>
            <w:r>
              <w:rPr>
                <w:rStyle w:val="44"/>
                <w:rFonts w:hint="eastAsia" w:ascii="宋体" w:hAnsi="宋体" w:eastAsia="宋体" w:cs="宋体"/>
                <w:b w:val="0"/>
                <w:bCs/>
                <w:sz w:val="21"/>
                <w:szCs w:val="21"/>
                <w:lang w:val="en-US" w:eastAsia="zh-CN" w:bidi="ar"/>
              </w:rPr>
              <w:t xml:space="preserve">H1-2 </w:t>
            </w:r>
            <w:r>
              <w:rPr>
                <w:rStyle w:val="43"/>
                <w:rFonts w:hint="eastAsia" w:ascii="宋体" w:hAnsi="宋体" w:eastAsia="宋体" w:cs="宋体"/>
                <w:b w:val="0"/>
                <w:bCs/>
                <w:sz w:val="21"/>
                <w:szCs w:val="21"/>
                <w:lang w:val="en-US" w:eastAsia="zh-CN" w:bidi="ar"/>
              </w:rPr>
              <w:t>网络运行维护、</w:t>
            </w:r>
            <w:r>
              <w:rPr>
                <w:rStyle w:val="44"/>
                <w:rFonts w:hint="eastAsia" w:ascii="宋体" w:hAnsi="宋体" w:eastAsia="宋体" w:cs="宋体"/>
                <w:b w:val="0"/>
                <w:bCs/>
                <w:sz w:val="21"/>
                <w:szCs w:val="21"/>
                <w:lang w:val="en-US" w:eastAsia="zh-CN" w:bidi="ar"/>
              </w:rPr>
              <w:t xml:space="preserve">H2-1 </w:t>
            </w:r>
            <w:r>
              <w:rPr>
                <w:rStyle w:val="43"/>
                <w:rFonts w:hint="eastAsia" w:ascii="宋体" w:hAnsi="宋体" w:eastAsia="宋体" w:cs="宋体"/>
                <w:b w:val="0"/>
                <w:bCs/>
                <w:sz w:val="21"/>
                <w:szCs w:val="21"/>
                <w:lang w:val="en-US" w:eastAsia="zh-CN" w:bidi="ar"/>
              </w:rPr>
              <w:t>网络与数据安全保障、</w:t>
            </w:r>
            <w:r>
              <w:rPr>
                <w:rStyle w:val="44"/>
                <w:rFonts w:hint="eastAsia" w:ascii="宋体" w:hAnsi="宋体" w:eastAsia="宋体" w:cs="宋体"/>
                <w:b w:val="0"/>
                <w:bCs/>
                <w:sz w:val="21"/>
                <w:szCs w:val="21"/>
                <w:lang w:val="en-US" w:eastAsia="zh-CN" w:bidi="ar"/>
              </w:rPr>
              <w:t xml:space="preserve">H2-2 </w:t>
            </w:r>
            <w:r>
              <w:rPr>
                <w:rStyle w:val="43"/>
                <w:rFonts w:hint="eastAsia" w:ascii="宋体" w:hAnsi="宋体" w:eastAsia="宋体" w:cs="宋体"/>
                <w:b w:val="0"/>
                <w:bCs/>
                <w:sz w:val="21"/>
                <w:szCs w:val="21"/>
                <w:lang w:val="en-US" w:eastAsia="zh-CN" w:bidi="ar"/>
              </w:rPr>
              <w:t>应急通信保障、</w:t>
            </w:r>
            <w:r>
              <w:rPr>
                <w:rStyle w:val="44"/>
                <w:rFonts w:hint="eastAsia" w:ascii="宋体" w:hAnsi="宋体" w:eastAsia="宋体" w:cs="宋体"/>
                <w:b w:val="0"/>
                <w:bCs/>
                <w:sz w:val="21"/>
                <w:szCs w:val="21"/>
                <w:lang w:val="en-US" w:eastAsia="zh-CN" w:bidi="ar"/>
              </w:rPr>
              <w:t xml:space="preserve">H3-1 </w:t>
            </w:r>
            <w:r>
              <w:rPr>
                <w:rStyle w:val="43"/>
                <w:rFonts w:hint="eastAsia" w:ascii="宋体" w:hAnsi="宋体" w:eastAsia="宋体" w:cs="宋体"/>
                <w:b w:val="0"/>
                <w:bCs/>
                <w:sz w:val="21"/>
                <w:szCs w:val="21"/>
                <w:lang w:val="en-US" w:eastAsia="zh-CN" w:bidi="ar"/>
              </w:rPr>
              <w:t>行业发展、</w:t>
            </w:r>
            <w:r>
              <w:rPr>
                <w:rStyle w:val="44"/>
                <w:rFonts w:hint="eastAsia" w:ascii="宋体" w:hAnsi="宋体" w:eastAsia="宋体" w:cs="宋体"/>
                <w:b w:val="0"/>
                <w:bCs/>
                <w:sz w:val="21"/>
                <w:szCs w:val="21"/>
                <w:lang w:val="en-US" w:eastAsia="zh-CN" w:bidi="ar"/>
              </w:rPr>
              <w:t xml:space="preserve">H4-1 </w:t>
            </w:r>
            <w:r>
              <w:rPr>
                <w:rStyle w:val="43"/>
                <w:rFonts w:hint="eastAsia" w:ascii="宋体" w:hAnsi="宋体" w:eastAsia="宋体" w:cs="宋体"/>
                <w:b w:val="0"/>
                <w:bCs/>
                <w:sz w:val="21"/>
                <w:szCs w:val="21"/>
                <w:lang w:val="en-US" w:eastAsia="zh-CN" w:bidi="ar"/>
              </w:rPr>
              <w:t>重大科技成果、</w:t>
            </w:r>
            <w:r>
              <w:rPr>
                <w:rStyle w:val="44"/>
                <w:rFonts w:hint="eastAsia" w:ascii="宋体" w:hAnsi="宋体" w:eastAsia="宋体" w:cs="宋体"/>
                <w:b w:val="0"/>
                <w:bCs/>
                <w:sz w:val="21"/>
                <w:szCs w:val="21"/>
                <w:lang w:val="en-US" w:eastAsia="zh-CN" w:bidi="ar"/>
              </w:rPr>
              <w:t xml:space="preserve">H4-2 </w:t>
            </w:r>
            <w:r>
              <w:rPr>
                <w:rStyle w:val="43"/>
                <w:rFonts w:hint="eastAsia" w:ascii="宋体" w:hAnsi="宋体" w:eastAsia="宋体" w:cs="宋体"/>
                <w:b w:val="0"/>
                <w:bCs/>
                <w:sz w:val="21"/>
                <w:szCs w:val="21"/>
                <w:lang w:val="en-US" w:eastAsia="zh-CN" w:bidi="ar"/>
              </w:rPr>
              <w:t>国家科技计划、</w:t>
            </w:r>
            <w:r>
              <w:rPr>
                <w:rStyle w:val="44"/>
                <w:rFonts w:hint="eastAsia" w:ascii="宋体" w:hAnsi="宋体" w:eastAsia="宋体" w:cs="宋体"/>
                <w:b w:val="0"/>
                <w:bCs/>
                <w:sz w:val="21"/>
                <w:szCs w:val="21"/>
                <w:lang w:val="en-US" w:eastAsia="zh-CN" w:bidi="ar"/>
              </w:rPr>
              <w:t xml:space="preserve">H5-1 </w:t>
            </w:r>
            <w:r>
              <w:rPr>
                <w:rStyle w:val="43"/>
                <w:rFonts w:hint="eastAsia" w:ascii="宋体" w:hAnsi="宋体" w:eastAsia="宋体" w:cs="宋体"/>
                <w:b w:val="0"/>
                <w:bCs/>
                <w:sz w:val="21"/>
                <w:szCs w:val="21"/>
                <w:lang w:val="en-US" w:eastAsia="zh-CN" w:bidi="ar"/>
              </w:rPr>
              <w:t>其他</w:t>
            </w:r>
          </w:p>
        </w:tc>
      </w:tr>
      <w:tr w14:paraId="1BA21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89" w:type="pct"/>
            <w:tcBorders>
              <w:top w:val="single" w:color="000000" w:sz="4" w:space="0"/>
              <w:left w:val="single" w:color="000000" w:sz="4" w:space="0"/>
              <w:bottom w:val="single" w:color="000000" w:sz="4" w:space="0"/>
              <w:right w:val="single" w:color="000000" w:sz="4" w:space="0"/>
            </w:tcBorders>
            <w:noWrap w:val="0"/>
            <w:vAlign w:val="center"/>
          </w:tcPr>
          <w:p w14:paraId="4FEB3F12">
            <w:pPr>
              <w:keepNext w:val="0"/>
              <w:keepLines w:val="0"/>
              <w:widowControl/>
              <w:suppressLineNumbers w:val="0"/>
              <w:jc w:val="center"/>
              <w:textAlignment w:val="center"/>
              <w:rPr>
                <w:rFonts w:hint="eastAsia" w:ascii="宋体" w:hAnsi="宋体" w:eastAsia="宋体" w:cs="宋体"/>
                <w:b w:val="0"/>
                <w:bCs/>
                <w:i w:val="0"/>
                <w:iCs w:val="0"/>
                <w:color w:val="000000"/>
                <w:sz w:val="21"/>
                <w:szCs w:val="21"/>
                <w:u w:val="none"/>
              </w:rPr>
            </w:pPr>
            <w:r>
              <w:rPr>
                <w:rFonts w:hint="eastAsia" w:ascii="宋体" w:hAnsi="宋体" w:eastAsia="宋体" w:cs="宋体"/>
                <w:b w:val="0"/>
                <w:bCs/>
                <w:i w:val="0"/>
                <w:iCs w:val="0"/>
                <w:color w:val="000000"/>
                <w:kern w:val="0"/>
                <w:sz w:val="21"/>
                <w:szCs w:val="21"/>
                <w:u w:val="none"/>
                <w:lang w:val="en-US" w:eastAsia="zh-CN" w:bidi="ar"/>
              </w:rPr>
              <w:t>重要数据</w:t>
            </w:r>
          </w:p>
        </w:tc>
        <w:tc>
          <w:tcPr>
            <w:tcW w:w="3910" w:type="pct"/>
            <w:tcBorders>
              <w:top w:val="single" w:color="000000" w:sz="4" w:space="0"/>
              <w:left w:val="single" w:color="000000" w:sz="4" w:space="0"/>
              <w:bottom w:val="single" w:color="000000" w:sz="4" w:space="0"/>
              <w:right w:val="single" w:color="000000" w:sz="4" w:space="0"/>
            </w:tcBorders>
            <w:noWrap w:val="0"/>
            <w:vAlign w:val="center"/>
          </w:tcPr>
          <w:p w14:paraId="607178A9">
            <w:pPr>
              <w:keepNext w:val="0"/>
              <w:keepLines w:val="0"/>
              <w:widowControl/>
              <w:suppressLineNumbers w:val="0"/>
              <w:jc w:val="left"/>
              <w:textAlignment w:val="center"/>
              <w:rPr>
                <w:rFonts w:hint="eastAsia" w:ascii="宋体" w:hAnsi="宋体" w:eastAsia="宋体" w:cs="宋体"/>
                <w:b w:val="0"/>
                <w:bCs/>
                <w:i w:val="0"/>
                <w:iCs w:val="0"/>
                <w:color w:val="000000"/>
                <w:sz w:val="21"/>
                <w:szCs w:val="21"/>
                <w:u w:val="none"/>
              </w:rPr>
            </w:pPr>
            <w:r>
              <w:rPr>
                <w:rFonts w:hint="eastAsia" w:ascii="宋体" w:hAnsi="宋体" w:eastAsia="宋体" w:cs="宋体"/>
                <w:b w:val="0"/>
                <w:bCs/>
                <w:i w:val="0"/>
                <w:iCs w:val="0"/>
                <w:color w:val="000000"/>
                <w:kern w:val="0"/>
                <w:sz w:val="21"/>
                <w:szCs w:val="21"/>
                <w:u w:val="none"/>
                <w:lang w:val="en-US" w:eastAsia="zh-CN" w:bidi="ar"/>
              </w:rPr>
              <w:t xml:space="preserve">Z1-1 </w:t>
            </w:r>
            <w:r>
              <w:rPr>
                <w:rStyle w:val="43"/>
                <w:rFonts w:hint="eastAsia" w:ascii="宋体" w:hAnsi="宋体" w:eastAsia="宋体" w:cs="宋体"/>
                <w:b w:val="0"/>
                <w:bCs/>
                <w:sz w:val="21"/>
                <w:szCs w:val="21"/>
                <w:lang w:val="en-US" w:eastAsia="zh-CN" w:bidi="ar"/>
              </w:rPr>
              <w:t>网络规划建设、</w:t>
            </w:r>
            <w:r>
              <w:rPr>
                <w:rStyle w:val="44"/>
                <w:rFonts w:hint="eastAsia" w:ascii="宋体" w:hAnsi="宋体" w:eastAsia="宋体" w:cs="宋体"/>
                <w:b w:val="0"/>
                <w:bCs/>
                <w:sz w:val="21"/>
                <w:szCs w:val="21"/>
                <w:lang w:val="en-US" w:eastAsia="zh-CN" w:bidi="ar"/>
              </w:rPr>
              <w:t xml:space="preserve">Z1-2 </w:t>
            </w:r>
            <w:r>
              <w:rPr>
                <w:rStyle w:val="43"/>
                <w:rFonts w:hint="eastAsia" w:ascii="宋体" w:hAnsi="宋体" w:eastAsia="宋体" w:cs="宋体"/>
                <w:b w:val="0"/>
                <w:bCs/>
                <w:sz w:val="21"/>
                <w:szCs w:val="21"/>
                <w:lang w:val="en-US" w:eastAsia="zh-CN" w:bidi="ar"/>
              </w:rPr>
              <w:t>网络运行维护、</w:t>
            </w:r>
            <w:r>
              <w:rPr>
                <w:rStyle w:val="44"/>
                <w:rFonts w:hint="eastAsia" w:ascii="宋体" w:hAnsi="宋体" w:eastAsia="宋体" w:cs="宋体"/>
                <w:b w:val="0"/>
                <w:bCs/>
                <w:sz w:val="21"/>
                <w:szCs w:val="21"/>
                <w:lang w:val="en-US" w:eastAsia="zh-CN" w:bidi="ar"/>
              </w:rPr>
              <w:t xml:space="preserve">Z2-1 </w:t>
            </w:r>
            <w:r>
              <w:rPr>
                <w:rStyle w:val="43"/>
                <w:rFonts w:hint="eastAsia" w:ascii="宋体" w:hAnsi="宋体" w:eastAsia="宋体" w:cs="宋体"/>
                <w:b w:val="0"/>
                <w:bCs/>
                <w:sz w:val="21"/>
                <w:szCs w:val="21"/>
                <w:lang w:val="en-US" w:eastAsia="zh-CN" w:bidi="ar"/>
              </w:rPr>
              <w:t>网络与数据安全保障、</w:t>
            </w:r>
            <w:r>
              <w:rPr>
                <w:rStyle w:val="44"/>
                <w:rFonts w:hint="eastAsia" w:ascii="宋体" w:hAnsi="宋体" w:eastAsia="宋体" w:cs="宋体"/>
                <w:b w:val="0"/>
                <w:bCs/>
                <w:sz w:val="21"/>
                <w:szCs w:val="21"/>
                <w:lang w:val="en-US" w:eastAsia="zh-CN" w:bidi="ar"/>
              </w:rPr>
              <w:t xml:space="preserve">Z2-2 </w:t>
            </w:r>
            <w:r>
              <w:rPr>
                <w:rStyle w:val="43"/>
                <w:rFonts w:hint="eastAsia" w:ascii="宋体" w:hAnsi="宋体" w:eastAsia="宋体" w:cs="宋体"/>
                <w:b w:val="0"/>
                <w:bCs/>
                <w:sz w:val="21"/>
                <w:szCs w:val="21"/>
                <w:lang w:val="en-US" w:eastAsia="zh-CN" w:bidi="ar"/>
              </w:rPr>
              <w:t>物理安全保障、</w:t>
            </w:r>
            <w:r>
              <w:rPr>
                <w:rStyle w:val="44"/>
                <w:rFonts w:hint="eastAsia" w:ascii="宋体" w:hAnsi="宋体" w:eastAsia="宋体" w:cs="宋体"/>
                <w:b w:val="0"/>
                <w:bCs/>
                <w:sz w:val="21"/>
                <w:szCs w:val="21"/>
                <w:lang w:val="en-US" w:eastAsia="zh-CN" w:bidi="ar"/>
              </w:rPr>
              <w:t xml:space="preserve">Z2-3 </w:t>
            </w:r>
            <w:r>
              <w:rPr>
                <w:rStyle w:val="43"/>
                <w:rFonts w:hint="eastAsia" w:ascii="宋体" w:hAnsi="宋体" w:eastAsia="宋体" w:cs="宋体"/>
                <w:b w:val="0"/>
                <w:bCs/>
                <w:sz w:val="21"/>
                <w:szCs w:val="21"/>
                <w:lang w:val="en-US" w:eastAsia="zh-CN" w:bidi="ar"/>
              </w:rPr>
              <w:t>应急通信保障、</w:t>
            </w:r>
            <w:r>
              <w:rPr>
                <w:rStyle w:val="44"/>
                <w:rFonts w:hint="eastAsia" w:ascii="宋体" w:hAnsi="宋体" w:eastAsia="宋体" w:cs="宋体"/>
                <w:b w:val="0"/>
                <w:bCs/>
                <w:sz w:val="21"/>
                <w:szCs w:val="21"/>
                <w:lang w:val="en-US" w:eastAsia="zh-CN" w:bidi="ar"/>
              </w:rPr>
              <w:t xml:space="preserve">Z3-1 </w:t>
            </w:r>
            <w:r>
              <w:rPr>
                <w:rStyle w:val="43"/>
                <w:rFonts w:hint="eastAsia" w:ascii="宋体" w:hAnsi="宋体" w:eastAsia="宋体" w:cs="宋体"/>
                <w:b w:val="0"/>
                <w:bCs/>
                <w:sz w:val="21"/>
                <w:szCs w:val="21"/>
                <w:lang w:val="en-US" w:eastAsia="zh-CN" w:bidi="ar"/>
              </w:rPr>
              <w:t>行业发展、</w:t>
            </w:r>
            <w:r>
              <w:rPr>
                <w:rStyle w:val="44"/>
                <w:rFonts w:hint="eastAsia" w:ascii="宋体" w:hAnsi="宋体" w:eastAsia="宋体" w:cs="宋体"/>
                <w:b w:val="0"/>
                <w:bCs/>
                <w:sz w:val="21"/>
                <w:szCs w:val="21"/>
                <w:lang w:val="en-US" w:eastAsia="zh-CN" w:bidi="ar"/>
              </w:rPr>
              <w:t xml:space="preserve">Z3-2 </w:t>
            </w:r>
            <w:r>
              <w:rPr>
                <w:rStyle w:val="43"/>
                <w:rFonts w:hint="eastAsia" w:ascii="宋体" w:hAnsi="宋体" w:eastAsia="宋体" w:cs="宋体"/>
                <w:b w:val="0"/>
                <w:bCs/>
                <w:sz w:val="21"/>
                <w:szCs w:val="21"/>
                <w:lang w:val="en-US" w:eastAsia="zh-CN" w:bidi="ar"/>
              </w:rPr>
              <w:t>行业发展战略规划与重大决策、</w:t>
            </w:r>
            <w:r>
              <w:rPr>
                <w:rStyle w:val="44"/>
                <w:rFonts w:hint="eastAsia" w:ascii="宋体" w:hAnsi="宋体" w:eastAsia="宋体" w:cs="宋体"/>
                <w:b w:val="0"/>
                <w:bCs/>
                <w:sz w:val="21"/>
                <w:szCs w:val="21"/>
                <w:lang w:val="en-US" w:eastAsia="zh-CN" w:bidi="ar"/>
              </w:rPr>
              <w:t xml:space="preserve">Z4-1 </w:t>
            </w:r>
            <w:r>
              <w:rPr>
                <w:rStyle w:val="43"/>
                <w:rFonts w:hint="eastAsia" w:ascii="宋体" w:hAnsi="宋体" w:eastAsia="宋体" w:cs="宋体"/>
                <w:b w:val="0"/>
                <w:bCs/>
                <w:sz w:val="21"/>
                <w:szCs w:val="21"/>
                <w:lang w:val="en-US" w:eastAsia="zh-CN" w:bidi="ar"/>
              </w:rPr>
              <w:t>出口管制物项、</w:t>
            </w:r>
            <w:r>
              <w:rPr>
                <w:rStyle w:val="44"/>
                <w:rFonts w:hint="eastAsia" w:ascii="宋体" w:hAnsi="宋体" w:eastAsia="宋体" w:cs="宋体"/>
                <w:b w:val="0"/>
                <w:bCs/>
                <w:sz w:val="21"/>
                <w:szCs w:val="21"/>
                <w:lang w:val="en-US" w:eastAsia="zh-CN" w:bidi="ar"/>
              </w:rPr>
              <w:t xml:space="preserve">Z4-2 </w:t>
            </w:r>
            <w:r>
              <w:rPr>
                <w:rStyle w:val="43"/>
                <w:rFonts w:hint="eastAsia" w:ascii="宋体" w:hAnsi="宋体" w:eastAsia="宋体" w:cs="宋体"/>
                <w:b w:val="0"/>
                <w:bCs/>
                <w:sz w:val="21"/>
                <w:szCs w:val="21"/>
                <w:lang w:val="en-US" w:eastAsia="zh-CN" w:bidi="ar"/>
              </w:rPr>
              <w:t>重大科技成果、</w:t>
            </w:r>
            <w:r>
              <w:rPr>
                <w:rStyle w:val="44"/>
                <w:rFonts w:hint="eastAsia" w:ascii="宋体" w:hAnsi="宋体" w:eastAsia="宋体" w:cs="宋体"/>
                <w:b w:val="0"/>
                <w:bCs/>
                <w:sz w:val="21"/>
                <w:szCs w:val="21"/>
                <w:lang w:val="en-US" w:eastAsia="zh-CN" w:bidi="ar"/>
              </w:rPr>
              <w:t xml:space="preserve">Z4-3 </w:t>
            </w:r>
            <w:r>
              <w:rPr>
                <w:rStyle w:val="43"/>
                <w:rFonts w:hint="eastAsia" w:ascii="宋体" w:hAnsi="宋体" w:eastAsia="宋体" w:cs="宋体"/>
                <w:b w:val="0"/>
                <w:bCs/>
                <w:sz w:val="21"/>
                <w:szCs w:val="21"/>
                <w:lang w:val="en-US" w:eastAsia="zh-CN" w:bidi="ar"/>
              </w:rPr>
              <w:t>国家科技计划、</w:t>
            </w:r>
            <w:r>
              <w:rPr>
                <w:rStyle w:val="44"/>
                <w:rFonts w:hint="eastAsia" w:ascii="宋体" w:hAnsi="宋体" w:eastAsia="宋体" w:cs="宋体"/>
                <w:b w:val="0"/>
                <w:bCs/>
                <w:sz w:val="21"/>
                <w:szCs w:val="21"/>
                <w:lang w:val="en-US" w:eastAsia="zh-CN" w:bidi="ar"/>
              </w:rPr>
              <w:t xml:space="preserve">Z5-1 </w:t>
            </w:r>
            <w:r>
              <w:rPr>
                <w:rStyle w:val="43"/>
                <w:rFonts w:hint="eastAsia" w:ascii="宋体" w:hAnsi="宋体" w:eastAsia="宋体" w:cs="宋体"/>
                <w:b w:val="0"/>
                <w:bCs/>
                <w:sz w:val="21"/>
                <w:szCs w:val="21"/>
                <w:lang w:val="en-US" w:eastAsia="zh-CN" w:bidi="ar"/>
              </w:rPr>
              <w:t>一定规模个人信息、</w:t>
            </w:r>
            <w:r>
              <w:rPr>
                <w:rStyle w:val="44"/>
                <w:rFonts w:hint="eastAsia" w:ascii="宋体" w:hAnsi="宋体" w:eastAsia="宋体" w:cs="宋体"/>
                <w:b w:val="0"/>
                <w:bCs/>
                <w:sz w:val="21"/>
                <w:szCs w:val="21"/>
                <w:lang w:val="en-US" w:eastAsia="zh-CN" w:bidi="ar"/>
              </w:rPr>
              <w:t xml:space="preserve">Z5-2 </w:t>
            </w:r>
            <w:r>
              <w:rPr>
                <w:rStyle w:val="43"/>
                <w:rFonts w:hint="eastAsia" w:ascii="宋体" w:hAnsi="宋体" w:eastAsia="宋体" w:cs="宋体"/>
                <w:b w:val="0"/>
                <w:bCs/>
                <w:sz w:val="21"/>
                <w:szCs w:val="21"/>
                <w:lang w:val="en-US" w:eastAsia="zh-CN" w:bidi="ar"/>
              </w:rPr>
              <w:t>其他</w:t>
            </w:r>
          </w:p>
        </w:tc>
      </w:tr>
      <w:tr w14:paraId="081D4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89" w:type="pct"/>
            <w:vMerge w:val="restart"/>
            <w:tcBorders>
              <w:top w:val="single" w:color="000000" w:sz="4" w:space="0"/>
              <w:left w:val="single" w:color="000000" w:sz="4" w:space="0"/>
              <w:bottom w:val="single" w:color="000000" w:sz="4" w:space="0"/>
              <w:right w:val="single" w:color="000000" w:sz="4" w:space="0"/>
            </w:tcBorders>
            <w:noWrap w:val="0"/>
            <w:vAlign w:val="center"/>
          </w:tcPr>
          <w:p w14:paraId="5A4E663C">
            <w:pPr>
              <w:keepNext w:val="0"/>
              <w:keepLines w:val="0"/>
              <w:widowControl/>
              <w:suppressLineNumbers w:val="0"/>
              <w:jc w:val="center"/>
              <w:textAlignment w:val="center"/>
              <w:rPr>
                <w:rFonts w:hint="eastAsia" w:ascii="宋体" w:hAnsi="宋体" w:eastAsia="宋体" w:cs="宋体"/>
                <w:b w:val="0"/>
                <w:bCs/>
                <w:i w:val="0"/>
                <w:iCs w:val="0"/>
                <w:color w:val="000000"/>
                <w:sz w:val="21"/>
                <w:szCs w:val="21"/>
                <w:u w:val="none"/>
              </w:rPr>
            </w:pPr>
            <w:r>
              <w:rPr>
                <w:rFonts w:hint="eastAsia" w:ascii="宋体" w:hAnsi="宋体" w:eastAsia="宋体" w:cs="宋体"/>
                <w:b w:val="0"/>
                <w:bCs/>
                <w:i w:val="0"/>
                <w:iCs w:val="0"/>
                <w:color w:val="000000"/>
                <w:kern w:val="0"/>
                <w:sz w:val="21"/>
                <w:szCs w:val="21"/>
                <w:u w:val="none"/>
                <w:lang w:val="en-US" w:eastAsia="zh-CN" w:bidi="ar"/>
              </w:rPr>
              <w:t>一般数据-</w:t>
            </w:r>
            <w:r>
              <w:rPr>
                <w:rStyle w:val="44"/>
                <w:rFonts w:hint="eastAsia" w:ascii="宋体" w:hAnsi="宋体" w:eastAsia="宋体" w:cs="宋体"/>
                <w:b w:val="0"/>
                <w:bCs/>
                <w:sz w:val="21"/>
                <w:szCs w:val="21"/>
                <w:lang w:val="en-US" w:eastAsia="zh-CN" w:bidi="ar"/>
              </w:rPr>
              <w:t>4</w:t>
            </w:r>
            <w:r>
              <w:rPr>
                <w:rStyle w:val="43"/>
                <w:rFonts w:hint="eastAsia" w:ascii="宋体" w:hAnsi="宋体" w:eastAsia="宋体" w:cs="宋体"/>
                <w:b w:val="0"/>
                <w:bCs/>
                <w:sz w:val="21"/>
                <w:szCs w:val="21"/>
                <w:lang w:val="en-US" w:eastAsia="zh-CN" w:bidi="ar"/>
              </w:rPr>
              <w:t>级</w:t>
            </w:r>
          </w:p>
        </w:tc>
        <w:tc>
          <w:tcPr>
            <w:tcW w:w="3910" w:type="pct"/>
            <w:tcBorders>
              <w:top w:val="single" w:color="000000" w:sz="4" w:space="0"/>
              <w:left w:val="single" w:color="000000" w:sz="4" w:space="0"/>
              <w:bottom w:val="single" w:color="000000" w:sz="4" w:space="0"/>
              <w:right w:val="single" w:color="000000" w:sz="4" w:space="0"/>
            </w:tcBorders>
            <w:noWrap w:val="0"/>
            <w:vAlign w:val="center"/>
          </w:tcPr>
          <w:p w14:paraId="4289DACF">
            <w:pPr>
              <w:keepNext w:val="0"/>
              <w:keepLines w:val="0"/>
              <w:widowControl/>
              <w:suppressLineNumbers w:val="0"/>
              <w:jc w:val="left"/>
              <w:textAlignment w:val="center"/>
              <w:rPr>
                <w:rFonts w:hint="eastAsia" w:ascii="宋体" w:hAnsi="宋体" w:eastAsia="宋体" w:cs="宋体"/>
                <w:b w:val="0"/>
                <w:bCs/>
                <w:i w:val="0"/>
                <w:iCs w:val="0"/>
                <w:color w:val="000000"/>
                <w:sz w:val="21"/>
                <w:szCs w:val="21"/>
                <w:u w:val="none"/>
              </w:rPr>
            </w:pPr>
            <w:r>
              <w:rPr>
                <w:rStyle w:val="44"/>
                <w:rFonts w:hint="eastAsia" w:ascii="宋体" w:hAnsi="宋体" w:eastAsia="宋体" w:cs="宋体"/>
                <w:b w:val="0"/>
                <w:bCs/>
                <w:sz w:val="21"/>
                <w:szCs w:val="21"/>
                <w:lang w:val="en-US" w:eastAsia="zh-CN" w:bidi="ar"/>
              </w:rPr>
              <w:t xml:space="preserve">A1-4 </w:t>
            </w:r>
            <w:r>
              <w:rPr>
                <w:rStyle w:val="43"/>
                <w:rFonts w:hint="eastAsia" w:ascii="宋体" w:hAnsi="宋体" w:eastAsia="宋体" w:cs="宋体"/>
                <w:b w:val="0"/>
                <w:bCs/>
                <w:sz w:val="21"/>
                <w:szCs w:val="21"/>
                <w:lang w:val="en-US" w:eastAsia="zh-CN" w:bidi="ar"/>
              </w:rPr>
              <w:t>实体身份证明、</w:t>
            </w:r>
            <w:r>
              <w:rPr>
                <w:rStyle w:val="44"/>
                <w:rFonts w:hint="eastAsia" w:ascii="宋体" w:hAnsi="宋体" w:eastAsia="宋体" w:cs="宋体"/>
                <w:b w:val="0"/>
                <w:bCs/>
                <w:sz w:val="21"/>
                <w:szCs w:val="21"/>
                <w:lang w:val="en-US" w:eastAsia="zh-CN" w:bidi="ar"/>
              </w:rPr>
              <w:t xml:space="preserve"> A1-5 </w:t>
            </w:r>
            <w:r>
              <w:rPr>
                <w:rStyle w:val="43"/>
                <w:rFonts w:hint="eastAsia" w:ascii="宋体" w:hAnsi="宋体" w:eastAsia="宋体" w:cs="宋体"/>
                <w:b w:val="0"/>
                <w:bCs/>
                <w:sz w:val="21"/>
                <w:szCs w:val="21"/>
                <w:lang w:val="en-US" w:eastAsia="zh-CN" w:bidi="ar"/>
              </w:rPr>
              <w:t>用户私密信息、</w:t>
            </w:r>
            <w:r>
              <w:rPr>
                <w:rStyle w:val="44"/>
                <w:rFonts w:hint="eastAsia" w:ascii="宋体" w:hAnsi="宋体" w:eastAsia="宋体" w:cs="宋体"/>
                <w:b w:val="0"/>
                <w:bCs/>
                <w:sz w:val="21"/>
                <w:szCs w:val="21"/>
                <w:lang w:val="en-US" w:eastAsia="zh-CN" w:bidi="ar"/>
              </w:rPr>
              <w:t xml:space="preserve">A2-1 </w:t>
            </w:r>
            <w:r>
              <w:rPr>
                <w:rStyle w:val="43"/>
                <w:rFonts w:hint="eastAsia" w:ascii="宋体" w:hAnsi="宋体" w:eastAsia="宋体" w:cs="宋体"/>
                <w:b w:val="0"/>
                <w:bCs/>
                <w:sz w:val="21"/>
                <w:szCs w:val="21"/>
                <w:lang w:val="en-US" w:eastAsia="zh-CN" w:bidi="ar"/>
              </w:rPr>
              <w:t>用户密码及关联信息、</w:t>
            </w:r>
            <w:r>
              <w:rPr>
                <w:rStyle w:val="44"/>
                <w:rFonts w:hint="eastAsia" w:ascii="宋体" w:hAnsi="宋体" w:eastAsia="宋体" w:cs="宋体"/>
                <w:b w:val="0"/>
                <w:bCs/>
                <w:sz w:val="21"/>
                <w:szCs w:val="21"/>
                <w:lang w:val="en-US" w:eastAsia="zh-CN" w:bidi="ar"/>
              </w:rPr>
              <w:t xml:space="preserve"> B1-2 </w:t>
            </w:r>
            <w:r>
              <w:rPr>
                <w:rStyle w:val="43"/>
                <w:rFonts w:hint="eastAsia" w:ascii="宋体" w:hAnsi="宋体" w:eastAsia="宋体" w:cs="宋体"/>
                <w:b w:val="0"/>
                <w:bCs/>
                <w:sz w:val="21"/>
                <w:szCs w:val="21"/>
                <w:lang w:val="en-US" w:eastAsia="zh-CN" w:bidi="ar"/>
              </w:rPr>
              <w:t>联系人信息、</w:t>
            </w:r>
          </w:p>
        </w:tc>
      </w:tr>
      <w:tr w14:paraId="4B296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1C506F">
            <w:pPr>
              <w:jc w:val="center"/>
              <w:rPr>
                <w:rFonts w:hint="eastAsia" w:ascii="宋体" w:hAnsi="宋体" w:eastAsia="宋体" w:cs="宋体"/>
                <w:b w:val="0"/>
                <w:bCs/>
                <w:i w:val="0"/>
                <w:iCs w:val="0"/>
                <w:color w:val="000000"/>
                <w:sz w:val="21"/>
                <w:szCs w:val="21"/>
                <w:u w:val="none"/>
              </w:rPr>
            </w:pPr>
          </w:p>
        </w:tc>
        <w:tc>
          <w:tcPr>
            <w:tcW w:w="3910" w:type="pct"/>
            <w:tcBorders>
              <w:top w:val="single" w:color="000000" w:sz="4" w:space="0"/>
              <w:left w:val="single" w:color="000000" w:sz="4" w:space="0"/>
              <w:bottom w:val="single" w:color="000000" w:sz="4" w:space="0"/>
              <w:right w:val="single" w:color="000000" w:sz="4" w:space="0"/>
            </w:tcBorders>
            <w:noWrap w:val="0"/>
            <w:vAlign w:val="center"/>
          </w:tcPr>
          <w:p w14:paraId="646630B2">
            <w:pPr>
              <w:keepNext w:val="0"/>
              <w:keepLines w:val="0"/>
              <w:widowControl/>
              <w:suppressLineNumbers w:val="0"/>
              <w:jc w:val="left"/>
              <w:textAlignment w:val="center"/>
              <w:rPr>
                <w:rFonts w:hint="eastAsia" w:ascii="宋体" w:hAnsi="宋体" w:eastAsia="宋体" w:cs="宋体"/>
                <w:b w:val="0"/>
                <w:bCs/>
                <w:i w:val="0"/>
                <w:iCs w:val="0"/>
                <w:color w:val="000000"/>
                <w:sz w:val="21"/>
                <w:szCs w:val="21"/>
                <w:u w:val="none"/>
              </w:rPr>
            </w:pPr>
            <w:r>
              <w:rPr>
                <w:rStyle w:val="44"/>
                <w:rFonts w:hint="eastAsia" w:ascii="宋体" w:hAnsi="宋体" w:eastAsia="宋体" w:cs="宋体"/>
                <w:b w:val="0"/>
                <w:bCs/>
                <w:sz w:val="21"/>
                <w:szCs w:val="21"/>
                <w:lang w:val="en-US" w:eastAsia="zh-CN" w:bidi="ar"/>
              </w:rPr>
              <w:t xml:space="preserve">E1 </w:t>
            </w:r>
            <w:r>
              <w:rPr>
                <w:rStyle w:val="43"/>
                <w:rFonts w:hint="eastAsia" w:ascii="宋体" w:hAnsi="宋体" w:eastAsia="宋体" w:cs="宋体"/>
                <w:b w:val="0"/>
                <w:bCs/>
                <w:sz w:val="21"/>
                <w:szCs w:val="21"/>
                <w:lang w:val="en-US" w:eastAsia="zh-CN" w:bidi="ar"/>
              </w:rPr>
              <w:t>网络规划建设类数据（关键系统，发布前）、</w:t>
            </w:r>
            <w:r>
              <w:rPr>
                <w:rStyle w:val="44"/>
                <w:rFonts w:hint="eastAsia" w:ascii="宋体" w:hAnsi="宋体" w:eastAsia="宋体" w:cs="宋体"/>
                <w:b w:val="0"/>
                <w:bCs/>
                <w:sz w:val="21"/>
                <w:szCs w:val="21"/>
                <w:lang w:val="en-US" w:eastAsia="zh-CN" w:bidi="ar"/>
              </w:rPr>
              <w:t xml:space="preserve"> E2 </w:t>
            </w:r>
            <w:r>
              <w:rPr>
                <w:rStyle w:val="43"/>
                <w:rFonts w:hint="eastAsia" w:ascii="宋体" w:hAnsi="宋体" w:eastAsia="宋体" w:cs="宋体"/>
                <w:b w:val="0"/>
                <w:bCs/>
                <w:sz w:val="21"/>
                <w:szCs w:val="21"/>
                <w:lang w:val="en-US" w:eastAsia="zh-CN" w:bidi="ar"/>
              </w:rPr>
              <w:t>网络与系统资源类数据（关键系统）、</w:t>
            </w:r>
            <w:r>
              <w:rPr>
                <w:rStyle w:val="44"/>
                <w:rFonts w:hint="eastAsia" w:ascii="宋体" w:hAnsi="宋体" w:eastAsia="宋体" w:cs="宋体"/>
                <w:b w:val="0"/>
                <w:bCs/>
                <w:sz w:val="21"/>
                <w:szCs w:val="21"/>
                <w:lang w:val="en-US" w:eastAsia="zh-CN" w:bidi="ar"/>
              </w:rPr>
              <w:t xml:space="preserve"> E3 </w:t>
            </w:r>
            <w:r>
              <w:rPr>
                <w:rStyle w:val="43"/>
                <w:rFonts w:hint="eastAsia" w:ascii="宋体" w:hAnsi="宋体" w:eastAsia="宋体" w:cs="宋体"/>
                <w:b w:val="0"/>
                <w:bCs/>
                <w:sz w:val="21"/>
                <w:szCs w:val="21"/>
                <w:lang w:val="en-US" w:eastAsia="zh-CN" w:bidi="ar"/>
              </w:rPr>
              <w:t>网络与系统运维类数据（关键系统）、</w:t>
            </w:r>
            <w:r>
              <w:rPr>
                <w:rStyle w:val="44"/>
                <w:rFonts w:hint="eastAsia" w:ascii="宋体" w:hAnsi="宋体" w:eastAsia="宋体" w:cs="宋体"/>
                <w:b w:val="0"/>
                <w:bCs/>
                <w:sz w:val="21"/>
                <w:szCs w:val="21"/>
                <w:lang w:val="en-US" w:eastAsia="zh-CN" w:bidi="ar"/>
              </w:rPr>
              <w:t xml:space="preserve"> E4 </w:t>
            </w:r>
            <w:r>
              <w:rPr>
                <w:rStyle w:val="43"/>
                <w:rFonts w:hint="eastAsia" w:ascii="宋体" w:hAnsi="宋体" w:eastAsia="宋体" w:cs="宋体"/>
                <w:b w:val="0"/>
                <w:bCs/>
                <w:sz w:val="21"/>
                <w:szCs w:val="21"/>
                <w:lang w:val="en-US" w:eastAsia="zh-CN" w:bidi="ar"/>
              </w:rPr>
              <w:t>网络安全管理类数据（关键系统）、</w:t>
            </w:r>
          </w:p>
        </w:tc>
      </w:tr>
      <w:tr w14:paraId="76476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9" w:type="pct"/>
            <w:vMerge w:val="restart"/>
            <w:tcBorders>
              <w:top w:val="single" w:color="000000" w:sz="4" w:space="0"/>
              <w:left w:val="single" w:color="000000" w:sz="4" w:space="0"/>
              <w:bottom w:val="single" w:color="000000" w:sz="4" w:space="0"/>
              <w:right w:val="single" w:color="000000" w:sz="4" w:space="0"/>
            </w:tcBorders>
            <w:noWrap w:val="0"/>
            <w:vAlign w:val="center"/>
          </w:tcPr>
          <w:p w14:paraId="7D8EC9BB">
            <w:pPr>
              <w:keepNext w:val="0"/>
              <w:keepLines w:val="0"/>
              <w:widowControl/>
              <w:suppressLineNumbers w:val="0"/>
              <w:jc w:val="center"/>
              <w:textAlignment w:val="center"/>
              <w:rPr>
                <w:rFonts w:hint="eastAsia" w:ascii="宋体" w:hAnsi="宋体" w:eastAsia="宋体" w:cs="宋体"/>
                <w:b w:val="0"/>
                <w:bCs/>
                <w:i w:val="0"/>
                <w:iCs w:val="0"/>
                <w:color w:val="000000"/>
                <w:sz w:val="21"/>
                <w:szCs w:val="21"/>
                <w:u w:val="none"/>
              </w:rPr>
            </w:pPr>
            <w:r>
              <w:rPr>
                <w:rFonts w:hint="eastAsia" w:ascii="宋体" w:hAnsi="宋体" w:eastAsia="宋体" w:cs="宋体"/>
                <w:b w:val="0"/>
                <w:bCs/>
                <w:i w:val="0"/>
                <w:iCs w:val="0"/>
                <w:color w:val="000000"/>
                <w:kern w:val="0"/>
                <w:sz w:val="21"/>
                <w:szCs w:val="21"/>
                <w:u w:val="none"/>
                <w:lang w:val="en-US" w:eastAsia="zh-CN" w:bidi="ar"/>
              </w:rPr>
              <w:t>一般数据-</w:t>
            </w:r>
            <w:r>
              <w:rPr>
                <w:rStyle w:val="44"/>
                <w:rFonts w:hint="eastAsia" w:ascii="宋体" w:hAnsi="宋体" w:eastAsia="宋体" w:cs="宋体"/>
                <w:b w:val="0"/>
                <w:bCs/>
                <w:sz w:val="21"/>
                <w:szCs w:val="21"/>
                <w:lang w:val="en-US" w:eastAsia="zh-CN" w:bidi="ar"/>
              </w:rPr>
              <w:t>3</w:t>
            </w:r>
            <w:r>
              <w:rPr>
                <w:rStyle w:val="43"/>
                <w:rFonts w:hint="eastAsia" w:ascii="宋体" w:hAnsi="宋体" w:eastAsia="宋体" w:cs="宋体"/>
                <w:b w:val="0"/>
                <w:bCs/>
                <w:sz w:val="21"/>
                <w:szCs w:val="21"/>
                <w:lang w:val="en-US" w:eastAsia="zh-CN" w:bidi="ar"/>
              </w:rPr>
              <w:t>级</w:t>
            </w:r>
          </w:p>
        </w:tc>
        <w:tc>
          <w:tcPr>
            <w:tcW w:w="3910" w:type="pct"/>
            <w:tcBorders>
              <w:top w:val="single" w:color="000000" w:sz="4" w:space="0"/>
              <w:left w:val="single" w:color="000000" w:sz="4" w:space="0"/>
              <w:bottom w:val="single" w:color="000000" w:sz="4" w:space="0"/>
              <w:right w:val="single" w:color="000000" w:sz="4" w:space="0"/>
            </w:tcBorders>
            <w:noWrap w:val="0"/>
            <w:vAlign w:val="center"/>
          </w:tcPr>
          <w:p w14:paraId="1E8B5CAE">
            <w:pPr>
              <w:keepNext w:val="0"/>
              <w:keepLines w:val="0"/>
              <w:widowControl/>
              <w:suppressLineNumbers w:val="0"/>
              <w:jc w:val="left"/>
              <w:textAlignment w:val="center"/>
              <w:rPr>
                <w:rFonts w:hint="eastAsia" w:ascii="宋体" w:hAnsi="宋体" w:eastAsia="宋体" w:cs="宋体"/>
                <w:b w:val="0"/>
                <w:bCs/>
                <w:i w:val="0"/>
                <w:iCs w:val="0"/>
                <w:color w:val="000000"/>
                <w:sz w:val="21"/>
                <w:szCs w:val="21"/>
                <w:u w:val="none"/>
              </w:rPr>
            </w:pPr>
            <w:r>
              <w:rPr>
                <w:rStyle w:val="44"/>
                <w:rFonts w:hint="eastAsia" w:ascii="宋体" w:hAnsi="宋体" w:eastAsia="宋体" w:cs="宋体"/>
                <w:b w:val="0"/>
                <w:bCs/>
                <w:sz w:val="21"/>
                <w:szCs w:val="21"/>
                <w:lang w:val="en-US" w:eastAsia="zh-CN" w:bidi="ar"/>
              </w:rPr>
              <w:t xml:space="preserve">A1-1 </w:t>
            </w:r>
            <w:r>
              <w:rPr>
                <w:rStyle w:val="43"/>
                <w:rFonts w:hint="eastAsia" w:ascii="宋体" w:hAnsi="宋体" w:eastAsia="宋体" w:cs="宋体"/>
                <w:b w:val="0"/>
                <w:bCs/>
                <w:sz w:val="21"/>
                <w:szCs w:val="21"/>
                <w:lang w:val="en-US" w:eastAsia="zh-CN" w:bidi="ar"/>
              </w:rPr>
              <w:t>自然人身份标识、</w:t>
            </w:r>
            <w:r>
              <w:rPr>
                <w:rStyle w:val="44"/>
                <w:rFonts w:hint="eastAsia" w:ascii="宋体" w:hAnsi="宋体" w:eastAsia="宋体" w:cs="宋体"/>
                <w:b w:val="0"/>
                <w:bCs/>
                <w:sz w:val="21"/>
                <w:szCs w:val="21"/>
                <w:lang w:val="en-US" w:eastAsia="zh-CN" w:bidi="ar"/>
              </w:rPr>
              <w:t xml:space="preserve">B1-1 </w:t>
            </w:r>
            <w:r>
              <w:rPr>
                <w:rStyle w:val="43"/>
                <w:rFonts w:hint="eastAsia" w:ascii="宋体" w:hAnsi="宋体" w:eastAsia="宋体" w:cs="宋体"/>
                <w:b w:val="0"/>
                <w:bCs/>
                <w:sz w:val="21"/>
                <w:szCs w:val="21"/>
                <w:lang w:val="en-US" w:eastAsia="zh-CN" w:bidi="ar"/>
              </w:rPr>
              <w:t>服务内容数据、</w:t>
            </w:r>
            <w:r>
              <w:rPr>
                <w:rStyle w:val="44"/>
                <w:rFonts w:hint="eastAsia" w:ascii="宋体" w:hAnsi="宋体" w:eastAsia="宋体" w:cs="宋体"/>
                <w:b w:val="0"/>
                <w:bCs/>
                <w:sz w:val="21"/>
                <w:szCs w:val="21"/>
                <w:lang w:val="en-US" w:eastAsia="zh-CN" w:bidi="ar"/>
              </w:rPr>
              <w:t xml:space="preserve">C1-2 </w:t>
            </w:r>
            <w:r>
              <w:rPr>
                <w:rStyle w:val="43"/>
                <w:rFonts w:hint="eastAsia" w:ascii="宋体" w:hAnsi="宋体" w:eastAsia="宋体" w:cs="宋体"/>
                <w:b w:val="0"/>
                <w:bCs/>
                <w:sz w:val="21"/>
                <w:szCs w:val="21"/>
                <w:lang w:val="en-US" w:eastAsia="zh-CN" w:bidi="ar"/>
              </w:rPr>
              <w:t>服务记录和日志、</w:t>
            </w:r>
            <w:r>
              <w:rPr>
                <w:rStyle w:val="44"/>
                <w:rFonts w:hint="eastAsia" w:ascii="宋体" w:hAnsi="宋体" w:eastAsia="宋体" w:cs="宋体"/>
                <w:b w:val="0"/>
                <w:bCs/>
                <w:sz w:val="21"/>
                <w:szCs w:val="21"/>
                <w:lang w:val="en-US" w:eastAsia="zh-CN" w:bidi="ar"/>
              </w:rPr>
              <w:t xml:space="preserve">C1-4 </w:t>
            </w:r>
            <w:r>
              <w:rPr>
                <w:rStyle w:val="43"/>
                <w:rFonts w:hint="eastAsia" w:ascii="宋体" w:hAnsi="宋体" w:eastAsia="宋体" w:cs="宋体"/>
                <w:b w:val="0"/>
                <w:bCs/>
                <w:sz w:val="21"/>
                <w:szCs w:val="21"/>
                <w:lang w:val="en-US" w:eastAsia="zh-CN" w:bidi="ar"/>
              </w:rPr>
              <w:t>位置数据、</w:t>
            </w:r>
            <w:r>
              <w:rPr>
                <w:rStyle w:val="44"/>
                <w:rFonts w:hint="eastAsia" w:ascii="宋体" w:hAnsi="宋体" w:eastAsia="宋体" w:cs="宋体"/>
                <w:b w:val="0"/>
                <w:bCs/>
                <w:sz w:val="21"/>
                <w:szCs w:val="21"/>
                <w:lang w:val="en-US" w:eastAsia="zh-CN" w:bidi="ar"/>
              </w:rPr>
              <w:t xml:space="preserve"> D1-1 </w:t>
            </w:r>
            <w:r>
              <w:rPr>
                <w:rStyle w:val="43"/>
                <w:rFonts w:hint="eastAsia" w:ascii="宋体" w:hAnsi="宋体" w:eastAsia="宋体" w:cs="宋体"/>
                <w:b w:val="0"/>
                <w:bCs/>
                <w:sz w:val="21"/>
                <w:szCs w:val="21"/>
                <w:lang w:val="en-US" w:eastAsia="zh-CN" w:bidi="ar"/>
              </w:rPr>
              <w:t>用户使用习惯和行为分析数据、</w:t>
            </w:r>
            <w:r>
              <w:rPr>
                <w:rStyle w:val="44"/>
                <w:rFonts w:hint="eastAsia" w:ascii="宋体" w:hAnsi="宋体" w:eastAsia="宋体" w:cs="宋体"/>
                <w:b w:val="0"/>
                <w:bCs/>
                <w:sz w:val="21"/>
                <w:szCs w:val="21"/>
                <w:lang w:val="en-US" w:eastAsia="zh-CN" w:bidi="ar"/>
              </w:rPr>
              <w:t xml:space="preserve"> D1-2 </w:t>
            </w:r>
            <w:r>
              <w:rPr>
                <w:rStyle w:val="43"/>
                <w:rFonts w:hint="eastAsia" w:ascii="宋体" w:hAnsi="宋体" w:eastAsia="宋体" w:cs="宋体"/>
                <w:b w:val="0"/>
                <w:bCs/>
                <w:sz w:val="21"/>
                <w:szCs w:val="21"/>
                <w:lang w:val="en-US" w:eastAsia="zh-CN" w:bidi="ar"/>
              </w:rPr>
              <w:t>用户上网行为相关统计分析数据、</w:t>
            </w:r>
          </w:p>
        </w:tc>
      </w:tr>
      <w:tr w14:paraId="73F6E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B7455A">
            <w:pPr>
              <w:jc w:val="center"/>
              <w:rPr>
                <w:rFonts w:hint="eastAsia" w:ascii="宋体" w:hAnsi="宋体" w:eastAsia="宋体" w:cs="宋体"/>
                <w:b w:val="0"/>
                <w:bCs/>
                <w:i w:val="0"/>
                <w:iCs w:val="0"/>
                <w:color w:val="000000"/>
                <w:sz w:val="21"/>
                <w:szCs w:val="21"/>
                <w:u w:val="none"/>
              </w:rPr>
            </w:pPr>
          </w:p>
        </w:tc>
        <w:tc>
          <w:tcPr>
            <w:tcW w:w="3910" w:type="pct"/>
            <w:tcBorders>
              <w:top w:val="single" w:color="000000" w:sz="4" w:space="0"/>
              <w:left w:val="single" w:color="000000" w:sz="4" w:space="0"/>
              <w:bottom w:val="single" w:color="000000" w:sz="4" w:space="0"/>
              <w:right w:val="single" w:color="000000" w:sz="4" w:space="0"/>
            </w:tcBorders>
            <w:noWrap w:val="0"/>
            <w:vAlign w:val="center"/>
          </w:tcPr>
          <w:p w14:paraId="22CEED17">
            <w:pPr>
              <w:keepNext w:val="0"/>
              <w:keepLines w:val="0"/>
              <w:widowControl/>
              <w:suppressLineNumbers w:val="0"/>
              <w:jc w:val="left"/>
              <w:textAlignment w:val="center"/>
              <w:rPr>
                <w:rFonts w:hint="eastAsia" w:ascii="宋体" w:hAnsi="宋体" w:eastAsia="宋体" w:cs="宋体"/>
                <w:b w:val="0"/>
                <w:bCs/>
                <w:i w:val="0"/>
                <w:iCs w:val="0"/>
                <w:color w:val="000000"/>
                <w:sz w:val="21"/>
                <w:szCs w:val="21"/>
                <w:u w:val="none"/>
              </w:rPr>
            </w:pPr>
            <w:r>
              <w:rPr>
                <w:rStyle w:val="44"/>
                <w:rFonts w:hint="eastAsia" w:ascii="宋体" w:hAnsi="宋体" w:eastAsia="宋体" w:cs="宋体"/>
                <w:b w:val="0"/>
                <w:bCs/>
                <w:sz w:val="21"/>
                <w:szCs w:val="21"/>
                <w:lang w:val="en-US" w:eastAsia="zh-CN" w:bidi="ar"/>
              </w:rPr>
              <w:t xml:space="preserve">E1 </w:t>
            </w:r>
            <w:r>
              <w:rPr>
                <w:rStyle w:val="43"/>
                <w:rFonts w:hint="eastAsia" w:ascii="宋体" w:hAnsi="宋体" w:eastAsia="宋体" w:cs="宋体"/>
                <w:b w:val="0"/>
                <w:bCs/>
                <w:sz w:val="21"/>
                <w:szCs w:val="21"/>
                <w:lang w:val="en-US" w:eastAsia="zh-CN" w:bidi="ar"/>
              </w:rPr>
              <w:t>网络规划建设类数据（等保</w:t>
            </w:r>
            <w:r>
              <w:rPr>
                <w:rStyle w:val="44"/>
                <w:rFonts w:hint="eastAsia" w:ascii="宋体" w:hAnsi="宋体" w:eastAsia="宋体" w:cs="宋体"/>
                <w:b w:val="0"/>
                <w:bCs/>
                <w:sz w:val="21"/>
                <w:szCs w:val="21"/>
                <w:lang w:val="en-US" w:eastAsia="zh-CN" w:bidi="ar"/>
              </w:rPr>
              <w:t>3</w:t>
            </w:r>
            <w:r>
              <w:rPr>
                <w:rStyle w:val="43"/>
                <w:rFonts w:hint="eastAsia" w:ascii="宋体" w:hAnsi="宋体" w:eastAsia="宋体" w:cs="宋体"/>
                <w:b w:val="0"/>
                <w:bCs/>
                <w:sz w:val="21"/>
                <w:szCs w:val="21"/>
                <w:lang w:val="en-US" w:eastAsia="zh-CN" w:bidi="ar"/>
              </w:rPr>
              <w:t>级及以上系统，发布前）、</w:t>
            </w:r>
            <w:r>
              <w:rPr>
                <w:rStyle w:val="44"/>
                <w:rFonts w:hint="eastAsia" w:ascii="宋体" w:hAnsi="宋体" w:eastAsia="宋体" w:cs="宋体"/>
                <w:b w:val="0"/>
                <w:bCs/>
                <w:sz w:val="21"/>
                <w:szCs w:val="21"/>
                <w:lang w:val="en-US" w:eastAsia="zh-CN" w:bidi="ar"/>
              </w:rPr>
              <w:t xml:space="preserve">E2 </w:t>
            </w:r>
            <w:r>
              <w:rPr>
                <w:rStyle w:val="43"/>
                <w:rFonts w:hint="eastAsia" w:ascii="宋体" w:hAnsi="宋体" w:eastAsia="宋体" w:cs="宋体"/>
                <w:b w:val="0"/>
                <w:bCs/>
                <w:sz w:val="21"/>
                <w:szCs w:val="21"/>
                <w:lang w:val="en-US" w:eastAsia="zh-CN" w:bidi="ar"/>
              </w:rPr>
              <w:t>网络与系统资源类数据（等保</w:t>
            </w:r>
            <w:r>
              <w:rPr>
                <w:rStyle w:val="44"/>
                <w:rFonts w:hint="eastAsia" w:ascii="宋体" w:hAnsi="宋体" w:eastAsia="宋体" w:cs="宋体"/>
                <w:b w:val="0"/>
                <w:bCs/>
                <w:sz w:val="21"/>
                <w:szCs w:val="21"/>
                <w:lang w:val="en-US" w:eastAsia="zh-CN" w:bidi="ar"/>
              </w:rPr>
              <w:t>3</w:t>
            </w:r>
            <w:r>
              <w:rPr>
                <w:rStyle w:val="43"/>
                <w:rFonts w:hint="eastAsia" w:ascii="宋体" w:hAnsi="宋体" w:eastAsia="宋体" w:cs="宋体"/>
                <w:b w:val="0"/>
                <w:bCs/>
                <w:sz w:val="21"/>
                <w:szCs w:val="21"/>
                <w:lang w:val="en-US" w:eastAsia="zh-CN" w:bidi="ar"/>
              </w:rPr>
              <w:t>级及以上系统）、</w:t>
            </w:r>
            <w:r>
              <w:rPr>
                <w:rStyle w:val="44"/>
                <w:rFonts w:hint="eastAsia" w:ascii="宋体" w:hAnsi="宋体" w:eastAsia="宋体" w:cs="宋体"/>
                <w:b w:val="0"/>
                <w:bCs/>
                <w:sz w:val="21"/>
                <w:szCs w:val="21"/>
                <w:lang w:val="en-US" w:eastAsia="zh-CN" w:bidi="ar"/>
              </w:rPr>
              <w:t xml:space="preserve"> E3 </w:t>
            </w:r>
            <w:r>
              <w:rPr>
                <w:rStyle w:val="43"/>
                <w:rFonts w:hint="eastAsia" w:ascii="宋体" w:hAnsi="宋体" w:eastAsia="宋体" w:cs="宋体"/>
                <w:b w:val="0"/>
                <w:bCs/>
                <w:sz w:val="21"/>
                <w:szCs w:val="21"/>
                <w:lang w:val="en-US" w:eastAsia="zh-CN" w:bidi="ar"/>
              </w:rPr>
              <w:t>网络与系统运维类数据（等保</w:t>
            </w:r>
            <w:r>
              <w:rPr>
                <w:rStyle w:val="44"/>
                <w:rFonts w:hint="eastAsia" w:ascii="宋体" w:hAnsi="宋体" w:eastAsia="宋体" w:cs="宋体"/>
                <w:b w:val="0"/>
                <w:bCs/>
                <w:sz w:val="21"/>
                <w:szCs w:val="21"/>
                <w:lang w:val="en-US" w:eastAsia="zh-CN" w:bidi="ar"/>
              </w:rPr>
              <w:t>3</w:t>
            </w:r>
            <w:r>
              <w:rPr>
                <w:rStyle w:val="43"/>
                <w:rFonts w:hint="eastAsia" w:ascii="宋体" w:hAnsi="宋体" w:eastAsia="宋体" w:cs="宋体"/>
                <w:b w:val="0"/>
                <w:bCs/>
                <w:sz w:val="21"/>
                <w:szCs w:val="21"/>
                <w:lang w:val="en-US" w:eastAsia="zh-CN" w:bidi="ar"/>
              </w:rPr>
              <w:t>级及以上系统）、</w:t>
            </w:r>
            <w:r>
              <w:rPr>
                <w:rStyle w:val="44"/>
                <w:rFonts w:hint="eastAsia" w:ascii="宋体" w:hAnsi="宋体" w:eastAsia="宋体" w:cs="宋体"/>
                <w:b w:val="0"/>
                <w:bCs/>
                <w:sz w:val="21"/>
                <w:szCs w:val="21"/>
                <w:lang w:val="en-US" w:eastAsia="zh-CN" w:bidi="ar"/>
              </w:rPr>
              <w:t xml:space="preserve"> E4 </w:t>
            </w:r>
            <w:r>
              <w:rPr>
                <w:rStyle w:val="43"/>
                <w:rFonts w:hint="eastAsia" w:ascii="宋体" w:hAnsi="宋体" w:eastAsia="宋体" w:cs="宋体"/>
                <w:b w:val="0"/>
                <w:bCs/>
                <w:sz w:val="21"/>
                <w:szCs w:val="21"/>
                <w:lang w:val="en-US" w:eastAsia="zh-CN" w:bidi="ar"/>
              </w:rPr>
              <w:t>网络安全管理类数据（等保</w:t>
            </w:r>
            <w:r>
              <w:rPr>
                <w:rStyle w:val="44"/>
                <w:rFonts w:hint="eastAsia" w:ascii="宋体" w:hAnsi="宋体" w:eastAsia="宋体" w:cs="宋体"/>
                <w:b w:val="0"/>
                <w:bCs/>
                <w:sz w:val="21"/>
                <w:szCs w:val="21"/>
                <w:lang w:val="en-US" w:eastAsia="zh-CN" w:bidi="ar"/>
              </w:rPr>
              <w:t>3</w:t>
            </w:r>
            <w:r>
              <w:rPr>
                <w:rStyle w:val="43"/>
                <w:rFonts w:hint="eastAsia" w:ascii="宋体" w:hAnsi="宋体" w:eastAsia="宋体" w:cs="宋体"/>
                <w:b w:val="0"/>
                <w:bCs/>
                <w:sz w:val="21"/>
                <w:szCs w:val="21"/>
                <w:lang w:val="en-US" w:eastAsia="zh-CN" w:bidi="ar"/>
              </w:rPr>
              <w:t>级及以上系统）、</w:t>
            </w:r>
            <w:r>
              <w:rPr>
                <w:rStyle w:val="44"/>
                <w:rFonts w:hint="eastAsia" w:ascii="宋体" w:hAnsi="宋体" w:eastAsia="宋体" w:cs="宋体"/>
                <w:b w:val="0"/>
                <w:bCs/>
                <w:sz w:val="21"/>
                <w:szCs w:val="21"/>
                <w:lang w:val="en-US" w:eastAsia="zh-CN" w:bidi="ar"/>
              </w:rPr>
              <w:t xml:space="preserve">G1 </w:t>
            </w:r>
            <w:r>
              <w:rPr>
                <w:rStyle w:val="43"/>
                <w:rFonts w:hint="eastAsia" w:ascii="宋体" w:hAnsi="宋体" w:eastAsia="宋体" w:cs="宋体"/>
                <w:b w:val="0"/>
                <w:bCs/>
                <w:sz w:val="21"/>
                <w:szCs w:val="21"/>
                <w:lang w:val="en-US" w:eastAsia="zh-CN" w:bidi="ar"/>
              </w:rPr>
              <w:t>发展战略与重大决策、</w:t>
            </w:r>
            <w:r>
              <w:rPr>
                <w:rStyle w:val="44"/>
                <w:rFonts w:hint="eastAsia" w:ascii="宋体" w:hAnsi="宋体" w:eastAsia="宋体" w:cs="宋体"/>
                <w:b w:val="0"/>
                <w:bCs/>
                <w:sz w:val="21"/>
                <w:szCs w:val="21"/>
                <w:lang w:val="en-US" w:eastAsia="zh-CN" w:bidi="ar"/>
              </w:rPr>
              <w:t xml:space="preserve">G2 </w:t>
            </w:r>
            <w:r>
              <w:rPr>
                <w:rStyle w:val="43"/>
                <w:rFonts w:hint="eastAsia" w:ascii="宋体" w:hAnsi="宋体" w:eastAsia="宋体" w:cs="宋体"/>
                <w:b w:val="0"/>
                <w:bCs/>
                <w:sz w:val="21"/>
                <w:szCs w:val="21"/>
                <w:lang w:val="en-US" w:eastAsia="zh-CN" w:bidi="ar"/>
              </w:rPr>
              <w:t>业务发展类数据、</w:t>
            </w:r>
            <w:r>
              <w:rPr>
                <w:rStyle w:val="44"/>
                <w:rFonts w:hint="eastAsia" w:ascii="宋体" w:hAnsi="宋体" w:eastAsia="宋体" w:cs="宋体"/>
                <w:b w:val="0"/>
                <w:bCs/>
                <w:sz w:val="21"/>
                <w:szCs w:val="21"/>
                <w:lang w:val="en-US" w:eastAsia="zh-CN" w:bidi="ar"/>
              </w:rPr>
              <w:t xml:space="preserve"> G3 </w:t>
            </w:r>
            <w:r>
              <w:rPr>
                <w:rStyle w:val="43"/>
                <w:rFonts w:hint="eastAsia" w:ascii="宋体" w:hAnsi="宋体" w:eastAsia="宋体" w:cs="宋体"/>
                <w:b w:val="0"/>
                <w:bCs/>
                <w:sz w:val="21"/>
                <w:szCs w:val="21"/>
                <w:lang w:val="en-US" w:eastAsia="zh-CN" w:bidi="ar"/>
              </w:rPr>
              <w:t>技术研发类数据、</w:t>
            </w:r>
            <w:r>
              <w:rPr>
                <w:rStyle w:val="44"/>
                <w:rFonts w:hint="eastAsia" w:ascii="宋体" w:hAnsi="宋体" w:eastAsia="宋体" w:cs="宋体"/>
                <w:b w:val="0"/>
                <w:bCs/>
                <w:sz w:val="21"/>
                <w:szCs w:val="21"/>
                <w:lang w:val="en-US" w:eastAsia="zh-CN" w:bidi="ar"/>
              </w:rPr>
              <w:t xml:space="preserve"> G5 </w:t>
            </w:r>
            <w:r>
              <w:rPr>
                <w:rStyle w:val="43"/>
                <w:rFonts w:hint="eastAsia" w:ascii="宋体" w:hAnsi="宋体" w:eastAsia="宋体" w:cs="宋体"/>
                <w:b w:val="0"/>
                <w:bCs/>
                <w:sz w:val="21"/>
                <w:szCs w:val="21"/>
                <w:lang w:val="en-US" w:eastAsia="zh-CN" w:bidi="ar"/>
              </w:rPr>
              <w:t>生产经营类数据、</w:t>
            </w:r>
            <w:r>
              <w:rPr>
                <w:rStyle w:val="44"/>
                <w:rFonts w:hint="eastAsia" w:ascii="宋体" w:hAnsi="宋体" w:eastAsia="宋体" w:cs="宋体"/>
                <w:b w:val="0"/>
                <w:bCs/>
                <w:sz w:val="21"/>
                <w:szCs w:val="21"/>
                <w:lang w:val="en-US" w:eastAsia="zh-CN" w:bidi="ar"/>
              </w:rPr>
              <w:t xml:space="preserve">G6-1 </w:t>
            </w:r>
            <w:r>
              <w:rPr>
                <w:rStyle w:val="43"/>
                <w:rFonts w:hint="eastAsia" w:ascii="宋体" w:hAnsi="宋体" w:eastAsia="宋体" w:cs="宋体"/>
                <w:b w:val="0"/>
                <w:bCs/>
                <w:sz w:val="21"/>
                <w:szCs w:val="21"/>
                <w:lang w:val="en-US" w:eastAsia="zh-CN" w:bidi="ar"/>
              </w:rPr>
              <w:t>人力资源、</w:t>
            </w:r>
            <w:r>
              <w:rPr>
                <w:rStyle w:val="44"/>
                <w:rFonts w:hint="eastAsia" w:ascii="宋体" w:hAnsi="宋体" w:eastAsia="宋体" w:cs="宋体"/>
                <w:b w:val="0"/>
                <w:bCs/>
                <w:sz w:val="21"/>
                <w:szCs w:val="21"/>
                <w:lang w:val="en-US" w:eastAsia="zh-CN" w:bidi="ar"/>
              </w:rPr>
              <w:t xml:space="preserve">G6-2 </w:t>
            </w:r>
            <w:r>
              <w:rPr>
                <w:rStyle w:val="43"/>
                <w:rFonts w:hint="eastAsia" w:ascii="宋体" w:hAnsi="宋体" w:eastAsia="宋体" w:cs="宋体"/>
                <w:b w:val="0"/>
                <w:bCs/>
                <w:sz w:val="21"/>
                <w:szCs w:val="21"/>
                <w:lang w:val="en-US" w:eastAsia="zh-CN" w:bidi="ar"/>
              </w:rPr>
              <w:t>财务信息（公开前）、</w:t>
            </w:r>
            <w:r>
              <w:rPr>
                <w:rStyle w:val="44"/>
                <w:rFonts w:hint="eastAsia" w:ascii="宋体" w:hAnsi="宋体" w:eastAsia="宋体" w:cs="宋体"/>
                <w:b w:val="0"/>
                <w:bCs/>
                <w:sz w:val="21"/>
                <w:szCs w:val="21"/>
                <w:lang w:val="en-US" w:eastAsia="zh-CN" w:bidi="ar"/>
              </w:rPr>
              <w:t xml:space="preserve">G6-3 </w:t>
            </w:r>
            <w:r>
              <w:rPr>
                <w:rStyle w:val="43"/>
                <w:rFonts w:hint="eastAsia" w:ascii="宋体" w:hAnsi="宋体" w:eastAsia="宋体" w:cs="宋体"/>
                <w:b w:val="0"/>
                <w:bCs/>
                <w:sz w:val="21"/>
                <w:szCs w:val="21"/>
                <w:lang w:val="en-US" w:eastAsia="zh-CN" w:bidi="ar"/>
              </w:rPr>
              <w:t>监督管理信息、</w:t>
            </w:r>
            <w:r>
              <w:rPr>
                <w:rStyle w:val="44"/>
                <w:rFonts w:hint="eastAsia" w:ascii="宋体" w:hAnsi="宋体" w:eastAsia="宋体" w:cs="宋体"/>
                <w:b w:val="0"/>
                <w:bCs/>
                <w:sz w:val="21"/>
                <w:szCs w:val="21"/>
                <w:lang w:val="en-US" w:eastAsia="zh-CN" w:bidi="ar"/>
              </w:rPr>
              <w:t xml:space="preserve"> G6-5-1 </w:t>
            </w:r>
            <w:r>
              <w:rPr>
                <w:rStyle w:val="43"/>
                <w:rFonts w:hint="eastAsia" w:ascii="宋体" w:hAnsi="宋体" w:eastAsia="宋体" w:cs="宋体"/>
                <w:b w:val="0"/>
                <w:bCs/>
                <w:sz w:val="21"/>
                <w:szCs w:val="21"/>
                <w:lang w:val="en-US" w:eastAsia="zh-CN" w:bidi="ar"/>
              </w:rPr>
              <w:t>招投标数据（公开前）</w:t>
            </w:r>
          </w:p>
        </w:tc>
      </w:tr>
      <w:tr w14:paraId="5922A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9" w:type="pct"/>
            <w:vMerge w:val="restart"/>
            <w:tcBorders>
              <w:top w:val="single" w:color="000000" w:sz="4" w:space="0"/>
              <w:left w:val="single" w:color="000000" w:sz="4" w:space="0"/>
              <w:bottom w:val="single" w:color="000000" w:sz="4" w:space="0"/>
              <w:right w:val="single" w:color="000000" w:sz="4" w:space="0"/>
            </w:tcBorders>
            <w:noWrap w:val="0"/>
            <w:vAlign w:val="center"/>
          </w:tcPr>
          <w:p w14:paraId="78B87A9F">
            <w:pPr>
              <w:keepNext w:val="0"/>
              <w:keepLines w:val="0"/>
              <w:widowControl/>
              <w:suppressLineNumbers w:val="0"/>
              <w:jc w:val="center"/>
              <w:textAlignment w:val="center"/>
              <w:rPr>
                <w:rFonts w:hint="eastAsia" w:ascii="宋体" w:hAnsi="宋体" w:eastAsia="宋体" w:cs="宋体"/>
                <w:b w:val="0"/>
                <w:bCs/>
                <w:i w:val="0"/>
                <w:iCs w:val="0"/>
                <w:color w:val="000000"/>
                <w:sz w:val="21"/>
                <w:szCs w:val="21"/>
                <w:u w:val="none"/>
              </w:rPr>
            </w:pPr>
            <w:r>
              <w:rPr>
                <w:rFonts w:hint="eastAsia" w:ascii="宋体" w:hAnsi="宋体" w:eastAsia="宋体" w:cs="宋体"/>
                <w:b w:val="0"/>
                <w:bCs/>
                <w:i w:val="0"/>
                <w:iCs w:val="0"/>
                <w:color w:val="000000"/>
                <w:kern w:val="0"/>
                <w:sz w:val="21"/>
                <w:szCs w:val="21"/>
                <w:u w:val="none"/>
                <w:lang w:val="en-US" w:eastAsia="zh-CN" w:bidi="ar"/>
              </w:rPr>
              <w:t>一般数据-</w:t>
            </w:r>
            <w:r>
              <w:rPr>
                <w:rStyle w:val="44"/>
                <w:rFonts w:hint="eastAsia" w:ascii="宋体" w:hAnsi="宋体" w:eastAsia="宋体" w:cs="宋体"/>
                <w:b w:val="0"/>
                <w:bCs/>
                <w:sz w:val="21"/>
                <w:szCs w:val="21"/>
                <w:lang w:val="en-US" w:eastAsia="zh-CN" w:bidi="ar"/>
              </w:rPr>
              <w:t>2</w:t>
            </w:r>
            <w:r>
              <w:rPr>
                <w:rStyle w:val="43"/>
                <w:rFonts w:hint="eastAsia" w:ascii="宋体" w:hAnsi="宋体" w:eastAsia="宋体" w:cs="宋体"/>
                <w:b w:val="0"/>
                <w:bCs/>
                <w:sz w:val="21"/>
                <w:szCs w:val="21"/>
                <w:lang w:val="en-US" w:eastAsia="zh-CN" w:bidi="ar"/>
              </w:rPr>
              <w:t>级</w:t>
            </w:r>
          </w:p>
        </w:tc>
        <w:tc>
          <w:tcPr>
            <w:tcW w:w="3910" w:type="pct"/>
            <w:tcBorders>
              <w:top w:val="single" w:color="000000" w:sz="4" w:space="0"/>
              <w:left w:val="single" w:color="000000" w:sz="4" w:space="0"/>
              <w:bottom w:val="single" w:color="000000" w:sz="4" w:space="0"/>
              <w:right w:val="single" w:color="000000" w:sz="4" w:space="0"/>
            </w:tcBorders>
            <w:noWrap w:val="0"/>
            <w:vAlign w:val="center"/>
          </w:tcPr>
          <w:p w14:paraId="7F59F706">
            <w:pPr>
              <w:keepNext w:val="0"/>
              <w:keepLines w:val="0"/>
              <w:widowControl/>
              <w:suppressLineNumbers w:val="0"/>
              <w:jc w:val="left"/>
              <w:textAlignment w:val="center"/>
              <w:rPr>
                <w:rFonts w:hint="eastAsia" w:ascii="宋体" w:hAnsi="宋体" w:eastAsia="宋体" w:cs="宋体"/>
                <w:b w:val="0"/>
                <w:bCs/>
                <w:i w:val="0"/>
                <w:iCs w:val="0"/>
                <w:color w:val="000000"/>
                <w:sz w:val="21"/>
                <w:szCs w:val="21"/>
                <w:u w:val="none"/>
              </w:rPr>
            </w:pPr>
            <w:r>
              <w:rPr>
                <w:rStyle w:val="44"/>
                <w:rFonts w:hint="eastAsia" w:ascii="宋体" w:hAnsi="宋体" w:eastAsia="宋体" w:cs="宋体"/>
                <w:b w:val="0"/>
                <w:bCs/>
                <w:sz w:val="21"/>
                <w:szCs w:val="21"/>
                <w:lang w:val="en-US" w:eastAsia="zh-CN" w:bidi="ar"/>
              </w:rPr>
              <w:t xml:space="preserve">A1-2 </w:t>
            </w:r>
            <w:r>
              <w:rPr>
                <w:rStyle w:val="43"/>
                <w:rFonts w:hint="eastAsia" w:ascii="宋体" w:hAnsi="宋体" w:eastAsia="宋体" w:cs="宋体"/>
                <w:b w:val="0"/>
                <w:bCs/>
                <w:sz w:val="21"/>
                <w:szCs w:val="21"/>
                <w:lang w:val="en-US" w:eastAsia="zh-CN" w:bidi="ar"/>
              </w:rPr>
              <w:t>网络身份标识、</w:t>
            </w:r>
            <w:r>
              <w:rPr>
                <w:rStyle w:val="44"/>
                <w:rFonts w:hint="eastAsia" w:ascii="宋体" w:hAnsi="宋体" w:eastAsia="宋体" w:cs="宋体"/>
                <w:b w:val="0"/>
                <w:bCs/>
                <w:sz w:val="21"/>
                <w:szCs w:val="21"/>
                <w:lang w:val="en-US" w:eastAsia="zh-CN" w:bidi="ar"/>
              </w:rPr>
              <w:t xml:space="preserve"> A1-3 </w:t>
            </w:r>
            <w:r>
              <w:rPr>
                <w:rStyle w:val="43"/>
                <w:rFonts w:hint="eastAsia" w:ascii="宋体" w:hAnsi="宋体" w:eastAsia="宋体" w:cs="宋体"/>
                <w:b w:val="0"/>
                <w:bCs/>
                <w:sz w:val="21"/>
                <w:szCs w:val="21"/>
                <w:lang w:val="en-US" w:eastAsia="zh-CN" w:bidi="ar"/>
              </w:rPr>
              <w:t>用户基本信息、</w:t>
            </w:r>
            <w:r>
              <w:rPr>
                <w:rStyle w:val="44"/>
                <w:rFonts w:hint="eastAsia" w:ascii="宋体" w:hAnsi="宋体" w:eastAsia="宋体" w:cs="宋体"/>
                <w:b w:val="0"/>
                <w:bCs/>
                <w:sz w:val="21"/>
                <w:szCs w:val="21"/>
                <w:lang w:val="en-US" w:eastAsia="zh-CN" w:bidi="ar"/>
              </w:rPr>
              <w:t xml:space="preserve">A1-6 </w:t>
            </w:r>
            <w:r>
              <w:rPr>
                <w:rStyle w:val="43"/>
                <w:rFonts w:hint="eastAsia" w:ascii="宋体" w:hAnsi="宋体" w:eastAsia="宋体" w:cs="宋体"/>
                <w:b w:val="0"/>
                <w:bCs/>
                <w:sz w:val="21"/>
                <w:szCs w:val="21"/>
                <w:lang w:val="en-US" w:eastAsia="zh-CN" w:bidi="ar"/>
              </w:rPr>
              <w:t>集团客户信息、</w:t>
            </w:r>
            <w:r>
              <w:rPr>
                <w:rStyle w:val="44"/>
                <w:rFonts w:hint="eastAsia" w:ascii="宋体" w:hAnsi="宋体" w:eastAsia="宋体" w:cs="宋体"/>
                <w:b w:val="0"/>
                <w:bCs/>
                <w:sz w:val="21"/>
                <w:szCs w:val="21"/>
                <w:lang w:val="en-US" w:eastAsia="zh-CN" w:bidi="ar"/>
              </w:rPr>
              <w:t>C1-1</w:t>
            </w:r>
            <w:r>
              <w:rPr>
                <w:rStyle w:val="43"/>
                <w:rFonts w:hint="eastAsia" w:ascii="宋体" w:hAnsi="宋体" w:eastAsia="宋体" w:cs="宋体"/>
                <w:b w:val="0"/>
                <w:bCs/>
                <w:sz w:val="21"/>
                <w:szCs w:val="21"/>
                <w:lang w:val="en-US" w:eastAsia="zh-CN" w:bidi="ar"/>
              </w:rPr>
              <w:t>业务订购关系、</w:t>
            </w:r>
            <w:r>
              <w:rPr>
                <w:rStyle w:val="44"/>
                <w:rFonts w:hint="eastAsia" w:ascii="宋体" w:hAnsi="宋体" w:eastAsia="宋体" w:cs="宋体"/>
                <w:b w:val="0"/>
                <w:bCs/>
                <w:sz w:val="21"/>
                <w:szCs w:val="21"/>
                <w:lang w:val="en-US" w:eastAsia="zh-CN" w:bidi="ar"/>
              </w:rPr>
              <w:t xml:space="preserve">C1-3 </w:t>
            </w:r>
            <w:r>
              <w:rPr>
                <w:rStyle w:val="43"/>
                <w:rFonts w:hint="eastAsia" w:ascii="宋体" w:hAnsi="宋体" w:eastAsia="宋体" w:cs="宋体"/>
                <w:b w:val="0"/>
                <w:bCs/>
                <w:sz w:val="21"/>
                <w:szCs w:val="21"/>
                <w:lang w:val="en-US" w:eastAsia="zh-CN" w:bidi="ar"/>
              </w:rPr>
              <w:t>消费信息和账单、</w:t>
            </w:r>
            <w:r>
              <w:rPr>
                <w:rStyle w:val="44"/>
                <w:rFonts w:hint="eastAsia" w:ascii="宋体" w:hAnsi="宋体" w:eastAsia="宋体" w:cs="宋体"/>
                <w:b w:val="0"/>
                <w:bCs/>
                <w:sz w:val="21"/>
                <w:szCs w:val="21"/>
                <w:lang w:val="en-US" w:eastAsia="zh-CN" w:bidi="ar"/>
              </w:rPr>
              <w:t xml:space="preserve"> C2-1 </w:t>
            </w:r>
            <w:r>
              <w:rPr>
                <w:rStyle w:val="43"/>
                <w:rFonts w:hint="eastAsia" w:ascii="宋体" w:hAnsi="宋体" w:eastAsia="宋体" w:cs="宋体"/>
                <w:b w:val="0"/>
                <w:bCs/>
                <w:sz w:val="21"/>
                <w:szCs w:val="21"/>
                <w:lang w:val="en-US" w:eastAsia="zh-CN" w:bidi="ar"/>
              </w:rPr>
              <w:t>终端设备标识、</w:t>
            </w:r>
            <w:r>
              <w:rPr>
                <w:rStyle w:val="44"/>
                <w:rFonts w:hint="eastAsia" w:ascii="宋体" w:hAnsi="宋体" w:eastAsia="宋体" w:cs="宋体"/>
                <w:b w:val="0"/>
                <w:bCs/>
                <w:sz w:val="21"/>
                <w:szCs w:val="21"/>
                <w:lang w:val="en-US" w:eastAsia="zh-CN" w:bidi="ar"/>
              </w:rPr>
              <w:t xml:space="preserve">C2-2 </w:t>
            </w:r>
            <w:r>
              <w:rPr>
                <w:rStyle w:val="43"/>
                <w:rFonts w:hint="eastAsia" w:ascii="宋体" w:hAnsi="宋体" w:eastAsia="宋体" w:cs="宋体"/>
                <w:b w:val="0"/>
                <w:bCs/>
                <w:sz w:val="21"/>
                <w:szCs w:val="21"/>
                <w:lang w:val="en-US" w:eastAsia="zh-CN" w:bidi="ar"/>
              </w:rPr>
              <w:t>终端设备资料、</w:t>
            </w:r>
          </w:p>
        </w:tc>
      </w:tr>
      <w:tr w14:paraId="5F7C6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237994">
            <w:pPr>
              <w:jc w:val="center"/>
              <w:rPr>
                <w:rFonts w:hint="eastAsia" w:ascii="宋体" w:hAnsi="宋体" w:eastAsia="宋体" w:cs="宋体"/>
                <w:b w:val="0"/>
                <w:bCs/>
                <w:i w:val="0"/>
                <w:iCs w:val="0"/>
                <w:color w:val="000000"/>
                <w:sz w:val="21"/>
                <w:szCs w:val="21"/>
                <w:u w:val="none"/>
              </w:rPr>
            </w:pPr>
          </w:p>
        </w:tc>
        <w:tc>
          <w:tcPr>
            <w:tcW w:w="3910" w:type="pct"/>
            <w:tcBorders>
              <w:top w:val="single" w:color="000000" w:sz="4" w:space="0"/>
              <w:left w:val="single" w:color="000000" w:sz="4" w:space="0"/>
              <w:bottom w:val="single" w:color="000000" w:sz="4" w:space="0"/>
              <w:right w:val="single" w:color="000000" w:sz="4" w:space="0"/>
            </w:tcBorders>
            <w:noWrap w:val="0"/>
            <w:vAlign w:val="center"/>
          </w:tcPr>
          <w:p w14:paraId="0DB6902C">
            <w:pPr>
              <w:keepNext w:val="0"/>
              <w:keepLines w:val="0"/>
              <w:widowControl/>
              <w:suppressLineNumbers w:val="0"/>
              <w:jc w:val="left"/>
              <w:textAlignment w:val="center"/>
              <w:rPr>
                <w:rFonts w:hint="eastAsia" w:ascii="宋体" w:hAnsi="宋体" w:eastAsia="宋体" w:cs="宋体"/>
                <w:b w:val="0"/>
                <w:bCs/>
                <w:i w:val="0"/>
                <w:iCs w:val="0"/>
                <w:color w:val="000000"/>
                <w:sz w:val="21"/>
                <w:szCs w:val="21"/>
                <w:u w:val="none"/>
              </w:rPr>
            </w:pPr>
            <w:r>
              <w:rPr>
                <w:rStyle w:val="44"/>
                <w:rFonts w:hint="eastAsia" w:ascii="宋体" w:hAnsi="宋体" w:eastAsia="宋体" w:cs="宋体"/>
                <w:b w:val="0"/>
                <w:bCs/>
                <w:sz w:val="21"/>
                <w:szCs w:val="21"/>
                <w:lang w:val="en-US" w:eastAsia="zh-CN" w:bidi="ar"/>
              </w:rPr>
              <w:t xml:space="preserve">E1 </w:t>
            </w:r>
            <w:r>
              <w:rPr>
                <w:rStyle w:val="43"/>
                <w:rFonts w:hint="eastAsia" w:ascii="宋体" w:hAnsi="宋体" w:eastAsia="宋体" w:cs="宋体"/>
                <w:b w:val="0"/>
                <w:bCs/>
                <w:sz w:val="21"/>
                <w:szCs w:val="21"/>
                <w:lang w:val="en-US" w:eastAsia="zh-CN" w:bidi="ar"/>
              </w:rPr>
              <w:t>网络规划建设类数据（关键、等保</w:t>
            </w:r>
            <w:r>
              <w:rPr>
                <w:rStyle w:val="44"/>
                <w:rFonts w:hint="eastAsia" w:ascii="宋体" w:hAnsi="宋体" w:eastAsia="宋体" w:cs="宋体"/>
                <w:b w:val="0"/>
                <w:bCs/>
                <w:sz w:val="21"/>
                <w:szCs w:val="21"/>
                <w:lang w:val="en-US" w:eastAsia="zh-CN" w:bidi="ar"/>
              </w:rPr>
              <w:t>3</w:t>
            </w:r>
            <w:r>
              <w:rPr>
                <w:rStyle w:val="43"/>
                <w:rFonts w:hint="eastAsia" w:ascii="宋体" w:hAnsi="宋体" w:eastAsia="宋体" w:cs="宋体"/>
                <w:b w:val="0"/>
                <w:bCs/>
                <w:sz w:val="21"/>
                <w:szCs w:val="21"/>
                <w:lang w:val="en-US" w:eastAsia="zh-CN" w:bidi="ar"/>
              </w:rPr>
              <w:t>级及以上系统发布后、其它系统发布前后）、</w:t>
            </w:r>
            <w:r>
              <w:rPr>
                <w:rStyle w:val="44"/>
                <w:rFonts w:hint="eastAsia" w:ascii="宋体" w:hAnsi="宋体" w:eastAsia="宋体" w:cs="宋体"/>
                <w:b w:val="0"/>
                <w:bCs/>
                <w:sz w:val="21"/>
                <w:szCs w:val="21"/>
                <w:lang w:val="en-US" w:eastAsia="zh-CN" w:bidi="ar"/>
              </w:rPr>
              <w:t xml:space="preserve">E2 </w:t>
            </w:r>
            <w:r>
              <w:rPr>
                <w:rStyle w:val="43"/>
                <w:rFonts w:hint="eastAsia" w:ascii="宋体" w:hAnsi="宋体" w:eastAsia="宋体" w:cs="宋体"/>
                <w:b w:val="0"/>
                <w:bCs/>
                <w:sz w:val="21"/>
                <w:szCs w:val="21"/>
                <w:lang w:val="en-US" w:eastAsia="zh-CN" w:bidi="ar"/>
              </w:rPr>
              <w:t>网络与系统资源类数据（等保</w:t>
            </w:r>
            <w:r>
              <w:rPr>
                <w:rStyle w:val="44"/>
                <w:rFonts w:hint="eastAsia" w:ascii="宋体" w:hAnsi="宋体" w:eastAsia="宋体" w:cs="宋体"/>
                <w:b w:val="0"/>
                <w:bCs/>
                <w:sz w:val="21"/>
                <w:szCs w:val="21"/>
                <w:lang w:val="en-US" w:eastAsia="zh-CN" w:bidi="ar"/>
              </w:rPr>
              <w:t>3</w:t>
            </w:r>
            <w:r>
              <w:rPr>
                <w:rStyle w:val="43"/>
                <w:rFonts w:hint="eastAsia" w:ascii="宋体" w:hAnsi="宋体" w:eastAsia="宋体" w:cs="宋体"/>
                <w:b w:val="0"/>
                <w:bCs/>
                <w:sz w:val="21"/>
                <w:szCs w:val="21"/>
                <w:lang w:val="en-US" w:eastAsia="zh-CN" w:bidi="ar"/>
              </w:rPr>
              <w:t>级以下系统）、</w:t>
            </w:r>
            <w:r>
              <w:rPr>
                <w:rStyle w:val="44"/>
                <w:rFonts w:hint="eastAsia" w:ascii="宋体" w:hAnsi="宋体" w:eastAsia="宋体" w:cs="宋体"/>
                <w:b w:val="0"/>
                <w:bCs/>
                <w:sz w:val="21"/>
                <w:szCs w:val="21"/>
                <w:lang w:val="en-US" w:eastAsia="zh-CN" w:bidi="ar"/>
              </w:rPr>
              <w:t xml:space="preserve"> E3 </w:t>
            </w:r>
            <w:r>
              <w:rPr>
                <w:rStyle w:val="43"/>
                <w:rFonts w:hint="eastAsia" w:ascii="宋体" w:hAnsi="宋体" w:eastAsia="宋体" w:cs="宋体"/>
                <w:b w:val="0"/>
                <w:bCs/>
                <w:sz w:val="21"/>
                <w:szCs w:val="21"/>
                <w:lang w:val="en-US" w:eastAsia="zh-CN" w:bidi="ar"/>
              </w:rPr>
              <w:t>网络与系统运维类数据（等保</w:t>
            </w:r>
            <w:r>
              <w:rPr>
                <w:rStyle w:val="44"/>
                <w:rFonts w:hint="eastAsia" w:ascii="宋体" w:hAnsi="宋体" w:eastAsia="宋体" w:cs="宋体"/>
                <w:b w:val="0"/>
                <w:bCs/>
                <w:sz w:val="21"/>
                <w:szCs w:val="21"/>
                <w:lang w:val="en-US" w:eastAsia="zh-CN" w:bidi="ar"/>
              </w:rPr>
              <w:t>3</w:t>
            </w:r>
            <w:r>
              <w:rPr>
                <w:rStyle w:val="43"/>
                <w:rFonts w:hint="eastAsia" w:ascii="宋体" w:hAnsi="宋体" w:eastAsia="宋体" w:cs="宋体"/>
                <w:b w:val="0"/>
                <w:bCs/>
                <w:sz w:val="21"/>
                <w:szCs w:val="21"/>
                <w:lang w:val="en-US" w:eastAsia="zh-CN" w:bidi="ar"/>
              </w:rPr>
              <w:t>级以下系统）、</w:t>
            </w:r>
            <w:r>
              <w:rPr>
                <w:rStyle w:val="44"/>
                <w:rFonts w:hint="eastAsia" w:ascii="宋体" w:hAnsi="宋体" w:eastAsia="宋体" w:cs="宋体"/>
                <w:b w:val="0"/>
                <w:bCs/>
                <w:sz w:val="21"/>
                <w:szCs w:val="21"/>
                <w:lang w:val="en-US" w:eastAsia="zh-CN" w:bidi="ar"/>
              </w:rPr>
              <w:t xml:space="preserve"> E4 </w:t>
            </w:r>
            <w:r>
              <w:rPr>
                <w:rStyle w:val="43"/>
                <w:rFonts w:hint="eastAsia" w:ascii="宋体" w:hAnsi="宋体" w:eastAsia="宋体" w:cs="宋体"/>
                <w:b w:val="0"/>
                <w:bCs/>
                <w:sz w:val="21"/>
                <w:szCs w:val="21"/>
                <w:lang w:val="en-US" w:eastAsia="zh-CN" w:bidi="ar"/>
              </w:rPr>
              <w:t>网络安全管理类数据（等保</w:t>
            </w:r>
            <w:r>
              <w:rPr>
                <w:rStyle w:val="44"/>
                <w:rFonts w:hint="eastAsia" w:ascii="宋体" w:hAnsi="宋体" w:eastAsia="宋体" w:cs="宋体"/>
                <w:b w:val="0"/>
                <w:bCs/>
                <w:sz w:val="21"/>
                <w:szCs w:val="21"/>
                <w:lang w:val="en-US" w:eastAsia="zh-CN" w:bidi="ar"/>
              </w:rPr>
              <w:t>3</w:t>
            </w:r>
            <w:r>
              <w:rPr>
                <w:rStyle w:val="43"/>
                <w:rFonts w:hint="eastAsia" w:ascii="宋体" w:hAnsi="宋体" w:eastAsia="宋体" w:cs="宋体"/>
                <w:b w:val="0"/>
                <w:bCs/>
                <w:sz w:val="21"/>
                <w:szCs w:val="21"/>
                <w:lang w:val="en-US" w:eastAsia="zh-CN" w:bidi="ar"/>
              </w:rPr>
              <w:t>级以下系统）、</w:t>
            </w:r>
            <w:r>
              <w:rPr>
                <w:rStyle w:val="44"/>
                <w:rFonts w:hint="eastAsia" w:ascii="宋体" w:hAnsi="宋体" w:eastAsia="宋体" w:cs="宋体"/>
                <w:b w:val="0"/>
                <w:bCs/>
                <w:sz w:val="21"/>
                <w:szCs w:val="21"/>
                <w:lang w:val="en-US" w:eastAsia="zh-CN" w:bidi="ar"/>
              </w:rPr>
              <w:t xml:space="preserve"> F1-2 </w:t>
            </w:r>
            <w:r>
              <w:rPr>
                <w:rStyle w:val="43"/>
                <w:rFonts w:hint="eastAsia" w:ascii="宋体" w:hAnsi="宋体" w:eastAsia="宋体" w:cs="宋体"/>
                <w:b w:val="0"/>
                <w:bCs/>
                <w:sz w:val="21"/>
                <w:szCs w:val="21"/>
                <w:lang w:val="en-US" w:eastAsia="zh-CN" w:bidi="ar"/>
              </w:rPr>
              <w:t>渠道信息、</w:t>
            </w:r>
            <w:r>
              <w:rPr>
                <w:rStyle w:val="44"/>
                <w:rFonts w:hint="eastAsia" w:ascii="宋体" w:hAnsi="宋体" w:eastAsia="宋体" w:cs="宋体"/>
                <w:b w:val="0"/>
                <w:bCs/>
                <w:sz w:val="21"/>
                <w:szCs w:val="21"/>
                <w:lang w:val="en-US" w:eastAsia="zh-CN" w:bidi="ar"/>
              </w:rPr>
              <w:t xml:space="preserve"> F1-3 </w:t>
            </w:r>
            <w:r>
              <w:rPr>
                <w:rStyle w:val="43"/>
                <w:rFonts w:hint="eastAsia" w:ascii="宋体" w:hAnsi="宋体" w:eastAsia="宋体" w:cs="宋体"/>
                <w:b w:val="0"/>
                <w:bCs/>
                <w:sz w:val="21"/>
                <w:szCs w:val="21"/>
                <w:lang w:val="en-US" w:eastAsia="zh-CN" w:bidi="ar"/>
              </w:rPr>
              <w:t>客户服务信息、</w:t>
            </w:r>
            <w:r>
              <w:rPr>
                <w:rStyle w:val="44"/>
                <w:rFonts w:hint="eastAsia" w:ascii="宋体" w:hAnsi="宋体" w:eastAsia="宋体" w:cs="宋体"/>
                <w:b w:val="0"/>
                <w:bCs/>
                <w:sz w:val="21"/>
                <w:szCs w:val="21"/>
                <w:lang w:val="en-US" w:eastAsia="zh-CN" w:bidi="ar"/>
              </w:rPr>
              <w:t xml:space="preserve"> F1-4 </w:t>
            </w:r>
            <w:r>
              <w:rPr>
                <w:rStyle w:val="43"/>
                <w:rFonts w:hint="eastAsia" w:ascii="宋体" w:hAnsi="宋体" w:eastAsia="宋体" w:cs="宋体"/>
                <w:b w:val="0"/>
                <w:bCs/>
                <w:sz w:val="21"/>
                <w:szCs w:val="21"/>
                <w:lang w:val="en-US" w:eastAsia="zh-CN" w:bidi="ar"/>
              </w:rPr>
              <w:t>营销信息、</w:t>
            </w:r>
            <w:r>
              <w:rPr>
                <w:rStyle w:val="44"/>
                <w:rFonts w:hint="eastAsia" w:ascii="宋体" w:hAnsi="宋体" w:eastAsia="宋体" w:cs="宋体"/>
                <w:b w:val="0"/>
                <w:bCs/>
                <w:sz w:val="21"/>
                <w:szCs w:val="21"/>
                <w:lang w:val="en-US" w:eastAsia="zh-CN" w:bidi="ar"/>
              </w:rPr>
              <w:t xml:space="preserve">G4 </w:t>
            </w:r>
            <w:r>
              <w:rPr>
                <w:rStyle w:val="43"/>
                <w:rFonts w:hint="eastAsia" w:ascii="宋体" w:hAnsi="宋体" w:eastAsia="宋体" w:cs="宋体"/>
                <w:b w:val="0"/>
                <w:bCs/>
                <w:sz w:val="21"/>
                <w:szCs w:val="21"/>
                <w:lang w:val="en-US" w:eastAsia="zh-CN" w:bidi="ar"/>
              </w:rPr>
              <w:t>运行管理类数据、</w:t>
            </w:r>
            <w:r>
              <w:rPr>
                <w:rStyle w:val="44"/>
                <w:rFonts w:hint="eastAsia" w:ascii="宋体" w:hAnsi="宋体" w:eastAsia="宋体" w:cs="宋体"/>
                <w:b w:val="0"/>
                <w:bCs/>
                <w:sz w:val="21"/>
                <w:szCs w:val="21"/>
                <w:lang w:val="en-US" w:eastAsia="zh-CN" w:bidi="ar"/>
              </w:rPr>
              <w:t xml:space="preserve">G6-4 </w:t>
            </w:r>
            <w:r>
              <w:rPr>
                <w:rStyle w:val="43"/>
                <w:rFonts w:hint="eastAsia" w:ascii="宋体" w:hAnsi="宋体" w:eastAsia="宋体" w:cs="宋体"/>
                <w:b w:val="0"/>
                <w:bCs/>
                <w:sz w:val="21"/>
                <w:szCs w:val="21"/>
                <w:lang w:val="en-US" w:eastAsia="zh-CN" w:bidi="ar"/>
              </w:rPr>
              <w:t>办公自动化、</w:t>
            </w:r>
            <w:r>
              <w:rPr>
                <w:rStyle w:val="44"/>
                <w:rFonts w:hint="eastAsia" w:ascii="宋体" w:hAnsi="宋体" w:eastAsia="宋体" w:cs="宋体"/>
                <w:b w:val="0"/>
                <w:bCs/>
                <w:sz w:val="21"/>
                <w:szCs w:val="21"/>
                <w:lang w:val="en-US" w:eastAsia="zh-CN" w:bidi="ar"/>
              </w:rPr>
              <w:t xml:space="preserve">G6-5-1 </w:t>
            </w:r>
            <w:r>
              <w:rPr>
                <w:rStyle w:val="43"/>
                <w:rFonts w:hint="eastAsia" w:ascii="宋体" w:hAnsi="宋体" w:eastAsia="宋体" w:cs="宋体"/>
                <w:b w:val="0"/>
                <w:bCs/>
                <w:sz w:val="21"/>
                <w:szCs w:val="21"/>
                <w:lang w:val="en-US" w:eastAsia="zh-CN" w:bidi="ar"/>
              </w:rPr>
              <w:t>招投标数据（公开后）、</w:t>
            </w:r>
            <w:r>
              <w:rPr>
                <w:rStyle w:val="44"/>
                <w:rFonts w:hint="eastAsia" w:ascii="宋体" w:hAnsi="宋体" w:eastAsia="宋体" w:cs="宋体"/>
                <w:b w:val="0"/>
                <w:bCs/>
                <w:sz w:val="21"/>
                <w:szCs w:val="21"/>
                <w:lang w:val="en-US" w:eastAsia="zh-CN" w:bidi="ar"/>
              </w:rPr>
              <w:t xml:space="preserve"> G6-5-2 </w:t>
            </w:r>
            <w:r>
              <w:rPr>
                <w:rStyle w:val="43"/>
                <w:rFonts w:hint="eastAsia" w:ascii="宋体" w:hAnsi="宋体" w:eastAsia="宋体" w:cs="宋体"/>
                <w:b w:val="0"/>
                <w:bCs/>
                <w:sz w:val="21"/>
                <w:szCs w:val="21"/>
                <w:lang w:val="en-US" w:eastAsia="zh-CN" w:bidi="ar"/>
              </w:rPr>
              <w:t>物资数据、</w:t>
            </w:r>
            <w:r>
              <w:rPr>
                <w:rStyle w:val="44"/>
                <w:rFonts w:hint="eastAsia" w:ascii="宋体" w:hAnsi="宋体" w:eastAsia="宋体" w:cs="宋体"/>
                <w:b w:val="0"/>
                <w:bCs/>
                <w:sz w:val="21"/>
                <w:szCs w:val="21"/>
                <w:lang w:val="en-US" w:eastAsia="zh-CN" w:bidi="ar"/>
              </w:rPr>
              <w:t xml:space="preserve">G6-5-3 </w:t>
            </w:r>
            <w:r>
              <w:rPr>
                <w:rStyle w:val="43"/>
                <w:rFonts w:hint="eastAsia" w:ascii="宋体" w:hAnsi="宋体" w:eastAsia="宋体" w:cs="宋体"/>
                <w:b w:val="0"/>
                <w:bCs/>
                <w:sz w:val="21"/>
                <w:szCs w:val="21"/>
                <w:lang w:val="en-US" w:eastAsia="zh-CN" w:bidi="ar"/>
              </w:rPr>
              <w:t>业务合作类数据、</w:t>
            </w:r>
            <w:r>
              <w:rPr>
                <w:rStyle w:val="44"/>
                <w:rFonts w:hint="eastAsia" w:ascii="宋体" w:hAnsi="宋体" w:eastAsia="宋体" w:cs="宋体"/>
                <w:b w:val="0"/>
                <w:bCs/>
                <w:sz w:val="21"/>
                <w:szCs w:val="21"/>
                <w:lang w:val="en-US" w:eastAsia="zh-CN" w:bidi="ar"/>
              </w:rPr>
              <w:t xml:space="preserve">H1 </w:t>
            </w:r>
            <w:r>
              <w:rPr>
                <w:rStyle w:val="43"/>
                <w:rFonts w:hint="eastAsia" w:ascii="宋体" w:hAnsi="宋体" w:eastAsia="宋体" w:cs="宋体"/>
                <w:b w:val="0"/>
                <w:bCs/>
                <w:sz w:val="21"/>
                <w:szCs w:val="21"/>
                <w:lang w:val="en-US" w:eastAsia="zh-CN" w:bidi="ar"/>
              </w:rPr>
              <w:t>合作方提供数据</w:t>
            </w:r>
          </w:p>
        </w:tc>
      </w:tr>
      <w:tr w14:paraId="089C8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89" w:type="pct"/>
            <w:vMerge w:val="restart"/>
            <w:tcBorders>
              <w:top w:val="single" w:color="000000" w:sz="4" w:space="0"/>
              <w:left w:val="single" w:color="000000" w:sz="4" w:space="0"/>
              <w:bottom w:val="single" w:color="000000" w:sz="4" w:space="0"/>
              <w:right w:val="single" w:color="000000" w:sz="4" w:space="0"/>
            </w:tcBorders>
            <w:noWrap w:val="0"/>
            <w:vAlign w:val="center"/>
          </w:tcPr>
          <w:p w14:paraId="5B256FD9">
            <w:pPr>
              <w:keepNext w:val="0"/>
              <w:keepLines w:val="0"/>
              <w:widowControl/>
              <w:suppressLineNumbers w:val="0"/>
              <w:jc w:val="center"/>
              <w:textAlignment w:val="center"/>
              <w:rPr>
                <w:rFonts w:hint="eastAsia" w:ascii="宋体" w:hAnsi="宋体" w:eastAsia="宋体" w:cs="宋体"/>
                <w:b w:val="0"/>
                <w:bCs/>
                <w:i w:val="0"/>
                <w:iCs w:val="0"/>
                <w:color w:val="000000"/>
                <w:sz w:val="21"/>
                <w:szCs w:val="21"/>
                <w:u w:val="none"/>
              </w:rPr>
            </w:pPr>
            <w:r>
              <w:rPr>
                <w:rFonts w:hint="eastAsia" w:ascii="宋体" w:hAnsi="宋体" w:eastAsia="宋体" w:cs="宋体"/>
                <w:b w:val="0"/>
                <w:bCs/>
                <w:i w:val="0"/>
                <w:iCs w:val="0"/>
                <w:color w:val="000000"/>
                <w:kern w:val="0"/>
                <w:sz w:val="21"/>
                <w:szCs w:val="21"/>
                <w:u w:val="none"/>
                <w:lang w:val="en-US" w:eastAsia="zh-CN" w:bidi="ar"/>
              </w:rPr>
              <w:t>一般数据-</w:t>
            </w:r>
            <w:r>
              <w:rPr>
                <w:rStyle w:val="44"/>
                <w:rFonts w:hint="eastAsia" w:ascii="宋体" w:hAnsi="宋体" w:eastAsia="宋体" w:cs="宋体"/>
                <w:b w:val="0"/>
                <w:bCs/>
                <w:sz w:val="21"/>
                <w:szCs w:val="21"/>
                <w:lang w:val="en-US" w:eastAsia="zh-CN" w:bidi="ar"/>
              </w:rPr>
              <w:t>1</w:t>
            </w:r>
            <w:r>
              <w:rPr>
                <w:rStyle w:val="43"/>
                <w:rFonts w:hint="eastAsia" w:ascii="宋体" w:hAnsi="宋体" w:eastAsia="宋体" w:cs="宋体"/>
                <w:b w:val="0"/>
                <w:bCs/>
                <w:sz w:val="21"/>
                <w:szCs w:val="21"/>
                <w:lang w:val="en-US" w:eastAsia="zh-CN" w:bidi="ar"/>
              </w:rPr>
              <w:t>级</w:t>
            </w:r>
          </w:p>
        </w:tc>
        <w:tc>
          <w:tcPr>
            <w:tcW w:w="3910" w:type="pct"/>
            <w:tcBorders>
              <w:top w:val="single" w:color="000000" w:sz="4" w:space="0"/>
              <w:left w:val="single" w:color="000000" w:sz="4" w:space="0"/>
              <w:bottom w:val="single" w:color="000000" w:sz="4" w:space="0"/>
              <w:right w:val="single" w:color="000000" w:sz="4" w:space="0"/>
            </w:tcBorders>
            <w:noWrap w:val="0"/>
            <w:vAlign w:val="center"/>
          </w:tcPr>
          <w:p w14:paraId="4012FE48">
            <w:pPr>
              <w:keepNext w:val="0"/>
              <w:keepLines w:val="0"/>
              <w:widowControl/>
              <w:suppressLineNumbers w:val="0"/>
              <w:jc w:val="left"/>
              <w:textAlignment w:val="center"/>
              <w:rPr>
                <w:rFonts w:hint="eastAsia" w:ascii="宋体" w:hAnsi="宋体" w:eastAsia="宋体" w:cs="宋体"/>
                <w:b w:val="0"/>
                <w:bCs/>
                <w:i w:val="0"/>
                <w:iCs w:val="0"/>
                <w:color w:val="000000"/>
                <w:sz w:val="21"/>
                <w:szCs w:val="21"/>
                <w:u w:val="none"/>
              </w:rPr>
            </w:pPr>
            <w:r>
              <w:rPr>
                <w:rStyle w:val="44"/>
                <w:rFonts w:hint="eastAsia" w:ascii="宋体" w:hAnsi="宋体" w:eastAsia="宋体" w:cs="宋体"/>
                <w:b w:val="0"/>
                <w:bCs/>
                <w:sz w:val="21"/>
                <w:szCs w:val="21"/>
                <w:lang w:val="en-US" w:eastAsia="zh-CN" w:bidi="ar"/>
              </w:rPr>
              <w:t xml:space="preserve">C1-5 </w:t>
            </w:r>
            <w:r>
              <w:rPr>
                <w:rStyle w:val="43"/>
                <w:rFonts w:hint="eastAsia" w:ascii="宋体" w:hAnsi="宋体" w:eastAsia="宋体" w:cs="宋体"/>
                <w:b w:val="0"/>
                <w:bCs/>
                <w:sz w:val="21"/>
                <w:szCs w:val="21"/>
                <w:lang w:val="en-US" w:eastAsia="zh-CN" w:bidi="ar"/>
              </w:rPr>
              <w:t>违规记录数据</w:t>
            </w:r>
          </w:p>
        </w:tc>
      </w:tr>
      <w:tr w14:paraId="2A7DD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B88B9C">
            <w:pPr>
              <w:jc w:val="center"/>
              <w:rPr>
                <w:rFonts w:hint="eastAsia" w:ascii="宋体" w:hAnsi="宋体" w:eastAsia="宋体" w:cs="宋体"/>
                <w:b w:val="0"/>
                <w:bCs/>
                <w:i w:val="0"/>
                <w:iCs w:val="0"/>
                <w:color w:val="000000"/>
                <w:sz w:val="21"/>
                <w:szCs w:val="21"/>
                <w:u w:val="none"/>
              </w:rPr>
            </w:pPr>
          </w:p>
        </w:tc>
        <w:tc>
          <w:tcPr>
            <w:tcW w:w="3910" w:type="pct"/>
            <w:tcBorders>
              <w:top w:val="single" w:color="000000" w:sz="4" w:space="0"/>
              <w:left w:val="single" w:color="000000" w:sz="4" w:space="0"/>
              <w:bottom w:val="single" w:color="000000" w:sz="4" w:space="0"/>
              <w:right w:val="single" w:color="000000" w:sz="4" w:space="0"/>
            </w:tcBorders>
            <w:noWrap w:val="0"/>
            <w:vAlign w:val="center"/>
          </w:tcPr>
          <w:p w14:paraId="6D275ABD">
            <w:pPr>
              <w:keepNext w:val="0"/>
              <w:keepLines w:val="0"/>
              <w:widowControl/>
              <w:suppressLineNumbers w:val="0"/>
              <w:jc w:val="left"/>
              <w:textAlignment w:val="center"/>
              <w:rPr>
                <w:rFonts w:hint="eastAsia" w:ascii="宋体" w:hAnsi="宋体" w:eastAsia="宋体" w:cs="宋体"/>
                <w:b w:val="0"/>
                <w:bCs/>
                <w:i w:val="0"/>
                <w:iCs w:val="0"/>
                <w:color w:val="000000"/>
                <w:sz w:val="21"/>
                <w:szCs w:val="21"/>
                <w:u w:val="none"/>
              </w:rPr>
            </w:pPr>
            <w:r>
              <w:rPr>
                <w:rStyle w:val="44"/>
                <w:rFonts w:hint="eastAsia" w:ascii="宋体" w:hAnsi="宋体" w:eastAsia="宋体" w:cs="宋体"/>
                <w:b w:val="0"/>
                <w:bCs/>
                <w:sz w:val="21"/>
                <w:szCs w:val="21"/>
                <w:lang w:val="en-US" w:eastAsia="zh-CN" w:bidi="ar"/>
              </w:rPr>
              <w:t xml:space="preserve">F1-1 </w:t>
            </w:r>
            <w:r>
              <w:rPr>
                <w:rStyle w:val="43"/>
                <w:rFonts w:hint="eastAsia" w:ascii="宋体" w:hAnsi="宋体" w:eastAsia="宋体" w:cs="宋体"/>
                <w:b w:val="0"/>
                <w:bCs/>
                <w:sz w:val="21"/>
                <w:szCs w:val="21"/>
                <w:lang w:val="en-US" w:eastAsia="zh-CN" w:bidi="ar"/>
              </w:rPr>
              <w:t>产品信息、</w:t>
            </w:r>
            <w:r>
              <w:rPr>
                <w:rStyle w:val="44"/>
                <w:rFonts w:hint="eastAsia" w:ascii="宋体" w:hAnsi="宋体" w:eastAsia="宋体" w:cs="宋体"/>
                <w:b w:val="0"/>
                <w:bCs/>
                <w:sz w:val="21"/>
                <w:szCs w:val="21"/>
                <w:lang w:val="en-US" w:eastAsia="zh-CN" w:bidi="ar"/>
              </w:rPr>
              <w:t xml:space="preserve">F2 </w:t>
            </w:r>
            <w:r>
              <w:rPr>
                <w:rStyle w:val="43"/>
                <w:rFonts w:hint="eastAsia" w:ascii="宋体" w:hAnsi="宋体" w:eastAsia="宋体" w:cs="宋体"/>
                <w:b w:val="0"/>
                <w:bCs/>
                <w:sz w:val="21"/>
                <w:szCs w:val="21"/>
                <w:lang w:val="en-US" w:eastAsia="zh-CN" w:bidi="ar"/>
              </w:rPr>
              <w:t>公开业务运营服务数据、</w:t>
            </w:r>
            <w:r>
              <w:rPr>
                <w:rStyle w:val="44"/>
                <w:rFonts w:hint="eastAsia" w:ascii="宋体" w:hAnsi="宋体" w:eastAsia="宋体" w:cs="宋体"/>
                <w:b w:val="0"/>
                <w:bCs/>
                <w:sz w:val="21"/>
                <w:szCs w:val="21"/>
                <w:lang w:val="en-US" w:eastAsia="zh-CN" w:bidi="ar"/>
              </w:rPr>
              <w:t xml:space="preserve">G6-2 </w:t>
            </w:r>
            <w:r>
              <w:rPr>
                <w:rStyle w:val="43"/>
                <w:rFonts w:hint="eastAsia" w:ascii="宋体" w:hAnsi="宋体" w:eastAsia="宋体" w:cs="宋体"/>
                <w:b w:val="0"/>
                <w:bCs/>
                <w:sz w:val="21"/>
                <w:szCs w:val="21"/>
                <w:lang w:val="en-US" w:eastAsia="zh-CN" w:bidi="ar"/>
              </w:rPr>
              <w:t>财务信息（公开后）</w:t>
            </w:r>
          </w:p>
        </w:tc>
      </w:tr>
    </w:tbl>
    <w:p w14:paraId="7A22F14C">
      <w:pPr>
        <w:spacing w:before="120" w:after="120" w:line="360" w:lineRule="auto"/>
        <w:ind w:firstLine="420"/>
        <w:rPr>
          <w:rFonts w:hint="eastAsia" w:ascii="宋体" w:hAnsi="宋体" w:cs="宋体"/>
          <w:color w:val="000000"/>
          <w:sz w:val="24"/>
          <w:szCs w:val="24"/>
        </w:rPr>
      </w:pPr>
    </w:p>
    <w:tbl>
      <w:tblPr>
        <w:tblStyle w:val="15"/>
        <w:tblW w:w="5000" w:type="pct"/>
        <w:tblInd w:w="0" w:type="dxa"/>
        <w:tblLayout w:type="autofit"/>
        <w:tblCellMar>
          <w:top w:w="0" w:type="dxa"/>
          <w:left w:w="108" w:type="dxa"/>
          <w:bottom w:w="0" w:type="dxa"/>
          <w:right w:w="108" w:type="dxa"/>
        </w:tblCellMar>
      </w:tblPr>
      <w:tblGrid>
        <w:gridCol w:w="4264"/>
        <w:gridCol w:w="4264"/>
      </w:tblGrid>
      <w:tr w14:paraId="06779B97">
        <w:tblPrEx>
          <w:tblCellMar>
            <w:top w:w="0" w:type="dxa"/>
            <w:left w:w="108" w:type="dxa"/>
            <w:bottom w:w="0" w:type="dxa"/>
            <w:right w:w="108" w:type="dxa"/>
          </w:tblCellMar>
        </w:tblPrEx>
        <w:trPr>
          <w:trHeight w:val="3312" w:hRule="atLeast"/>
        </w:trPr>
        <w:tc>
          <w:tcPr>
            <w:tcW w:w="2500" w:type="pct"/>
            <w:noWrap w:val="0"/>
            <w:vAlign w:val="top"/>
          </w:tcPr>
          <w:p w14:paraId="749E5946">
            <w:pPr>
              <w:spacing w:before="120" w:after="120" w:line="360" w:lineRule="auto"/>
              <w:rPr>
                <w:rFonts w:hint="eastAsia" w:ascii="宋体" w:hAnsi="宋体" w:cs="宋体"/>
                <w:color w:val="000000"/>
                <w:sz w:val="24"/>
                <w:szCs w:val="24"/>
              </w:rPr>
            </w:pPr>
            <w:r>
              <w:rPr>
                <w:rFonts w:hint="eastAsia" w:ascii="宋体" w:hAnsi="宋体" w:cs="宋体"/>
                <w:color w:val="000000"/>
                <w:sz w:val="24"/>
                <w:szCs w:val="24"/>
              </w:rPr>
              <w:t>甲方名称：</w:t>
            </w:r>
            <w:r>
              <w:rPr>
                <w:rFonts w:hint="default" w:ascii="宋体" w:hAnsi="宋体"/>
                <w:b w:val="0"/>
                <w:bCs/>
                <w:sz w:val="24"/>
                <w:szCs w:val="24"/>
              </w:rPr>
              <w:t>中国移动通信集团江苏有限公司徐州分公司</w:t>
            </w:r>
            <w:r>
              <w:rPr>
                <w:rFonts w:hint="eastAsia" w:ascii="宋体" w:hAnsi="宋体" w:cs="宋体"/>
                <w:color w:val="000000"/>
                <w:sz w:val="24"/>
                <w:szCs w:val="24"/>
              </w:rPr>
              <w:t>（盖章）</w:t>
            </w:r>
          </w:p>
          <w:p w14:paraId="2ECFBEC7">
            <w:pPr>
              <w:spacing w:before="120" w:after="120" w:line="360" w:lineRule="auto"/>
              <w:rPr>
                <w:rFonts w:hint="eastAsia" w:ascii="宋体" w:hAnsi="宋体" w:cs="宋体"/>
                <w:color w:val="000000"/>
                <w:sz w:val="24"/>
                <w:szCs w:val="24"/>
              </w:rPr>
            </w:pPr>
            <w:r>
              <w:rPr>
                <w:rFonts w:hint="eastAsia" w:ascii="宋体" w:hAnsi="宋体" w:cs="宋体"/>
                <w:color w:val="000000"/>
                <w:sz w:val="24"/>
                <w:szCs w:val="24"/>
              </w:rPr>
              <w:t xml:space="preserve">    </w:t>
            </w:r>
          </w:p>
          <w:p w14:paraId="3769F5D1">
            <w:pPr>
              <w:spacing w:before="120" w:after="120" w:line="360" w:lineRule="auto"/>
              <w:rPr>
                <w:rFonts w:hint="eastAsia" w:ascii="宋体" w:hAnsi="宋体" w:cs="宋体"/>
                <w:color w:val="000000"/>
                <w:sz w:val="24"/>
                <w:szCs w:val="24"/>
              </w:rPr>
            </w:pPr>
            <w:r>
              <w:rPr>
                <w:rFonts w:hint="eastAsia" w:ascii="宋体" w:hAnsi="宋体" w:cs="宋体"/>
                <w:color w:val="000000"/>
                <w:sz w:val="24"/>
                <w:szCs w:val="24"/>
              </w:rPr>
              <w:t>授权代表（签字）：</w:t>
            </w:r>
          </w:p>
          <w:p w14:paraId="74592F59">
            <w:pPr>
              <w:pStyle w:val="8"/>
              <w:rPr>
                <w:rFonts w:hint="eastAsia"/>
              </w:rPr>
            </w:pPr>
          </w:p>
          <w:p w14:paraId="47B849D0">
            <w:pPr>
              <w:spacing w:before="120" w:after="120" w:line="360" w:lineRule="auto"/>
              <w:rPr>
                <w:rFonts w:hint="eastAsia" w:ascii="宋体" w:hAnsi="宋体"/>
                <w:color w:val="000000"/>
                <w:sz w:val="24"/>
              </w:rPr>
            </w:pPr>
            <w:r>
              <w:rPr>
                <w:rFonts w:hint="eastAsia" w:ascii="宋体" w:hAnsi="宋体"/>
                <w:color w:val="000000"/>
                <w:sz w:val="24"/>
              </w:rPr>
              <w:t>签约日期：</w:t>
            </w:r>
          </w:p>
          <w:p w14:paraId="03189DCD">
            <w:pPr>
              <w:spacing w:before="120" w:after="120" w:line="360" w:lineRule="auto"/>
              <w:rPr>
                <w:rFonts w:hint="eastAsia" w:ascii="宋体" w:hAnsi="宋体" w:cs="宋体"/>
                <w:color w:val="000000"/>
                <w:sz w:val="24"/>
                <w:szCs w:val="24"/>
              </w:rPr>
            </w:pPr>
          </w:p>
        </w:tc>
        <w:tc>
          <w:tcPr>
            <w:tcW w:w="2500" w:type="pct"/>
            <w:noWrap w:val="0"/>
            <w:vAlign w:val="top"/>
          </w:tcPr>
          <w:p w14:paraId="3CD200E1">
            <w:pPr>
              <w:spacing w:before="120" w:after="120" w:line="360" w:lineRule="auto"/>
              <w:rPr>
                <w:rFonts w:hint="eastAsia" w:ascii="宋体" w:hAnsi="宋体" w:cs="宋体"/>
                <w:color w:val="000000"/>
                <w:sz w:val="24"/>
                <w:szCs w:val="24"/>
              </w:rPr>
            </w:pPr>
            <w:r>
              <w:rPr>
                <w:rFonts w:hint="eastAsia" w:ascii="宋体" w:hAnsi="宋体" w:cs="宋体"/>
                <w:color w:val="000000"/>
                <w:sz w:val="24"/>
                <w:szCs w:val="24"/>
              </w:rPr>
              <w:t>乙方名称：   （盖章）</w:t>
            </w:r>
          </w:p>
          <w:p w14:paraId="4550382F">
            <w:pPr>
              <w:spacing w:before="120" w:after="120" w:line="360" w:lineRule="auto"/>
              <w:rPr>
                <w:rFonts w:hint="eastAsia" w:ascii="宋体" w:hAnsi="宋体" w:cs="宋体"/>
                <w:color w:val="000000"/>
                <w:sz w:val="24"/>
                <w:szCs w:val="24"/>
              </w:rPr>
            </w:pPr>
            <w:r>
              <w:rPr>
                <w:rFonts w:hint="eastAsia" w:ascii="宋体" w:hAnsi="宋体" w:cs="宋体"/>
                <w:color w:val="000000"/>
                <w:sz w:val="24"/>
                <w:szCs w:val="24"/>
              </w:rPr>
              <w:t xml:space="preserve">    </w:t>
            </w:r>
          </w:p>
          <w:p w14:paraId="3DE4FFFB">
            <w:pPr>
              <w:spacing w:before="120" w:after="120" w:line="360" w:lineRule="auto"/>
              <w:rPr>
                <w:rFonts w:hint="eastAsia" w:ascii="宋体" w:hAnsi="宋体" w:cs="宋体"/>
                <w:color w:val="000000"/>
                <w:sz w:val="24"/>
                <w:szCs w:val="24"/>
              </w:rPr>
            </w:pPr>
            <w:r>
              <w:rPr>
                <w:rFonts w:hint="eastAsia" w:ascii="宋体" w:hAnsi="宋体" w:cs="宋体"/>
                <w:color w:val="000000"/>
                <w:sz w:val="24"/>
                <w:szCs w:val="24"/>
              </w:rPr>
              <w:t>授权代表（签字）：</w:t>
            </w:r>
          </w:p>
          <w:p w14:paraId="557233B9">
            <w:pPr>
              <w:spacing w:before="120" w:after="120" w:line="360" w:lineRule="auto"/>
              <w:rPr>
                <w:rFonts w:hint="eastAsia" w:ascii="宋体" w:hAnsi="宋体" w:cs="宋体"/>
                <w:color w:val="000000"/>
                <w:sz w:val="24"/>
                <w:szCs w:val="24"/>
              </w:rPr>
            </w:pPr>
          </w:p>
          <w:p w14:paraId="3BFBFAB3">
            <w:pPr>
              <w:spacing w:before="120" w:after="120" w:line="360" w:lineRule="auto"/>
              <w:rPr>
                <w:rFonts w:hint="eastAsia" w:ascii="宋体" w:hAnsi="宋体" w:cs="宋体"/>
                <w:color w:val="000000"/>
                <w:sz w:val="24"/>
                <w:szCs w:val="24"/>
              </w:rPr>
            </w:pPr>
            <w:r>
              <w:rPr>
                <w:rFonts w:hint="eastAsia" w:ascii="宋体" w:hAnsi="宋体" w:cs="宋体"/>
                <w:color w:val="000000"/>
                <w:sz w:val="24"/>
                <w:szCs w:val="24"/>
              </w:rPr>
              <w:t>签约日期：</w:t>
            </w:r>
          </w:p>
        </w:tc>
      </w:tr>
    </w:tbl>
    <w:p w14:paraId="453E89DC">
      <w:pPr>
        <w:spacing w:before="240" w:after="240" w:line="360" w:lineRule="auto"/>
        <w:rPr>
          <w:color w:val="000000"/>
        </w:rPr>
      </w:pPr>
    </w:p>
    <w:p w14:paraId="49137702">
      <w:pPr>
        <w:rPr>
          <w:color w:val="000000"/>
        </w:rPr>
        <w:sectPr>
          <w:pgSz w:w="11906" w:h="16838"/>
          <w:pgMar w:top="1440" w:right="1797" w:bottom="1440" w:left="1797" w:header="851" w:footer="992" w:gutter="0"/>
          <w:cols w:space="720" w:num="1"/>
          <w:docGrid w:linePitch="312" w:charSpace="0"/>
        </w:sectPr>
      </w:pPr>
      <w:r>
        <w:rPr>
          <w:color w:val="000000"/>
        </w:rPr>
        <w:br w:type="page"/>
      </w:r>
    </w:p>
    <w:p w14:paraId="32DCB305">
      <w:pPr>
        <w:rPr>
          <w:rFonts w:ascii="宋体" w:hAnsi="宋体"/>
          <w:b/>
          <w:color w:val="000000"/>
          <w:sz w:val="30"/>
          <w:szCs w:val="30"/>
        </w:rPr>
      </w:pPr>
      <w:r>
        <w:rPr>
          <w:rFonts w:hint="eastAsia" w:ascii="宋体" w:hAnsi="宋体"/>
          <w:b/>
          <w:color w:val="000000"/>
          <w:sz w:val="36"/>
          <w:szCs w:val="36"/>
        </w:rPr>
        <w:t>附件4</w:t>
      </w:r>
      <w:r>
        <w:rPr>
          <w:rFonts w:hint="default" w:ascii="宋体" w:hAnsi="宋体"/>
          <w:b/>
          <w:color w:val="000000"/>
          <w:sz w:val="36"/>
          <w:szCs w:val="36"/>
        </w:rPr>
        <w:t xml:space="preserve">   </w:t>
      </w:r>
      <w:r>
        <w:rPr>
          <w:rFonts w:hint="eastAsia" w:ascii="宋体" w:hAnsi="宋体"/>
          <w:b/>
          <w:color w:val="000000"/>
          <w:sz w:val="36"/>
          <w:szCs w:val="36"/>
        </w:rPr>
        <w:t xml:space="preserve">       廉洁诚信协议</w:t>
      </w:r>
    </w:p>
    <w:p w14:paraId="7044EECF">
      <w:pPr>
        <w:rPr>
          <w:rFonts w:ascii="宋体" w:hAnsi="宋体"/>
          <w:color w:val="000000"/>
          <w:sz w:val="24"/>
        </w:rPr>
      </w:pPr>
    </w:p>
    <w:p w14:paraId="65BFF003">
      <w:pPr>
        <w:rPr>
          <w:rFonts w:hint="eastAsia" w:ascii="宋体" w:hAnsi="宋体"/>
          <w:color w:val="000000"/>
          <w:sz w:val="24"/>
        </w:rPr>
      </w:pPr>
      <w:r>
        <w:rPr>
          <w:rFonts w:hint="eastAsia" w:ascii="宋体" w:hAnsi="宋体"/>
          <w:color w:val="000000"/>
          <w:sz w:val="24"/>
        </w:rPr>
        <w:t>甲方：中国移动通信集团江苏有限公司徐州分公司</w:t>
      </w:r>
    </w:p>
    <w:p w14:paraId="2F914CC1">
      <w:pPr>
        <w:rPr>
          <w:rFonts w:ascii="宋体" w:hAnsi="宋体"/>
          <w:color w:val="000000"/>
          <w:sz w:val="24"/>
        </w:rPr>
      </w:pPr>
      <w:r>
        <w:rPr>
          <w:rFonts w:hint="eastAsia" w:ascii="宋体" w:hAnsi="宋体"/>
          <w:color w:val="000000"/>
          <w:sz w:val="24"/>
        </w:rPr>
        <w:t>乙方：</w:t>
      </w:r>
    </w:p>
    <w:p w14:paraId="152659A0">
      <w:pPr>
        <w:rPr>
          <w:rFonts w:ascii="宋体" w:hAnsi="宋体"/>
          <w:color w:val="000000"/>
          <w:sz w:val="24"/>
        </w:rPr>
      </w:pPr>
      <w:r>
        <w:rPr>
          <w:rFonts w:ascii="宋体" w:hAnsi="宋体"/>
          <w:color w:val="000000"/>
          <w:sz w:val="24"/>
        </w:rPr>
        <w:t xml:space="preserve"> </w:t>
      </w:r>
    </w:p>
    <w:p w14:paraId="54EB2BBB">
      <w:pPr>
        <w:ind w:left="-2" w:firstLine="463" w:firstLineChars="193"/>
        <w:rPr>
          <w:rFonts w:ascii="宋体" w:hAnsi="宋体"/>
          <w:color w:val="000000"/>
          <w:sz w:val="24"/>
        </w:rPr>
      </w:pPr>
      <w:r>
        <w:rPr>
          <w:rFonts w:hint="eastAsia" w:ascii="宋体" w:hAnsi="宋体"/>
          <w:color w:val="000000"/>
          <w:sz w:val="24"/>
        </w:rPr>
        <w:t>为保障甲方与乙方在业务来往的合法权益，推进甲方双方及其工作人员的廉洁诚信建设，使甲、乙双方的业务往来充分体现廉洁、诚信的原则，预防商业贿赂和不正当竞争，甲、乙双方在自愿的基础上签署本协议。</w:t>
      </w:r>
    </w:p>
    <w:p w14:paraId="2E915822">
      <w:pPr>
        <w:ind w:right="-325" w:rightChars="-155" w:firstLine="470" w:firstLineChars="196"/>
        <w:rPr>
          <w:rFonts w:ascii="宋体" w:hAnsi="宋体"/>
          <w:color w:val="000000"/>
          <w:sz w:val="24"/>
        </w:rPr>
      </w:pPr>
      <w:r>
        <w:rPr>
          <w:rFonts w:hint="eastAsia" w:ascii="宋体" w:hAnsi="宋体"/>
          <w:color w:val="000000"/>
          <w:sz w:val="24"/>
        </w:rPr>
        <w:t>第一条  本协议作为合同附件，经甲、乙双方签署后生效。</w:t>
      </w:r>
    </w:p>
    <w:p w14:paraId="5B940A10">
      <w:pPr>
        <w:ind w:left="-2" w:leftChars="-1" w:firstLine="475" w:firstLineChars="198"/>
        <w:rPr>
          <w:rFonts w:ascii="宋体" w:hAnsi="宋体"/>
          <w:bCs/>
          <w:color w:val="000000"/>
          <w:sz w:val="24"/>
        </w:rPr>
      </w:pPr>
      <w:r>
        <w:rPr>
          <w:rFonts w:hint="eastAsia" w:ascii="宋体" w:hAnsi="宋体"/>
          <w:bCs/>
          <w:color w:val="000000"/>
          <w:sz w:val="24"/>
        </w:rPr>
        <w:t>第二条  甲、乙双方应共同遵守下列条款：</w:t>
      </w:r>
    </w:p>
    <w:p w14:paraId="5836E6AA">
      <w:pPr>
        <w:ind w:left="-1" w:firstLine="480" w:firstLineChars="200"/>
        <w:rPr>
          <w:rFonts w:ascii="宋体" w:hAnsi="宋体"/>
          <w:color w:val="000000"/>
          <w:sz w:val="24"/>
        </w:rPr>
      </w:pPr>
      <w:r>
        <w:rPr>
          <w:rFonts w:hint="eastAsia" w:ascii="宋体" w:hAnsi="宋体"/>
          <w:color w:val="000000"/>
          <w:sz w:val="24"/>
        </w:rPr>
        <w:t>（一）严格遵守国家法律法规，坚持廉洁、诚信的原则，恪守公认的商业道德和职业道德规范，不从事并抵制不廉洁、不诚信行为；</w:t>
      </w:r>
    </w:p>
    <w:p w14:paraId="1AD2C88A">
      <w:pPr>
        <w:ind w:left="-2" w:leftChars="-1" w:firstLine="480" w:firstLineChars="200"/>
        <w:rPr>
          <w:rFonts w:ascii="宋体" w:hAnsi="宋体"/>
          <w:color w:val="000000"/>
          <w:sz w:val="24"/>
        </w:rPr>
      </w:pPr>
      <w:r>
        <w:rPr>
          <w:rFonts w:hint="eastAsia" w:ascii="宋体" w:hAnsi="宋体"/>
          <w:color w:val="000000"/>
          <w:sz w:val="24"/>
        </w:rPr>
        <w:t>（二）对各自工作人员开展廉政教育，增强相关人员廉洁自律的意识。</w:t>
      </w:r>
    </w:p>
    <w:p w14:paraId="04EE3132">
      <w:pPr>
        <w:ind w:left="-2" w:leftChars="-1" w:firstLine="475" w:firstLineChars="198"/>
        <w:rPr>
          <w:rFonts w:ascii="宋体" w:hAnsi="宋体"/>
          <w:bCs/>
          <w:color w:val="000000"/>
          <w:sz w:val="24"/>
        </w:rPr>
      </w:pPr>
      <w:r>
        <w:rPr>
          <w:rFonts w:hint="eastAsia" w:ascii="宋体" w:hAnsi="宋体"/>
          <w:bCs/>
          <w:color w:val="000000"/>
          <w:sz w:val="24"/>
        </w:rPr>
        <w:t>第三条  甲方应遵守下列条款：</w:t>
      </w:r>
    </w:p>
    <w:p w14:paraId="5574D89F">
      <w:pPr>
        <w:ind w:firstLine="480" w:firstLineChars="200"/>
        <w:rPr>
          <w:rFonts w:ascii="宋体" w:hAnsi="宋体"/>
          <w:color w:val="000000"/>
          <w:sz w:val="24"/>
        </w:rPr>
      </w:pPr>
      <w:r>
        <w:rPr>
          <w:rFonts w:hint="eastAsia" w:ascii="宋体" w:hAnsi="宋体"/>
          <w:color w:val="000000"/>
          <w:sz w:val="24"/>
        </w:rPr>
        <w:t>（一）</w:t>
      </w:r>
      <w:r>
        <w:rPr>
          <w:rFonts w:hint="eastAsia" w:ascii="宋体" w:hAnsi="宋体"/>
          <w:bCs/>
          <w:color w:val="000000"/>
          <w:sz w:val="24"/>
        </w:rPr>
        <w:t>甲方工作人员及其配偶、子女、其他特定关系人</w:t>
      </w:r>
      <w:r>
        <w:rPr>
          <w:rFonts w:hint="eastAsia" w:ascii="宋体" w:hAnsi="宋体"/>
          <w:color w:val="000000"/>
          <w:sz w:val="24"/>
        </w:rPr>
        <w:t>不得索取、接受或以借用等名义占用乙方或乙方工作人员的财物；</w:t>
      </w:r>
    </w:p>
    <w:p w14:paraId="1ABEBF28">
      <w:pPr>
        <w:ind w:firstLine="480" w:firstLineChars="200"/>
        <w:rPr>
          <w:rFonts w:ascii="宋体" w:hAnsi="宋体"/>
          <w:color w:val="000000"/>
          <w:sz w:val="24"/>
        </w:rPr>
      </w:pPr>
      <w:r>
        <w:rPr>
          <w:rFonts w:hint="eastAsia" w:ascii="宋体" w:hAnsi="宋体"/>
          <w:color w:val="000000"/>
          <w:sz w:val="24"/>
        </w:rPr>
        <w:t>（二）</w:t>
      </w:r>
      <w:r>
        <w:rPr>
          <w:rFonts w:hint="eastAsia" w:ascii="宋体" w:hAnsi="宋体"/>
          <w:bCs/>
          <w:color w:val="000000"/>
          <w:sz w:val="24"/>
        </w:rPr>
        <w:t>甲方工作人员及其配偶、子女、其他特定关系人</w:t>
      </w:r>
      <w:r>
        <w:rPr>
          <w:rFonts w:hint="eastAsia" w:ascii="宋体" w:hAnsi="宋体"/>
          <w:color w:val="000000"/>
          <w:sz w:val="24"/>
        </w:rPr>
        <w:t xml:space="preserve">不得接受乙方提供的可能影响公正执行公务的礼品、宴请以及旅游、健身、娱乐等活动安排； </w:t>
      </w:r>
    </w:p>
    <w:p w14:paraId="3BA8BA0C">
      <w:pPr>
        <w:ind w:firstLine="480" w:firstLineChars="200"/>
        <w:rPr>
          <w:rFonts w:ascii="宋体" w:hAnsi="宋体"/>
          <w:color w:val="000000"/>
          <w:sz w:val="24"/>
        </w:rPr>
      </w:pPr>
      <w:r>
        <w:rPr>
          <w:rFonts w:hint="eastAsia" w:ascii="宋体" w:hAnsi="宋体"/>
          <w:color w:val="000000"/>
          <w:sz w:val="24"/>
        </w:rPr>
        <w:t>（三）</w:t>
      </w:r>
      <w:r>
        <w:rPr>
          <w:rFonts w:hint="eastAsia" w:ascii="宋体" w:hAnsi="宋体"/>
          <w:bCs/>
          <w:color w:val="000000"/>
          <w:sz w:val="24"/>
        </w:rPr>
        <w:t>甲方工作人员及其配偶、子女、其他特定关系人</w:t>
      </w:r>
      <w:r>
        <w:rPr>
          <w:rFonts w:hint="eastAsia" w:ascii="宋体" w:hAnsi="宋体"/>
          <w:color w:val="000000"/>
          <w:sz w:val="24"/>
        </w:rPr>
        <w:t>不得接受乙方提供的礼金和各种有价证券、支付凭证；</w:t>
      </w:r>
    </w:p>
    <w:p w14:paraId="60F99023">
      <w:pPr>
        <w:ind w:left="-2" w:leftChars="-1" w:firstLine="480" w:firstLineChars="200"/>
        <w:rPr>
          <w:rFonts w:ascii="宋体" w:hAnsi="宋体"/>
          <w:color w:val="000000"/>
          <w:sz w:val="24"/>
        </w:rPr>
      </w:pPr>
      <w:r>
        <w:rPr>
          <w:rFonts w:hint="eastAsia" w:ascii="宋体" w:hAnsi="宋体"/>
          <w:color w:val="000000"/>
          <w:sz w:val="24"/>
        </w:rPr>
        <w:t>（四）</w:t>
      </w:r>
      <w:r>
        <w:rPr>
          <w:rFonts w:hint="eastAsia" w:ascii="宋体" w:hAnsi="宋体"/>
          <w:bCs/>
          <w:color w:val="000000"/>
          <w:sz w:val="24"/>
        </w:rPr>
        <w:t>甲方工作人员及其配偶、子女、其他特定关系人</w:t>
      </w:r>
      <w:r>
        <w:rPr>
          <w:rFonts w:hint="eastAsia" w:ascii="宋体" w:hAnsi="宋体"/>
          <w:color w:val="000000"/>
          <w:sz w:val="24"/>
        </w:rPr>
        <w:t>不得要求乙方支付应由上述人员负担的费用，报销票据；</w:t>
      </w:r>
    </w:p>
    <w:p w14:paraId="32E6AF20">
      <w:pPr>
        <w:ind w:left="-2" w:leftChars="-1" w:firstLine="480" w:firstLineChars="200"/>
        <w:rPr>
          <w:rFonts w:ascii="宋体" w:hAnsi="宋体"/>
          <w:color w:val="000000"/>
          <w:sz w:val="24"/>
        </w:rPr>
      </w:pPr>
      <w:r>
        <w:rPr>
          <w:rFonts w:hint="eastAsia" w:ascii="宋体" w:hAnsi="宋体"/>
          <w:color w:val="000000"/>
          <w:sz w:val="24"/>
        </w:rPr>
        <w:t>（五）</w:t>
      </w:r>
      <w:r>
        <w:rPr>
          <w:rFonts w:hint="eastAsia" w:ascii="宋体" w:hAnsi="宋体"/>
          <w:bCs/>
          <w:color w:val="000000"/>
          <w:sz w:val="24"/>
        </w:rPr>
        <w:t>甲方工作人员及其配偶、子女、其他特定关系人</w:t>
      </w:r>
      <w:r>
        <w:rPr>
          <w:rFonts w:hint="eastAsia" w:ascii="宋体" w:hAnsi="宋体"/>
          <w:color w:val="000000"/>
          <w:sz w:val="24"/>
        </w:rPr>
        <w:t>不得接受由乙方提供的其他任何可能影响本人公正执行公务的财物或服务；</w:t>
      </w:r>
    </w:p>
    <w:p w14:paraId="03B125DE">
      <w:pPr>
        <w:ind w:firstLine="480" w:firstLineChars="200"/>
        <w:rPr>
          <w:rFonts w:ascii="宋体" w:hAnsi="宋体"/>
          <w:color w:val="000000"/>
          <w:sz w:val="24"/>
        </w:rPr>
      </w:pPr>
      <w:r>
        <w:rPr>
          <w:rFonts w:hint="eastAsia" w:ascii="宋体" w:hAnsi="宋体"/>
          <w:color w:val="000000"/>
          <w:sz w:val="24"/>
        </w:rPr>
        <w:t>（六）当乙方提供第三条第（一）至（五）款所指的内容，或实施其他不廉洁、不诚信行为时，</w:t>
      </w:r>
      <w:r>
        <w:rPr>
          <w:rFonts w:hint="eastAsia" w:ascii="宋体" w:hAnsi="宋体"/>
          <w:bCs/>
          <w:color w:val="000000"/>
          <w:sz w:val="24"/>
        </w:rPr>
        <w:t>甲方工作人员及其配偶、子女及其他特定关系人</w:t>
      </w:r>
      <w:r>
        <w:rPr>
          <w:rFonts w:hint="eastAsia" w:ascii="宋体" w:hAnsi="宋体"/>
          <w:color w:val="000000"/>
          <w:sz w:val="24"/>
        </w:rPr>
        <w:t>应予以拒绝；对于无法拒绝的，应及时向甲方监督检查部门举报并上缴相关财物。</w:t>
      </w:r>
    </w:p>
    <w:p w14:paraId="639C927D">
      <w:pPr>
        <w:ind w:left="-2" w:leftChars="-1" w:firstLine="477" w:firstLineChars="199"/>
        <w:rPr>
          <w:rFonts w:ascii="宋体" w:hAnsi="宋体"/>
          <w:bCs/>
          <w:color w:val="000000"/>
          <w:sz w:val="24"/>
        </w:rPr>
      </w:pPr>
      <w:r>
        <w:rPr>
          <w:rFonts w:hint="eastAsia" w:ascii="宋体" w:hAnsi="宋体"/>
          <w:bCs/>
          <w:color w:val="000000"/>
          <w:sz w:val="24"/>
        </w:rPr>
        <w:t>第四条  乙方应遵守下列条款：</w:t>
      </w:r>
    </w:p>
    <w:p w14:paraId="686FAACC">
      <w:pPr>
        <w:ind w:firstLine="480" w:firstLineChars="200"/>
        <w:rPr>
          <w:rFonts w:ascii="宋体" w:hAnsi="宋体"/>
          <w:color w:val="000000"/>
          <w:sz w:val="24"/>
        </w:rPr>
      </w:pPr>
      <w:r>
        <w:rPr>
          <w:rFonts w:hint="eastAsia" w:ascii="宋体" w:hAnsi="宋体"/>
          <w:color w:val="000000"/>
          <w:sz w:val="24"/>
        </w:rPr>
        <w:t>（一）不得给予或以借用等名义向</w:t>
      </w:r>
      <w:r>
        <w:rPr>
          <w:rFonts w:hint="eastAsia" w:ascii="宋体" w:hAnsi="宋体"/>
          <w:bCs/>
          <w:color w:val="000000"/>
          <w:sz w:val="24"/>
        </w:rPr>
        <w:t>甲方工作人员及其配偶、子女、其他特定关系人</w:t>
      </w:r>
      <w:r>
        <w:rPr>
          <w:rFonts w:hint="eastAsia" w:ascii="宋体" w:hAnsi="宋体"/>
          <w:color w:val="000000"/>
          <w:sz w:val="24"/>
        </w:rPr>
        <w:t>提供财物；</w:t>
      </w:r>
    </w:p>
    <w:p w14:paraId="64FFFFBB">
      <w:pPr>
        <w:ind w:firstLine="480" w:firstLineChars="200"/>
        <w:rPr>
          <w:rFonts w:ascii="宋体" w:hAnsi="宋体"/>
          <w:color w:val="000000"/>
          <w:sz w:val="24"/>
        </w:rPr>
      </w:pPr>
      <w:r>
        <w:rPr>
          <w:rFonts w:hint="eastAsia" w:ascii="宋体" w:hAnsi="宋体"/>
          <w:color w:val="000000"/>
          <w:sz w:val="24"/>
        </w:rPr>
        <w:t>（二）不得向甲方工作人员及其配偶、子女、其他特定关系人提供可能影响其公正执行公务的礼品、宴请以及旅游、健身、娱乐等活动安排；</w:t>
      </w:r>
    </w:p>
    <w:p w14:paraId="4AADAF58">
      <w:pPr>
        <w:ind w:left="-2" w:leftChars="-1" w:firstLine="480" w:firstLineChars="200"/>
        <w:rPr>
          <w:rFonts w:ascii="宋体" w:hAnsi="宋体"/>
          <w:color w:val="000000"/>
          <w:sz w:val="24"/>
        </w:rPr>
      </w:pPr>
      <w:r>
        <w:rPr>
          <w:rFonts w:hint="eastAsia" w:ascii="宋体" w:hAnsi="宋体"/>
          <w:color w:val="000000"/>
          <w:sz w:val="24"/>
        </w:rPr>
        <w:t>（三）不得向</w:t>
      </w:r>
      <w:r>
        <w:rPr>
          <w:rFonts w:hint="eastAsia" w:ascii="宋体" w:hAnsi="宋体"/>
          <w:bCs/>
          <w:color w:val="000000"/>
          <w:sz w:val="24"/>
        </w:rPr>
        <w:t>甲方工作人员及其配偶、子女、其他特定关系人</w:t>
      </w:r>
      <w:r>
        <w:rPr>
          <w:rFonts w:hint="eastAsia" w:ascii="宋体" w:hAnsi="宋体"/>
          <w:color w:val="000000"/>
          <w:sz w:val="24"/>
        </w:rPr>
        <w:t>提供礼金和各种有价证券、支付凭证；</w:t>
      </w:r>
    </w:p>
    <w:p w14:paraId="364A32F3">
      <w:pPr>
        <w:ind w:left="-2" w:leftChars="-1" w:firstLine="480" w:firstLineChars="200"/>
        <w:rPr>
          <w:rFonts w:ascii="宋体" w:hAnsi="宋体"/>
          <w:color w:val="000000"/>
          <w:sz w:val="24"/>
        </w:rPr>
      </w:pPr>
      <w:r>
        <w:rPr>
          <w:rFonts w:hint="eastAsia" w:ascii="宋体" w:hAnsi="宋体"/>
          <w:color w:val="000000"/>
          <w:sz w:val="24"/>
        </w:rPr>
        <w:t>（四）不得为甲方工作人员及其配偶、子女、其他特定关系人支付应由其本人承担的费用或报销票据；</w:t>
      </w:r>
    </w:p>
    <w:p w14:paraId="75A72F1C">
      <w:pPr>
        <w:ind w:left="-2" w:leftChars="-1" w:firstLine="480" w:firstLineChars="200"/>
        <w:rPr>
          <w:rFonts w:ascii="宋体" w:hAnsi="宋体"/>
          <w:color w:val="000000"/>
          <w:sz w:val="24"/>
        </w:rPr>
      </w:pPr>
      <w:r>
        <w:rPr>
          <w:rFonts w:hint="eastAsia" w:ascii="宋体" w:hAnsi="宋体"/>
          <w:color w:val="000000"/>
          <w:sz w:val="24"/>
        </w:rPr>
        <w:t>（五）不得向甲方工作人员及其配偶、子女、其他特定关系人提供其他任何可能影响其公正执行公务的财物或服务；</w:t>
      </w:r>
    </w:p>
    <w:p w14:paraId="1B50F95A">
      <w:pPr>
        <w:ind w:firstLine="480" w:firstLineChars="200"/>
        <w:rPr>
          <w:rFonts w:ascii="宋体" w:hAnsi="宋体"/>
          <w:color w:val="000000"/>
          <w:sz w:val="24"/>
        </w:rPr>
      </w:pPr>
      <w:r>
        <w:rPr>
          <w:rFonts w:hint="eastAsia" w:ascii="宋体" w:hAnsi="宋体"/>
          <w:color w:val="000000"/>
          <w:sz w:val="24"/>
        </w:rPr>
        <w:t>（六）</w:t>
      </w:r>
      <w:r>
        <w:rPr>
          <w:rFonts w:hint="eastAsia" w:ascii="宋体" w:hAnsi="宋体"/>
          <w:bCs/>
          <w:color w:val="000000"/>
          <w:sz w:val="24"/>
        </w:rPr>
        <w:t>甲方工作人员及其配偶、子女、其他特定关系人</w:t>
      </w:r>
      <w:r>
        <w:rPr>
          <w:rFonts w:hint="eastAsia" w:ascii="宋体" w:hAnsi="宋体"/>
          <w:color w:val="000000"/>
          <w:sz w:val="24"/>
        </w:rPr>
        <w:t>主动索取和要求本条（一）至（五）款所指的内容，或实施其他不廉洁、不诚信行为时，乙方应拒绝，并有义务向甲方监督检查部门及时举报。甲方监督检查部门应保护乙方当事人的合法权益。</w:t>
      </w:r>
    </w:p>
    <w:p w14:paraId="0231FE87">
      <w:pPr>
        <w:ind w:left="-2" w:leftChars="-1" w:firstLine="475" w:firstLineChars="198"/>
        <w:rPr>
          <w:rFonts w:ascii="宋体" w:hAnsi="宋体"/>
          <w:bCs/>
          <w:color w:val="000000"/>
          <w:sz w:val="24"/>
        </w:rPr>
      </w:pPr>
      <w:r>
        <w:rPr>
          <w:rFonts w:hint="eastAsia" w:ascii="宋体" w:hAnsi="宋体"/>
          <w:bCs/>
          <w:color w:val="000000"/>
          <w:sz w:val="24"/>
        </w:rPr>
        <w:t>第五条 违约责任</w:t>
      </w:r>
    </w:p>
    <w:p w14:paraId="65800481">
      <w:pPr>
        <w:pStyle w:val="2"/>
        <w:spacing w:line="240" w:lineRule="auto"/>
        <w:ind w:left="0" w:firstLineChars="200"/>
        <w:rPr>
          <w:rFonts w:ascii="宋体" w:hAnsi="宋体" w:eastAsia="宋体"/>
          <w:color w:val="000000"/>
          <w:szCs w:val="24"/>
        </w:rPr>
      </w:pPr>
      <w:r>
        <w:rPr>
          <w:rFonts w:hint="eastAsia" w:ascii="宋体" w:hAnsi="宋体" w:eastAsia="宋体"/>
          <w:color w:val="000000"/>
          <w:szCs w:val="24"/>
        </w:rPr>
        <w:t>（一）甲、乙双方工作人员如违反本协议规定，由甲、乙双方依据有关规定严肃处理。如乙方违反本协议规定，甲方可按乙方不廉洁、不诚信行为的严重程度，对乙方实行1至3年或永久期限的市场禁入。</w:t>
      </w:r>
    </w:p>
    <w:p w14:paraId="11163368">
      <w:pPr>
        <w:pStyle w:val="2"/>
        <w:spacing w:line="240" w:lineRule="auto"/>
        <w:ind w:left="0" w:firstLineChars="200"/>
        <w:rPr>
          <w:rFonts w:ascii="宋体" w:hAnsi="宋体" w:eastAsia="宋体"/>
          <w:color w:val="000000"/>
          <w:szCs w:val="24"/>
        </w:rPr>
      </w:pPr>
      <w:r>
        <w:rPr>
          <w:rFonts w:hint="eastAsia" w:ascii="宋体" w:hAnsi="宋体" w:eastAsia="宋体"/>
          <w:color w:val="000000"/>
          <w:szCs w:val="24"/>
        </w:rPr>
        <w:t>乙方不廉洁、不诚信行为造成甲方经济损失的，由乙方予以赔偿。</w:t>
      </w:r>
    </w:p>
    <w:p w14:paraId="3551B527">
      <w:pPr>
        <w:ind w:firstLine="480" w:firstLineChars="200"/>
        <w:rPr>
          <w:rFonts w:ascii="宋体" w:hAnsi="宋体"/>
          <w:color w:val="000000"/>
          <w:sz w:val="24"/>
        </w:rPr>
      </w:pPr>
      <w:r>
        <w:rPr>
          <w:rFonts w:hint="eastAsia" w:ascii="宋体" w:hAnsi="宋体"/>
          <w:bCs/>
          <w:color w:val="000000"/>
          <w:sz w:val="24"/>
        </w:rPr>
        <w:t>第六条　</w:t>
      </w:r>
      <w:r>
        <w:rPr>
          <w:rFonts w:hint="eastAsia" w:ascii="宋体" w:hAnsi="宋体"/>
          <w:color w:val="000000"/>
          <w:sz w:val="24"/>
        </w:rPr>
        <w:t>甲、乙双方的监督检查部门对本廉洁诚信协议的执行情况进行监督检查，接受有关投诉和举报。监督方电话：</w:t>
      </w:r>
      <w:r>
        <w:rPr>
          <w:rFonts w:hint="default" w:ascii="宋体" w:hAnsi="宋体"/>
          <w:color w:val="000000"/>
          <w:sz w:val="24"/>
          <w:u w:val="single"/>
        </w:rPr>
        <w:t xml:space="preserve">         </w:t>
      </w:r>
      <w:r>
        <w:rPr>
          <w:rFonts w:hint="eastAsia" w:ascii="宋体" w:hAnsi="宋体"/>
          <w:color w:val="000000"/>
          <w:sz w:val="24"/>
        </w:rPr>
        <w:t>。</w:t>
      </w:r>
    </w:p>
    <w:p w14:paraId="12A93200">
      <w:pPr>
        <w:ind w:firstLine="480" w:firstLineChars="200"/>
        <w:rPr>
          <w:rFonts w:ascii="宋体" w:hAnsi="宋体"/>
          <w:color w:val="000000"/>
          <w:sz w:val="24"/>
        </w:rPr>
      </w:pPr>
      <w:r>
        <w:rPr>
          <w:rFonts w:hint="eastAsia" w:ascii="宋体" w:hAnsi="宋体"/>
          <w:color w:val="000000"/>
          <w:sz w:val="24"/>
        </w:rPr>
        <w:t xml:space="preserve">甲、乙双方监督检查部门应当认真履行职责，在监督检查、处理投诉和举报过程中发现存在本协议所禁止的行为时，可以向对方单位相关人员询问情况，必要时可以请求对方监督检查部门予以协助。 </w:t>
      </w:r>
    </w:p>
    <w:p w14:paraId="422DCECA">
      <w:pPr>
        <w:ind w:left="-2" w:leftChars="-1" w:firstLine="477" w:firstLineChars="199"/>
        <w:rPr>
          <w:rFonts w:ascii="宋体" w:hAnsi="宋体"/>
          <w:color w:val="000000"/>
          <w:sz w:val="24"/>
        </w:rPr>
      </w:pPr>
      <w:r>
        <w:rPr>
          <w:rFonts w:hint="eastAsia" w:ascii="宋体" w:hAnsi="宋体"/>
          <w:color w:val="000000"/>
          <w:sz w:val="24"/>
        </w:rPr>
        <w:t>第七条  本协议作为合同附件，生效起止时间同合同。本协议需经双方法人代表（或法人代表委托人）签名并盖公章，与所签合同具有同等法律效力。合同正本一式</w:t>
      </w:r>
      <w:r>
        <w:rPr>
          <w:rFonts w:hint="eastAsia" w:ascii="宋体" w:hAnsi="宋体"/>
          <w:color w:val="000000"/>
          <w:sz w:val="24"/>
          <w:lang w:val="en-US" w:eastAsia="zh-Hans"/>
        </w:rPr>
        <w:t>贰</w:t>
      </w:r>
      <w:r>
        <w:rPr>
          <w:rFonts w:hint="eastAsia" w:ascii="宋体" w:hAnsi="宋体"/>
          <w:color w:val="000000"/>
          <w:sz w:val="24"/>
        </w:rPr>
        <w:t>份，甲方</w:t>
      </w:r>
      <w:r>
        <w:rPr>
          <w:rFonts w:hint="eastAsia" w:ascii="宋体" w:hAnsi="宋体"/>
          <w:color w:val="000000"/>
          <w:sz w:val="24"/>
          <w:lang w:val="en-US" w:eastAsia="zh-Hans"/>
        </w:rPr>
        <w:t>壹</w:t>
      </w:r>
      <w:r>
        <w:rPr>
          <w:rFonts w:hint="eastAsia" w:ascii="宋体" w:hAnsi="宋体"/>
          <w:color w:val="000000"/>
          <w:sz w:val="24"/>
        </w:rPr>
        <w:t>份，乙方</w:t>
      </w:r>
      <w:r>
        <w:rPr>
          <w:rFonts w:hint="eastAsia" w:ascii="宋体" w:hAnsi="宋体"/>
          <w:color w:val="000000"/>
          <w:sz w:val="24"/>
          <w:lang w:val="en-US" w:eastAsia="zh-Hans"/>
        </w:rPr>
        <w:t>壹</w:t>
      </w:r>
      <w:r>
        <w:rPr>
          <w:rFonts w:hint="eastAsia" w:ascii="宋体" w:hAnsi="宋体"/>
          <w:color w:val="000000"/>
          <w:sz w:val="24"/>
        </w:rPr>
        <w:t>份，均具有同等法律效果。</w:t>
      </w:r>
    </w:p>
    <w:p w14:paraId="6C3351C9">
      <w:pPr>
        <w:rPr>
          <w:rFonts w:ascii="宋体" w:hAnsi="宋体"/>
          <w:color w:val="000000"/>
          <w:sz w:val="24"/>
        </w:rPr>
      </w:pPr>
    </w:p>
    <w:p w14:paraId="7A207098">
      <w:pPr>
        <w:ind w:firstLine="538"/>
        <w:rPr>
          <w:rFonts w:ascii="宋体" w:hAnsi="宋体"/>
          <w:color w:val="000000"/>
          <w:sz w:val="24"/>
        </w:rPr>
      </w:pPr>
      <w:r>
        <w:rPr>
          <w:rFonts w:hint="eastAsia" w:ascii="宋体" w:hAnsi="宋体"/>
          <w:color w:val="000000"/>
          <w:sz w:val="24"/>
        </w:rPr>
        <w:t xml:space="preserve">  </w:t>
      </w:r>
    </w:p>
    <w:p w14:paraId="721E3EB3">
      <w:pPr>
        <w:ind w:firstLine="538"/>
        <w:rPr>
          <w:rFonts w:ascii="宋体" w:hAnsi="宋体"/>
          <w:color w:val="000000"/>
          <w:sz w:val="24"/>
        </w:rPr>
      </w:pPr>
    </w:p>
    <w:p w14:paraId="4EFD54F3">
      <w:pPr>
        <w:ind w:left="840" w:hanging="840"/>
        <w:rPr>
          <w:rFonts w:hint="eastAsia"/>
          <w:color w:val="000000"/>
          <w:sz w:val="24"/>
        </w:rPr>
      </w:pPr>
    </w:p>
    <w:p w14:paraId="00DB1C53">
      <w:pPr>
        <w:ind w:left="840" w:hanging="840"/>
        <w:rPr>
          <w:rFonts w:hint="eastAsia"/>
          <w:color w:val="000000"/>
          <w:sz w:val="24"/>
        </w:rPr>
      </w:pPr>
      <w:r>
        <w:rPr>
          <w:rFonts w:hint="eastAsia"/>
          <w:color w:val="000000"/>
          <w:sz w:val="24"/>
        </w:rPr>
        <w:t>甲方：</w:t>
      </w:r>
      <w:r>
        <w:rPr>
          <w:rFonts w:hint="default"/>
          <w:color w:val="000000"/>
          <w:sz w:val="24"/>
        </w:rPr>
        <w:t>中国移动通信集团江苏有限公司徐州分公司</w:t>
      </w:r>
      <w:r>
        <w:rPr>
          <w:rFonts w:hint="eastAsia"/>
          <w:color w:val="000000"/>
          <w:sz w:val="24"/>
        </w:rPr>
        <w:t>（盖章）</w:t>
      </w:r>
    </w:p>
    <w:p w14:paraId="59592827">
      <w:pPr>
        <w:pStyle w:val="8"/>
        <w:rPr>
          <w:rFonts w:hint="eastAsia"/>
          <w:color w:val="000000"/>
          <w:sz w:val="24"/>
        </w:rPr>
      </w:pPr>
    </w:p>
    <w:p w14:paraId="3240F7C8">
      <w:pPr>
        <w:pStyle w:val="8"/>
        <w:rPr>
          <w:rFonts w:hint="eastAsia"/>
          <w:color w:val="000000"/>
          <w:sz w:val="24"/>
        </w:rPr>
      </w:pPr>
    </w:p>
    <w:p w14:paraId="47495C1B">
      <w:pPr>
        <w:ind w:left="840" w:hanging="840"/>
        <w:rPr>
          <w:rFonts w:hint="eastAsia"/>
          <w:color w:val="000000"/>
          <w:sz w:val="24"/>
        </w:rPr>
      </w:pPr>
    </w:p>
    <w:p w14:paraId="5D1F21F0">
      <w:pPr>
        <w:ind w:left="840" w:hanging="840"/>
        <w:rPr>
          <w:rFonts w:hint="eastAsia"/>
          <w:color w:val="000000"/>
          <w:sz w:val="24"/>
        </w:rPr>
      </w:pPr>
      <w:r>
        <w:rPr>
          <w:rFonts w:hint="eastAsia"/>
          <w:color w:val="000000"/>
          <w:sz w:val="24"/>
        </w:rPr>
        <w:t xml:space="preserve">授权代表： </w:t>
      </w:r>
    </w:p>
    <w:p w14:paraId="6E2B00FF">
      <w:pPr>
        <w:ind w:left="840" w:hanging="840"/>
        <w:rPr>
          <w:rFonts w:hint="eastAsia"/>
          <w:color w:val="000000"/>
          <w:sz w:val="24"/>
        </w:rPr>
      </w:pPr>
      <w:r>
        <w:rPr>
          <w:rFonts w:hint="eastAsia"/>
          <w:color w:val="000000"/>
          <w:sz w:val="24"/>
        </w:rPr>
        <w:t xml:space="preserve"> </w:t>
      </w:r>
    </w:p>
    <w:p w14:paraId="527F3B76">
      <w:pPr>
        <w:pStyle w:val="8"/>
        <w:rPr>
          <w:rFonts w:hint="eastAsia"/>
        </w:rPr>
      </w:pPr>
    </w:p>
    <w:p w14:paraId="107B0530">
      <w:pPr>
        <w:spacing w:before="120" w:after="120" w:line="360" w:lineRule="auto"/>
        <w:rPr>
          <w:rFonts w:hint="eastAsia" w:ascii="宋体" w:hAnsi="宋体"/>
          <w:color w:val="000000"/>
          <w:sz w:val="24"/>
        </w:rPr>
      </w:pPr>
      <w:r>
        <w:rPr>
          <w:rFonts w:hint="eastAsia" w:ascii="宋体" w:hAnsi="宋体"/>
          <w:color w:val="000000"/>
          <w:sz w:val="24"/>
        </w:rPr>
        <w:t>签约日期：</w:t>
      </w:r>
    </w:p>
    <w:p w14:paraId="4F0E35B5">
      <w:pPr>
        <w:pStyle w:val="8"/>
        <w:rPr>
          <w:rFonts w:hint="eastAsia"/>
        </w:rPr>
      </w:pPr>
    </w:p>
    <w:p w14:paraId="257CE76A">
      <w:pPr>
        <w:ind w:left="840" w:hanging="840"/>
        <w:rPr>
          <w:rFonts w:hint="eastAsia"/>
          <w:color w:val="000000"/>
          <w:sz w:val="24"/>
        </w:rPr>
      </w:pPr>
      <w:r>
        <w:rPr>
          <w:rFonts w:hint="eastAsia"/>
          <w:color w:val="000000"/>
          <w:sz w:val="24"/>
        </w:rPr>
        <w:t xml:space="preserve">                           </w:t>
      </w:r>
    </w:p>
    <w:p w14:paraId="60DA68F7">
      <w:pPr>
        <w:ind w:left="840" w:hanging="840"/>
        <w:rPr>
          <w:rFonts w:hint="eastAsia"/>
          <w:color w:val="000000"/>
          <w:sz w:val="24"/>
        </w:rPr>
      </w:pPr>
    </w:p>
    <w:p w14:paraId="39260717">
      <w:pPr>
        <w:ind w:left="840" w:hanging="840"/>
        <w:rPr>
          <w:rFonts w:hint="eastAsia"/>
        </w:rPr>
      </w:pPr>
      <w:r>
        <w:rPr>
          <w:rFonts w:hint="eastAsia"/>
          <w:color w:val="000000"/>
          <w:sz w:val="24"/>
        </w:rPr>
        <w:t xml:space="preserve">                            </w:t>
      </w:r>
    </w:p>
    <w:p w14:paraId="25C379CC">
      <w:pPr>
        <w:ind w:left="840" w:hanging="840"/>
        <w:rPr>
          <w:rFonts w:hint="eastAsia"/>
          <w:color w:val="000000"/>
          <w:sz w:val="24"/>
        </w:rPr>
      </w:pPr>
    </w:p>
    <w:p w14:paraId="6D4245B9">
      <w:pPr>
        <w:ind w:left="840" w:hanging="840"/>
        <w:rPr>
          <w:rFonts w:hint="eastAsia"/>
          <w:color w:val="000000"/>
          <w:sz w:val="24"/>
        </w:rPr>
      </w:pPr>
      <w:r>
        <w:rPr>
          <w:rFonts w:hint="eastAsia"/>
          <w:color w:val="000000"/>
          <w:sz w:val="24"/>
        </w:rPr>
        <w:t>乙方：   （盖章）</w:t>
      </w:r>
    </w:p>
    <w:p w14:paraId="01DFF562">
      <w:pPr>
        <w:ind w:left="840" w:hanging="840"/>
        <w:rPr>
          <w:rFonts w:hint="eastAsia"/>
          <w:color w:val="000000"/>
          <w:sz w:val="24"/>
        </w:rPr>
      </w:pPr>
    </w:p>
    <w:p w14:paraId="66CA7117">
      <w:pPr>
        <w:pStyle w:val="8"/>
        <w:rPr>
          <w:rFonts w:hint="eastAsia"/>
        </w:rPr>
      </w:pPr>
    </w:p>
    <w:p w14:paraId="425C0002">
      <w:pPr>
        <w:ind w:left="840" w:hanging="840"/>
        <w:rPr>
          <w:rFonts w:hint="eastAsia"/>
          <w:color w:val="000000"/>
          <w:sz w:val="24"/>
        </w:rPr>
      </w:pPr>
      <w:r>
        <w:rPr>
          <w:rFonts w:hint="eastAsia"/>
          <w:color w:val="000000"/>
          <w:sz w:val="24"/>
        </w:rPr>
        <w:t>授权代表：</w:t>
      </w:r>
    </w:p>
    <w:p w14:paraId="4A40635F">
      <w:pPr>
        <w:pStyle w:val="8"/>
        <w:rPr>
          <w:rFonts w:hint="eastAsia"/>
        </w:rPr>
      </w:pPr>
    </w:p>
    <w:p w14:paraId="4C0F2353">
      <w:pPr>
        <w:ind w:left="840" w:hanging="840"/>
        <w:rPr>
          <w:rFonts w:hint="eastAsia"/>
          <w:color w:val="000000"/>
          <w:sz w:val="24"/>
        </w:rPr>
      </w:pPr>
    </w:p>
    <w:p w14:paraId="0A63DF9F">
      <w:pPr>
        <w:ind w:left="840" w:hanging="840"/>
        <w:rPr>
          <w:rFonts w:hint="eastAsia"/>
          <w:color w:val="000000"/>
          <w:sz w:val="24"/>
        </w:rPr>
      </w:pPr>
      <w:r>
        <w:rPr>
          <w:rFonts w:hint="eastAsia"/>
          <w:color w:val="000000"/>
          <w:sz w:val="24"/>
        </w:rPr>
        <w:t>签署日期：</w:t>
      </w:r>
    </w:p>
    <w:p w14:paraId="1CA859AF">
      <w:pPr>
        <w:spacing w:before="240" w:after="240" w:line="360" w:lineRule="auto"/>
        <w:rPr>
          <w:rFonts w:hint="eastAsia"/>
          <w:b/>
          <w:color w:val="000000"/>
          <w:sz w:val="36"/>
          <w:szCs w:val="36"/>
        </w:rPr>
        <w:sectPr>
          <w:pgSz w:w="11906" w:h="16838"/>
          <w:pgMar w:top="1440" w:right="1797" w:bottom="1440" w:left="1797" w:header="851" w:footer="992" w:gutter="0"/>
          <w:cols w:space="720" w:num="1"/>
          <w:docGrid w:linePitch="312" w:charSpace="0"/>
        </w:sectPr>
      </w:pPr>
    </w:p>
    <w:p w14:paraId="1F4606D2">
      <w:pPr>
        <w:spacing w:before="240" w:after="240" w:line="360" w:lineRule="auto"/>
        <w:rPr>
          <w:rFonts w:hint="eastAsia"/>
          <w:b/>
          <w:color w:val="000000"/>
          <w:sz w:val="36"/>
          <w:szCs w:val="36"/>
        </w:rPr>
      </w:pPr>
      <w:r>
        <w:rPr>
          <w:rFonts w:hint="eastAsia"/>
          <w:b/>
          <w:color w:val="000000"/>
          <w:sz w:val="36"/>
          <w:szCs w:val="36"/>
        </w:rPr>
        <w:t>附件5</w:t>
      </w:r>
      <w:r>
        <w:rPr>
          <w:rFonts w:hint="default"/>
          <w:b/>
          <w:color w:val="000000"/>
          <w:sz w:val="36"/>
          <w:szCs w:val="36"/>
        </w:rPr>
        <w:t xml:space="preserve"> </w:t>
      </w:r>
      <w:r>
        <w:rPr>
          <w:rFonts w:hint="eastAsia"/>
          <w:b/>
          <w:color w:val="000000"/>
          <w:sz w:val="36"/>
          <w:szCs w:val="36"/>
        </w:rPr>
        <w:t xml:space="preserve">      通用网络与信息安全责任条款</w:t>
      </w:r>
    </w:p>
    <w:p w14:paraId="2D436EA4">
      <w:pPr>
        <w:spacing w:line="360" w:lineRule="auto"/>
        <w:jc w:val="left"/>
        <w:rPr>
          <w:rFonts w:hint="default" w:ascii="宋体" w:hAnsi="宋体"/>
          <w:b w:val="0"/>
          <w:color w:val="000000"/>
          <w:sz w:val="24"/>
          <w:szCs w:val="24"/>
        </w:rPr>
      </w:pPr>
      <w:r>
        <w:rPr>
          <w:rFonts w:hint="eastAsia"/>
          <w:color w:val="000000"/>
        </w:rPr>
        <w:t>甲方：</w:t>
      </w:r>
      <w:r>
        <w:rPr>
          <w:rFonts w:hint="default" w:ascii="宋体" w:hAnsi="宋体"/>
          <w:b w:val="0"/>
          <w:color w:val="000000"/>
          <w:sz w:val="24"/>
          <w:szCs w:val="24"/>
        </w:rPr>
        <w:t>中国移动通信集团江苏有限公司徐州分公司</w:t>
      </w:r>
    </w:p>
    <w:p w14:paraId="44E04F36">
      <w:pPr>
        <w:spacing w:line="360" w:lineRule="auto"/>
        <w:jc w:val="left"/>
        <w:rPr>
          <w:rFonts w:hint="eastAsia"/>
          <w:color w:val="000000"/>
        </w:rPr>
      </w:pPr>
      <w:r>
        <w:rPr>
          <w:rFonts w:hint="eastAsia"/>
          <w:color w:val="000000"/>
        </w:rPr>
        <w:t>乙方：</w:t>
      </w:r>
    </w:p>
    <w:p w14:paraId="714A8D90">
      <w:pPr>
        <w:spacing w:line="360" w:lineRule="auto"/>
        <w:ind w:firstLine="525" w:firstLineChars="250"/>
        <w:rPr>
          <w:rFonts w:hint="eastAsia"/>
          <w:color w:val="000000"/>
        </w:rPr>
      </w:pPr>
    </w:p>
    <w:p w14:paraId="5088F02C">
      <w:pPr>
        <w:spacing w:line="360" w:lineRule="auto"/>
        <w:ind w:firstLine="600" w:firstLineChars="250"/>
        <w:rPr>
          <w:rFonts w:hint="eastAsia"/>
          <w:color w:val="000000"/>
          <w:sz w:val="24"/>
          <w:szCs w:val="24"/>
        </w:rPr>
      </w:pPr>
      <w:r>
        <w:rPr>
          <w:rFonts w:hint="eastAsia"/>
          <w:color w:val="000000"/>
          <w:sz w:val="24"/>
          <w:szCs w:val="24"/>
        </w:rPr>
        <w:t>本条款所包含的安全责任如无特别说明，适用于设备到货、入场施工、项目验收以及系统运行维护整个过程的各个环节，甲、乙方需要严格执行。</w:t>
      </w:r>
    </w:p>
    <w:p w14:paraId="5F109BD8">
      <w:pPr>
        <w:spacing w:line="360" w:lineRule="auto"/>
        <w:rPr>
          <w:rFonts w:hint="eastAsia"/>
          <w:color w:val="000000"/>
          <w:sz w:val="24"/>
          <w:szCs w:val="24"/>
        </w:rPr>
      </w:pPr>
      <w:r>
        <w:rPr>
          <w:rFonts w:hint="eastAsia"/>
          <w:color w:val="000000"/>
          <w:sz w:val="24"/>
          <w:szCs w:val="24"/>
        </w:rPr>
        <w:t>1、乙方应保证本工程新增设备至少符合中国移动《中国移动设备通用安全功能和配置规范》规定的以下必选安全配置要求。</w:t>
      </w:r>
    </w:p>
    <w:tbl>
      <w:tblPr>
        <w:tblStyle w:val="15"/>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8"/>
        <w:gridCol w:w="6450"/>
      </w:tblGrid>
      <w:tr w14:paraId="33E61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shd w:val="clear" w:color="auto" w:fill="E0E0E0"/>
            <w:noWrap w:val="0"/>
            <w:vAlign w:val="top"/>
          </w:tcPr>
          <w:p w14:paraId="2B47ECB3">
            <w:pPr>
              <w:spacing w:line="360" w:lineRule="auto"/>
              <w:rPr>
                <w:rFonts w:hint="eastAsia"/>
                <w:color w:val="000000"/>
                <w:sz w:val="24"/>
                <w:szCs w:val="24"/>
              </w:rPr>
            </w:pPr>
            <w:r>
              <w:rPr>
                <w:rFonts w:hint="eastAsia"/>
                <w:color w:val="000000"/>
                <w:sz w:val="24"/>
                <w:szCs w:val="24"/>
              </w:rPr>
              <w:t>编号</w:t>
            </w:r>
          </w:p>
        </w:tc>
        <w:tc>
          <w:tcPr>
            <w:tcW w:w="6450" w:type="dxa"/>
            <w:shd w:val="clear" w:color="auto" w:fill="E0E0E0"/>
            <w:noWrap w:val="0"/>
            <w:vAlign w:val="top"/>
          </w:tcPr>
          <w:p w14:paraId="4FEF9AA6">
            <w:pPr>
              <w:spacing w:line="360" w:lineRule="auto"/>
              <w:rPr>
                <w:rFonts w:hint="eastAsia"/>
                <w:color w:val="000000"/>
                <w:sz w:val="24"/>
                <w:szCs w:val="24"/>
              </w:rPr>
            </w:pPr>
            <w:r>
              <w:rPr>
                <w:rFonts w:hint="eastAsia"/>
                <w:color w:val="000000"/>
                <w:sz w:val="24"/>
                <w:szCs w:val="24"/>
              </w:rPr>
              <w:t>内容</w:t>
            </w:r>
          </w:p>
        </w:tc>
      </w:tr>
      <w:tr w14:paraId="733C5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noWrap w:val="0"/>
            <w:vAlign w:val="top"/>
          </w:tcPr>
          <w:p w14:paraId="058CAD9C">
            <w:pPr>
              <w:spacing w:line="360" w:lineRule="auto"/>
              <w:rPr>
                <w:rFonts w:hint="eastAsia"/>
                <w:color w:val="000000"/>
                <w:sz w:val="24"/>
                <w:szCs w:val="24"/>
              </w:rPr>
            </w:pPr>
            <w:r>
              <w:rPr>
                <w:rFonts w:hint="eastAsia"/>
                <w:color w:val="000000"/>
                <w:sz w:val="24"/>
                <w:szCs w:val="24"/>
              </w:rPr>
              <w:t xml:space="preserve">安全要求-设备-通用-功能-1 </w:t>
            </w:r>
          </w:p>
        </w:tc>
        <w:tc>
          <w:tcPr>
            <w:tcW w:w="6450" w:type="dxa"/>
            <w:noWrap w:val="0"/>
            <w:vAlign w:val="top"/>
          </w:tcPr>
          <w:p w14:paraId="3ABC0C57">
            <w:pPr>
              <w:spacing w:line="360" w:lineRule="auto"/>
              <w:rPr>
                <w:rFonts w:hint="eastAsia"/>
                <w:color w:val="000000"/>
                <w:sz w:val="24"/>
                <w:szCs w:val="24"/>
              </w:rPr>
            </w:pPr>
            <w:r>
              <w:rPr>
                <w:rFonts w:hint="eastAsia"/>
                <w:color w:val="000000"/>
                <w:sz w:val="24"/>
                <w:szCs w:val="24"/>
              </w:rPr>
              <w:t>支持按用户分配账号。</w:t>
            </w:r>
          </w:p>
        </w:tc>
      </w:tr>
      <w:tr w14:paraId="5FA13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noWrap w:val="0"/>
            <w:vAlign w:val="top"/>
          </w:tcPr>
          <w:p w14:paraId="5844FBFF">
            <w:pPr>
              <w:spacing w:line="360" w:lineRule="auto"/>
              <w:rPr>
                <w:rFonts w:hint="eastAsia"/>
                <w:color w:val="000000"/>
                <w:sz w:val="24"/>
                <w:szCs w:val="24"/>
              </w:rPr>
            </w:pPr>
            <w:r>
              <w:rPr>
                <w:rFonts w:hint="eastAsia"/>
                <w:color w:val="000000"/>
                <w:sz w:val="24"/>
                <w:szCs w:val="24"/>
              </w:rPr>
              <w:t>安全要求-设备-通用-功能-2</w:t>
            </w:r>
          </w:p>
        </w:tc>
        <w:tc>
          <w:tcPr>
            <w:tcW w:w="6450" w:type="dxa"/>
            <w:noWrap w:val="0"/>
            <w:vAlign w:val="top"/>
          </w:tcPr>
          <w:p w14:paraId="4B757BDC">
            <w:pPr>
              <w:spacing w:line="360" w:lineRule="auto"/>
              <w:rPr>
                <w:rFonts w:hint="eastAsia"/>
                <w:color w:val="000000"/>
                <w:sz w:val="24"/>
                <w:szCs w:val="24"/>
              </w:rPr>
            </w:pPr>
            <w:r>
              <w:rPr>
                <w:rFonts w:hint="eastAsia"/>
                <w:color w:val="000000"/>
                <w:sz w:val="24"/>
                <w:szCs w:val="24"/>
              </w:rPr>
              <w:t>与设备运行、维护等工作无关的账号，应能够删除或锁定。</w:t>
            </w:r>
          </w:p>
        </w:tc>
      </w:tr>
      <w:tr w14:paraId="173DF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noWrap w:val="0"/>
            <w:vAlign w:val="top"/>
          </w:tcPr>
          <w:p w14:paraId="2F1D76F2">
            <w:pPr>
              <w:spacing w:line="360" w:lineRule="auto"/>
              <w:rPr>
                <w:rFonts w:hint="eastAsia"/>
                <w:color w:val="000000"/>
                <w:sz w:val="24"/>
                <w:szCs w:val="24"/>
              </w:rPr>
            </w:pPr>
            <w:r>
              <w:rPr>
                <w:rFonts w:hint="eastAsia"/>
                <w:color w:val="000000"/>
                <w:sz w:val="24"/>
                <w:szCs w:val="24"/>
              </w:rPr>
              <w:t>安全要求-设备-通用-功能-4</w:t>
            </w:r>
          </w:p>
        </w:tc>
        <w:tc>
          <w:tcPr>
            <w:tcW w:w="6450" w:type="dxa"/>
            <w:noWrap w:val="0"/>
            <w:vAlign w:val="top"/>
          </w:tcPr>
          <w:p w14:paraId="5435D36B">
            <w:pPr>
              <w:spacing w:line="360" w:lineRule="auto"/>
              <w:rPr>
                <w:rFonts w:hint="eastAsia"/>
                <w:color w:val="000000"/>
                <w:sz w:val="24"/>
                <w:szCs w:val="24"/>
              </w:rPr>
            </w:pPr>
            <w:r>
              <w:rPr>
                <w:rFonts w:hint="eastAsia"/>
                <w:color w:val="000000"/>
                <w:sz w:val="24"/>
                <w:szCs w:val="24"/>
              </w:rPr>
              <w:t>对于采用静态口令认证技术的设备，应支持数字、小写字母、大写字母和特殊符号4类字符构成的口令。应支持配置口令复杂度。在配置了复杂度后，设备自动拒绝用户设置不符合复杂度要求的口令。</w:t>
            </w:r>
          </w:p>
        </w:tc>
      </w:tr>
      <w:tr w14:paraId="36C1A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noWrap w:val="0"/>
            <w:vAlign w:val="top"/>
          </w:tcPr>
          <w:p w14:paraId="2EC437B9">
            <w:pPr>
              <w:spacing w:line="360" w:lineRule="auto"/>
              <w:rPr>
                <w:rFonts w:hint="eastAsia"/>
                <w:color w:val="000000"/>
                <w:sz w:val="24"/>
                <w:szCs w:val="24"/>
              </w:rPr>
            </w:pPr>
            <w:r>
              <w:rPr>
                <w:rFonts w:hint="eastAsia"/>
                <w:color w:val="000000"/>
                <w:sz w:val="24"/>
                <w:szCs w:val="24"/>
              </w:rPr>
              <w:t>安全要求-设备-通用-功能-5</w:t>
            </w:r>
          </w:p>
        </w:tc>
        <w:tc>
          <w:tcPr>
            <w:tcW w:w="6450" w:type="dxa"/>
            <w:noWrap w:val="0"/>
            <w:vAlign w:val="top"/>
          </w:tcPr>
          <w:p w14:paraId="1842BCF6">
            <w:pPr>
              <w:spacing w:line="360" w:lineRule="auto"/>
              <w:rPr>
                <w:rFonts w:hint="eastAsia"/>
                <w:color w:val="000000"/>
                <w:sz w:val="24"/>
                <w:szCs w:val="24"/>
              </w:rPr>
            </w:pPr>
            <w:r>
              <w:rPr>
                <w:rFonts w:hint="eastAsia"/>
                <w:color w:val="000000"/>
                <w:sz w:val="24"/>
                <w:szCs w:val="24"/>
              </w:rPr>
              <w:t>对于采用静态口令认证技术的设备，应支持按天配置口令生存期功能。在配置了口令生存期后，设备在口令超过生存期的用户登录时，应提示并强迫该用户设置新口令。</w:t>
            </w:r>
          </w:p>
        </w:tc>
      </w:tr>
      <w:tr w14:paraId="6EEAA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noWrap w:val="0"/>
            <w:vAlign w:val="top"/>
          </w:tcPr>
          <w:p w14:paraId="6EEAD00D">
            <w:pPr>
              <w:spacing w:line="360" w:lineRule="auto"/>
              <w:rPr>
                <w:rFonts w:hint="eastAsia"/>
                <w:color w:val="000000"/>
                <w:sz w:val="24"/>
                <w:szCs w:val="24"/>
              </w:rPr>
            </w:pPr>
            <w:r>
              <w:rPr>
                <w:rFonts w:hint="eastAsia"/>
                <w:color w:val="000000"/>
                <w:sz w:val="24"/>
                <w:szCs w:val="24"/>
              </w:rPr>
              <w:t>安全要求-设备-通用-功能-21</w:t>
            </w:r>
          </w:p>
        </w:tc>
        <w:tc>
          <w:tcPr>
            <w:tcW w:w="6450" w:type="dxa"/>
            <w:noWrap w:val="0"/>
            <w:vAlign w:val="top"/>
          </w:tcPr>
          <w:p w14:paraId="38A5FBA6">
            <w:pPr>
              <w:spacing w:line="360" w:lineRule="auto"/>
              <w:rPr>
                <w:rFonts w:hint="eastAsia"/>
                <w:color w:val="000000"/>
                <w:sz w:val="24"/>
                <w:szCs w:val="24"/>
              </w:rPr>
            </w:pPr>
            <w:r>
              <w:rPr>
                <w:rFonts w:hint="eastAsia"/>
                <w:color w:val="000000"/>
                <w:sz w:val="24"/>
                <w:szCs w:val="24"/>
              </w:rPr>
              <w:t>对于采用静态口令认证技术的设备，必须支持口令修改，口令修改后不影响设备中业务的正常使用。</w:t>
            </w:r>
          </w:p>
        </w:tc>
      </w:tr>
      <w:tr w14:paraId="33096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noWrap w:val="0"/>
            <w:vAlign w:val="top"/>
          </w:tcPr>
          <w:p w14:paraId="3C77D4F1">
            <w:pPr>
              <w:spacing w:line="360" w:lineRule="auto"/>
              <w:rPr>
                <w:rFonts w:hint="eastAsia"/>
                <w:color w:val="000000"/>
                <w:sz w:val="24"/>
                <w:szCs w:val="24"/>
              </w:rPr>
            </w:pPr>
            <w:r>
              <w:rPr>
                <w:rFonts w:hint="eastAsia"/>
                <w:color w:val="000000"/>
                <w:sz w:val="24"/>
                <w:szCs w:val="24"/>
              </w:rPr>
              <w:t>安全要求-设备-通用-功能-22</w:t>
            </w:r>
          </w:p>
        </w:tc>
        <w:tc>
          <w:tcPr>
            <w:tcW w:w="6450" w:type="dxa"/>
            <w:noWrap w:val="0"/>
            <w:vAlign w:val="top"/>
          </w:tcPr>
          <w:p w14:paraId="670F3779">
            <w:pPr>
              <w:spacing w:line="360" w:lineRule="auto"/>
              <w:rPr>
                <w:rFonts w:hint="eastAsia"/>
                <w:color w:val="000000"/>
                <w:sz w:val="24"/>
                <w:szCs w:val="24"/>
              </w:rPr>
            </w:pPr>
            <w:r>
              <w:rPr>
                <w:rFonts w:hint="eastAsia"/>
                <w:color w:val="000000"/>
                <w:sz w:val="24"/>
                <w:szCs w:val="24"/>
              </w:rPr>
              <w:t>对于采用静态口令认证技术的设备，支持静态口令加密存放。</w:t>
            </w:r>
          </w:p>
        </w:tc>
      </w:tr>
      <w:tr w14:paraId="6E7EA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noWrap w:val="0"/>
            <w:vAlign w:val="top"/>
          </w:tcPr>
          <w:p w14:paraId="44D7DE89">
            <w:pPr>
              <w:spacing w:line="360" w:lineRule="auto"/>
              <w:rPr>
                <w:rFonts w:hint="eastAsia"/>
                <w:color w:val="000000"/>
                <w:sz w:val="24"/>
                <w:szCs w:val="24"/>
              </w:rPr>
            </w:pPr>
            <w:r>
              <w:rPr>
                <w:rFonts w:hint="eastAsia"/>
                <w:color w:val="000000"/>
                <w:sz w:val="24"/>
                <w:szCs w:val="24"/>
              </w:rPr>
              <w:t>安全要求-设备-通用-配置-4</w:t>
            </w:r>
          </w:p>
        </w:tc>
        <w:tc>
          <w:tcPr>
            <w:tcW w:w="6450" w:type="dxa"/>
            <w:noWrap w:val="0"/>
            <w:vAlign w:val="top"/>
          </w:tcPr>
          <w:p w14:paraId="5FA157BE">
            <w:pPr>
              <w:spacing w:line="360" w:lineRule="auto"/>
              <w:rPr>
                <w:rFonts w:hint="eastAsia"/>
                <w:color w:val="000000"/>
                <w:sz w:val="24"/>
                <w:szCs w:val="24"/>
              </w:rPr>
            </w:pPr>
            <w:r>
              <w:rPr>
                <w:rFonts w:hint="eastAsia"/>
                <w:color w:val="000000"/>
                <w:sz w:val="24"/>
                <w:szCs w:val="24"/>
              </w:rPr>
              <w:t>对于采用静态口令认证技术的设备，口令长度至少6位，并包括数字、小写字母、大写字母和特殊符号4类中至少2类。</w:t>
            </w:r>
          </w:p>
        </w:tc>
      </w:tr>
      <w:tr w14:paraId="1B0DF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noWrap w:val="0"/>
            <w:vAlign w:val="top"/>
          </w:tcPr>
          <w:p w14:paraId="7AEEDD1C">
            <w:pPr>
              <w:spacing w:line="360" w:lineRule="auto"/>
              <w:rPr>
                <w:rFonts w:hint="eastAsia"/>
                <w:color w:val="000000"/>
                <w:sz w:val="24"/>
                <w:szCs w:val="24"/>
              </w:rPr>
            </w:pPr>
            <w:r>
              <w:rPr>
                <w:rFonts w:hint="eastAsia"/>
                <w:color w:val="000000"/>
                <w:sz w:val="24"/>
                <w:szCs w:val="24"/>
              </w:rPr>
              <w:t>安全要求-设备-通用-配置-5</w:t>
            </w:r>
          </w:p>
        </w:tc>
        <w:tc>
          <w:tcPr>
            <w:tcW w:w="6450" w:type="dxa"/>
            <w:noWrap w:val="0"/>
            <w:vAlign w:val="top"/>
          </w:tcPr>
          <w:p w14:paraId="0AA80E7E">
            <w:pPr>
              <w:spacing w:line="360" w:lineRule="auto"/>
              <w:rPr>
                <w:rFonts w:hint="eastAsia"/>
                <w:color w:val="000000"/>
                <w:sz w:val="24"/>
                <w:szCs w:val="24"/>
              </w:rPr>
            </w:pPr>
            <w:r>
              <w:rPr>
                <w:rFonts w:hint="eastAsia"/>
                <w:color w:val="000000"/>
                <w:sz w:val="24"/>
                <w:szCs w:val="24"/>
              </w:rPr>
              <w:t>对于采用静态口令认证技术的设备，账户口令的生存期不长于90天。</w:t>
            </w:r>
          </w:p>
        </w:tc>
      </w:tr>
      <w:tr w14:paraId="66F9E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noWrap w:val="0"/>
            <w:vAlign w:val="top"/>
          </w:tcPr>
          <w:p w14:paraId="2E89A2E3">
            <w:pPr>
              <w:spacing w:line="360" w:lineRule="auto"/>
              <w:rPr>
                <w:rFonts w:hint="eastAsia"/>
                <w:color w:val="000000"/>
                <w:sz w:val="24"/>
                <w:szCs w:val="24"/>
              </w:rPr>
            </w:pPr>
            <w:r>
              <w:rPr>
                <w:rFonts w:hint="eastAsia"/>
                <w:color w:val="000000"/>
                <w:sz w:val="24"/>
                <w:szCs w:val="24"/>
              </w:rPr>
              <w:t>安全要求-设备-通用-功能-9</w:t>
            </w:r>
          </w:p>
        </w:tc>
        <w:tc>
          <w:tcPr>
            <w:tcW w:w="6450" w:type="dxa"/>
            <w:noWrap w:val="0"/>
            <w:vAlign w:val="top"/>
          </w:tcPr>
          <w:p w14:paraId="1E674D24">
            <w:pPr>
              <w:spacing w:line="360" w:lineRule="auto"/>
              <w:rPr>
                <w:rFonts w:hint="eastAsia"/>
                <w:color w:val="000000"/>
                <w:sz w:val="24"/>
                <w:szCs w:val="24"/>
              </w:rPr>
            </w:pPr>
            <w:r>
              <w:rPr>
                <w:rFonts w:hint="eastAsia"/>
                <w:color w:val="000000"/>
                <w:sz w:val="24"/>
                <w:szCs w:val="24"/>
              </w:rPr>
              <w:t>设备应支持对不同用户授予不同权限。</w:t>
            </w:r>
          </w:p>
        </w:tc>
      </w:tr>
      <w:tr w14:paraId="22BF8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noWrap w:val="0"/>
            <w:vAlign w:val="top"/>
          </w:tcPr>
          <w:p w14:paraId="115F2BE7">
            <w:pPr>
              <w:spacing w:line="360" w:lineRule="auto"/>
              <w:rPr>
                <w:rFonts w:hint="eastAsia"/>
                <w:color w:val="000000"/>
                <w:sz w:val="24"/>
                <w:szCs w:val="24"/>
              </w:rPr>
            </w:pPr>
            <w:r>
              <w:rPr>
                <w:rFonts w:hint="eastAsia"/>
                <w:color w:val="000000"/>
                <w:sz w:val="24"/>
                <w:szCs w:val="24"/>
              </w:rPr>
              <w:t>安全要求-设备-通用-配置-9</w:t>
            </w:r>
          </w:p>
        </w:tc>
        <w:tc>
          <w:tcPr>
            <w:tcW w:w="6450" w:type="dxa"/>
            <w:noWrap w:val="0"/>
            <w:vAlign w:val="top"/>
          </w:tcPr>
          <w:p w14:paraId="3C9FD645">
            <w:pPr>
              <w:spacing w:line="360" w:lineRule="auto"/>
              <w:rPr>
                <w:rFonts w:hint="eastAsia"/>
                <w:color w:val="000000"/>
                <w:sz w:val="24"/>
                <w:szCs w:val="24"/>
              </w:rPr>
            </w:pPr>
            <w:r>
              <w:rPr>
                <w:rFonts w:hint="eastAsia"/>
                <w:color w:val="000000"/>
                <w:sz w:val="24"/>
                <w:szCs w:val="24"/>
              </w:rPr>
              <w:t>在设备权限配置能力内，根据用户的业务需要，配置其所需的最小权限。</w:t>
            </w:r>
          </w:p>
        </w:tc>
      </w:tr>
      <w:tr w14:paraId="6743A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noWrap w:val="0"/>
            <w:vAlign w:val="top"/>
          </w:tcPr>
          <w:p w14:paraId="12128398">
            <w:pPr>
              <w:spacing w:line="360" w:lineRule="auto"/>
              <w:rPr>
                <w:rFonts w:hint="eastAsia"/>
                <w:color w:val="000000"/>
                <w:sz w:val="24"/>
                <w:szCs w:val="24"/>
              </w:rPr>
            </w:pPr>
            <w:r>
              <w:rPr>
                <w:rFonts w:hint="eastAsia"/>
                <w:color w:val="000000"/>
                <w:sz w:val="24"/>
                <w:szCs w:val="24"/>
              </w:rPr>
              <w:t xml:space="preserve">安全要求-设备-通用-功能-12 </w:t>
            </w:r>
          </w:p>
        </w:tc>
        <w:tc>
          <w:tcPr>
            <w:tcW w:w="6450" w:type="dxa"/>
            <w:noWrap w:val="0"/>
            <w:vAlign w:val="top"/>
          </w:tcPr>
          <w:p w14:paraId="7D17A40A">
            <w:pPr>
              <w:spacing w:line="360" w:lineRule="auto"/>
              <w:rPr>
                <w:rFonts w:hint="eastAsia"/>
                <w:color w:val="000000"/>
                <w:sz w:val="24"/>
                <w:szCs w:val="24"/>
              </w:rPr>
            </w:pPr>
            <w:r>
              <w:rPr>
                <w:rFonts w:hint="eastAsia"/>
                <w:color w:val="000000"/>
                <w:sz w:val="24"/>
                <w:szCs w:val="24"/>
              </w:rPr>
              <w:t>设备日志应支持对用户登录/登出进行记录。记录内容包括用户登录使用的账号，登录是否成功，登录时间，以及远程登录时，用户使用的IP地址。</w:t>
            </w:r>
          </w:p>
        </w:tc>
      </w:tr>
      <w:tr w14:paraId="3FA3F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noWrap w:val="0"/>
            <w:vAlign w:val="top"/>
          </w:tcPr>
          <w:p w14:paraId="06A6EE14">
            <w:pPr>
              <w:spacing w:line="360" w:lineRule="auto"/>
              <w:rPr>
                <w:rFonts w:hint="eastAsia"/>
                <w:color w:val="000000"/>
                <w:sz w:val="24"/>
                <w:szCs w:val="24"/>
              </w:rPr>
            </w:pPr>
            <w:r>
              <w:rPr>
                <w:rFonts w:hint="eastAsia"/>
                <w:color w:val="000000"/>
                <w:sz w:val="24"/>
                <w:szCs w:val="24"/>
              </w:rPr>
              <w:t>安全要求-设备-通用-配置-12</w:t>
            </w:r>
          </w:p>
        </w:tc>
        <w:tc>
          <w:tcPr>
            <w:tcW w:w="6450" w:type="dxa"/>
            <w:noWrap w:val="0"/>
            <w:vAlign w:val="top"/>
          </w:tcPr>
          <w:p w14:paraId="67C35C64">
            <w:pPr>
              <w:spacing w:line="360" w:lineRule="auto"/>
              <w:rPr>
                <w:rFonts w:hint="eastAsia"/>
                <w:color w:val="000000"/>
                <w:sz w:val="24"/>
                <w:szCs w:val="24"/>
              </w:rPr>
            </w:pPr>
            <w:r>
              <w:rPr>
                <w:rFonts w:hint="eastAsia"/>
                <w:color w:val="000000"/>
                <w:sz w:val="24"/>
                <w:szCs w:val="24"/>
              </w:rPr>
              <w:t>设备应配置日志功能，对用户登录进行记录，记录内容包括用户登录使用的账号，登录是否成功，登录时间，以及远程登录时，用户使用的IP地址。</w:t>
            </w:r>
          </w:p>
        </w:tc>
      </w:tr>
      <w:tr w14:paraId="6F919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noWrap w:val="0"/>
            <w:vAlign w:val="top"/>
          </w:tcPr>
          <w:p w14:paraId="592F70B4">
            <w:pPr>
              <w:spacing w:line="360" w:lineRule="auto"/>
              <w:rPr>
                <w:rFonts w:hint="eastAsia"/>
                <w:color w:val="000000"/>
                <w:sz w:val="24"/>
                <w:szCs w:val="24"/>
              </w:rPr>
            </w:pPr>
            <w:r>
              <w:rPr>
                <w:rFonts w:hint="eastAsia"/>
                <w:color w:val="000000"/>
                <w:sz w:val="24"/>
                <w:szCs w:val="24"/>
              </w:rPr>
              <w:t>安全要求-设备-通用-功能-15</w:t>
            </w:r>
          </w:p>
        </w:tc>
        <w:tc>
          <w:tcPr>
            <w:tcW w:w="6450" w:type="dxa"/>
            <w:noWrap w:val="0"/>
            <w:vAlign w:val="top"/>
          </w:tcPr>
          <w:p w14:paraId="5626133D">
            <w:pPr>
              <w:spacing w:line="360" w:lineRule="auto"/>
              <w:rPr>
                <w:rFonts w:hint="eastAsia"/>
                <w:color w:val="000000"/>
                <w:sz w:val="24"/>
                <w:szCs w:val="24"/>
              </w:rPr>
            </w:pPr>
            <w:r>
              <w:rPr>
                <w:rFonts w:hint="eastAsia"/>
                <w:color w:val="000000"/>
                <w:sz w:val="24"/>
                <w:szCs w:val="24"/>
              </w:rPr>
              <w:t>对于具备TCP/UDP协议功能的设备，应支持列出当前开放端口列表以及设备和其他设备连接情况。</w:t>
            </w:r>
          </w:p>
        </w:tc>
      </w:tr>
    </w:tbl>
    <w:p w14:paraId="6D5F4891">
      <w:pPr>
        <w:spacing w:line="360" w:lineRule="auto"/>
        <w:rPr>
          <w:rFonts w:hint="eastAsia"/>
          <w:color w:val="000000"/>
          <w:sz w:val="24"/>
          <w:szCs w:val="24"/>
        </w:rPr>
      </w:pPr>
      <w:r>
        <w:rPr>
          <w:rFonts w:hint="eastAsia"/>
          <w:color w:val="000000"/>
          <w:sz w:val="24"/>
          <w:szCs w:val="24"/>
        </w:rPr>
        <w:t>2、甲、乙方应遵守中国移动相关安全管理规定要求，具体规定如下：</w:t>
      </w:r>
    </w:p>
    <w:p w14:paraId="10DC2CA6">
      <w:pPr>
        <w:spacing w:line="360" w:lineRule="auto"/>
        <w:rPr>
          <w:rFonts w:hint="eastAsia"/>
          <w:color w:val="000000"/>
          <w:sz w:val="24"/>
          <w:szCs w:val="24"/>
        </w:rPr>
      </w:pPr>
      <w:r>
        <w:rPr>
          <w:rFonts w:hint="eastAsia"/>
          <w:color w:val="000000"/>
          <w:sz w:val="24"/>
          <w:szCs w:val="24"/>
        </w:rPr>
        <w:t>1）根据《中国移动安全域管理办法》，乙方应服从甲方安全域管理责任部门的管理，部署新设备或进行设备调整或进行已有设备移出时，应提出书面申请，并提交相关设备的基本信息以备更新安全域管理相关数据。未经甲方审批，不得擅自进行新设备部署或随意调整和移出设备、改变安全域结构或者策略配置。</w:t>
      </w:r>
    </w:p>
    <w:p w14:paraId="034A5B1B">
      <w:pPr>
        <w:spacing w:line="360" w:lineRule="auto"/>
        <w:rPr>
          <w:rFonts w:hint="eastAsia"/>
          <w:color w:val="000000"/>
          <w:sz w:val="24"/>
          <w:szCs w:val="24"/>
        </w:rPr>
      </w:pPr>
      <w:r>
        <w:rPr>
          <w:rFonts w:hint="eastAsia"/>
          <w:color w:val="000000"/>
          <w:sz w:val="24"/>
          <w:szCs w:val="24"/>
        </w:rPr>
        <w:t>2）根据《中国移动帐号口令管理办法》，乙方应服从甲方帐号管理责任部门的管理，按照帐号审批流程申请所需帐号、修改权限或者撤销帐号，在帐号审批成功并创建后，应对帐号口令进行定期（不超过90天）修改，</w:t>
      </w:r>
      <w:r>
        <w:rPr>
          <w:color w:val="000000"/>
          <w:sz w:val="24"/>
          <w:szCs w:val="24"/>
        </w:rPr>
        <w:t>口令</w:t>
      </w:r>
      <w:r>
        <w:rPr>
          <w:rFonts w:hint="eastAsia"/>
          <w:color w:val="000000"/>
          <w:sz w:val="24"/>
          <w:szCs w:val="24"/>
        </w:rPr>
        <w:t>至少由6</w:t>
      </w:r>
      <w:r>
        <w:rPr>
          <w:color w:val="000000"/>
          <w:sz w:val="24"/>
          <w:szCs w:val="24"/>
        </w:rPr>
        <w:t>位</w:t>
      </w:r>
      <w:r>
        <w:rPr>
          <w:rFonts w:hint="eastAsia"/>
          <w:color w:val="000000"/>
          <w:sz w:val="24"/>
          <w:szCs w:val="24"/>
        </w:rPr>
        <w:t>及以上</w:t>
      </w:r>
      <w:r>
        <w:rPr>
          <w:color w:val="000000"/>
          <w:sz w:val="24"/>
          <w:szCs w:val="24"/>
        </w:rPr>
        <w:t>大小写字母、数字及</w:t>
      </w:r>
      <w:r>
        <w:rPr>
          <w:rFonts w:hint="eastAsia"/>
          <w:color w:val="000000"/>
          <w:sz w:val="24"/>
          <w:szCs w:val="24"/>
        </w:rPr>
        <w:t>特殊</w:t>
      </w:r>
      <w:r>
        <w:rPr>
          <w:color w:val="000000"/>
          <w:sz w:val="24"/>
          <w:szCs w:val="24"/>
        </w:rPr>
        <w:t>符号等</w:t>
      </w:r>
      <w:r>
        <w:rPr>
          <w:rFonts w:hint="eastAsia"/>
          <w:color w:val="000000"/>
          <w:sz w:val="24"/>
          <w:szCs w:val="24"/>
        </w:rPr>
        <w:t>混合、随机</w:t>
      </w:r>
      <w:r>
        <w:rPr>
          <w:color w:val="000000"/>
          <w:sz w:val="24"/>
          <w:szCs w:val="24"/>
        </w:rPr>
        <w:t>组成</w:t>
      </w:r>
      <w:r>
        <w:rPr>
          <w:rFonts w:hint="eastAsia"/>
          <w:color w:val="000000"/>
          <w:sz w:val="24"/>
          <w:szCs w:val="24"/>
        </w:rPr>
        <w:t>。乙方应严格保护帐号口令，不得故意泄露，否则需承担由此导致安全问题的责任。</w:t>
      </w:r>
    </w:p>
    <w:p w14:paraId="5C984964">
      <w:pPr>
        <w:spacing w:line="360" w:lineRule="auto"/>
        <w:rPr>
          <w:rFonts w:hint="eastAsia"/>
          <w:color w:val="000000"/>
          <w:sz w:val="24"/>
          <w:szCs w:val="24"/>
        </w:rPr>
      </w:pPr>
      <w:r>
        <w:rPr>
          <w:rFonts w:hint="eastAsia"/>
          <w:color w:val="000000"/>
          <w:sz w:val="24"/>
          <w:szCs w:val="24"/>
        </w:rPr>
        <w:t>3）根据《中国移动远程接入安全管理办法（v1.0）》，乙方应按照甲方远程接入审批要求，对远程接入提出书面申请，并完成相关设置，确保安全接入；访问结束后，应及时终止接入；不得将相关帐号、口令告诉其它人，或者用于其它目的，否则应承担由此引起的一切后果。</w:t>
      </w:r>
    </w:p>
    <w:p w14:paraId="3D72AEE8">
      <w:pPr>
        <w:spacing w:line="360" w:lineRule="auto"/>
        <w:rPr>
          <w:rFonts w:hint="eastAsia"/>
          <w:color w:val="000000"/>
          <w:sz w:val="24"/>
          <w:szCs w:val="24"/>
        </w:rPr>
      </w:pPr>
      <w:r>
        <w:rPr>
          <w:rFonts w:hint="eastAsia"/>
          <w:color w:val="000000"/>
          <w:sz w:val="24"/>
          <w:szCs w:val="24"/>
        </w:rPr>
        <w:t>4）根据《中国移动网络互联安全管理办法（v1.0）》，乙方应按照网络互联审批要求，向甲方提出网络互联的书面申请，并建立相应的防护手段和管理流程，在互联需求发生变更（包括互联目的或方式的变化）时，应及时向甲方提出互联变更申请。</w:t>
      </w:r>
    </w:p>
    <w:p w14:paraId="1B6A032A">
      <w:pPr>
        <w:spacing w:line="360" w:lineRule="auto"/>
        <w:rPr>
          <w:rFonts w:hint="eastAsia"/>
          <w:color w:val="000000"/>
          <w:sz w:val="24"/>
          <w:szCs w:val="24"/>
        </w:rPr>
      </w:pPr>
      <w:r>
        <w:rPr>
          <w:rFonts w:hint="eastAsia"/>
          <w:color w:val="000000"/>
          <w:sz w:val="24"/>
          <w:szCs w:val="24"/>
        </w:rPr>
        <w:t>3、乙方需保证项目实施过程中新增的IT设备安装操作系统、应用软件已经安装所有已发布的安全补丁，关闭与业务无关端口，无关进程和服务，按照最小化的原则进行授权，并无重大安全漏洞、后门或者感染病毒。</w:t>
      </w:r>
    </w:p>
    <w:p w14:paraId="5EF8CA90">
      <w:pPr>
        <w:spacing w:line="360" w:lineRule="auto"/>
        <w:rPr>
          <w:rFonts w:hint="eastAsia"/>
          <w:color w:val="000000"/>
          <w:sz w:val="24"/>
          <w:szCs w:val="24"/>
        </w:rPr>
      </w:pPr>
      <w:r>
        <w:rPr>
          <w:rFonts w:hint="eastAsia"/>
          <w:color w:val="000000"/>
          <w:sz w:val="24"/>
          <w:szCs w:val="24"/>
        </w:rPr>
        <w:t>4、乙方提供的应用软件中账号所使用的口令已采用加密方式保存，不可固化在软件里。</w:t>
      </w:r>
    </w:p>
    <w:p w14:paraId="158D2004">
      <w:pPr>
        <w:spacing w:line="360" w:lineRule="auto"/>
        <w:rPr>
          <w:rFonts w:hint="eastAsia"/>
          <w:color w:val="000000"/>
          <w:sz w:val="24"/>
          <w:szCs w:val="24"/>
        </w:rPr>
      </w:pPr>
      <w:r>
        <w:rPr>
          <w:rFonts w:hint="eastAsia"/>
          <w:color w:val="000000"/>
          <w:sz w:val="24"/>
          <w:szCs w:val="24"/>
        </w:rPr>
        <w:t>5、乙方在设备上线前，应详细提供本工程新增设备和应用的进程、端口、账号等方面的情况。</w:t>
      </w:r>
    </w:p>
    <w:p w14:paraId="69695FFB">
      <w:pPr>
        <w:spacing w:line="360" w:lineRule="auto"/>
        <w:rPr>
          <w:rFonts w:hint="eastAsia"/>
          <w:color w:val="000000"/>
          <w:sz w:val="24"/>
          <w:szCs w:val="24"/>
        </w:rPr>
      </w:pPr>
      <w:r>
        <w:rPr>
          <w:rFonts w:hint="eastAsia"/>
          <w:color w:val="000000"/>
          <w:sz w:val="24"/>
          <w:szCs w:val="24"/>
        </w:rPr>
        <w:t>6、在工程实施期间，甲方有权通过安全扫描软件或者人工评估等手段，对本次工程新增设备和应用软件进行检查，并给出符合实际的评估结果。一旦发现有重大安全漏洞、后门或者病毒感染，由乙方立即进行免费修补、清除或者采用其他手段消除安全问题。对于违反本规定导致的一切后果，由乙方负全部责任。</w:t>
      </w:r>
    </w:p>
    <w:p w14:paraId="75D53013">
      <w:pPr>
        <w:spacing w:line="360" w:lineRule="auto"/>
        <w:rPr>
          <w:rFonts w:hint="eastAsia"/>
          <w:color w:val="000000"/>
          <w:sz w:val="24"/>
          <w:szCs w:val="24"/>
        </w:rPr>
      </w:pPr>
      <w:r>
        <w:rPr>
          <w:rFonts w:hint="eastAsia"/>
          <w:color w:val="000000"/>
          <w:sz w:val="24"/>
          <w:szCs w:val="24"/>
        </w:rPr>
        <w:t>7、乙方必须具备所提供的应用软件版本的独立实验环境。对系统设备的安全补丁升级，乙方原则上应在安全补丁正式发布后1周内，最迟不超过1个月，在实验环境内进行兼容性测试、提供测试结果，并协助甲方进行补丁安装，提供现场支持服务。</w:t>
      </w:r>
    </w:p>
    <w:p w14:paraId="4A5F3E31">
      <w:pPr>
        <w:spacing w:line="360" w:lineRule="auto"/>
        <w:rPr>
          <w:rFonts w:hint="eastAsia"/>
          <w:color w:val="000000"/>
          <w:sz w:val="24"/>
          <w:szCs w:val="24"/>
        </w:rPr>
      </w:pPr>
      <w:r>
        <w:rPr>
          <w:rFonts w:hint="eastAsia"/>
          <w:color w:val="000000"/>
          <w:sz w:val="24"/>
          <w:szCs w:val="24"/>
        </w:rPr>
        <w:t>8、在产品投入运行直至退网期间，乙方应及时将通过各种途径所发现的自主研发应用软件或产品在软件代码、功能或配置方面的安全漏洞告知甲方并及时、无偿地提供修补方案并实施修补；或者在甲方发现漏洞后1周内最迟不超过1个月内，无偿提供修补方案并实施修补。</w:t>
      </w:r>
    </w:p>
    <w:p w14:paraId="3CC1F2FA">
      <w:pPr>
        <w:spacing w:line="360" w:lineRule="auto"/>
        <w:rPr>
          <w:rFonts w:hint="eastAsia"/>
          <w:color w:val="000000"/>
          <w:sz w:val="24"/>
          <w:szCs w:val="24"/>
        </w:rPr>
      </w:pPr>
      <w:r>
        <w:rPr>
          <w:rFonts w:hint="eastAsia"/>
          <w:color w:val="000000"/>
          <w:sz w:val="24"/>
          <w:szCs w:val="24"/>
        </w:rPr>
        <w:t>9、当本工程新增设备的安全补丁安装失败时，乙方有责任协助甲方对补丁加载失败原因进行分析、测试。</w:t>
      </w:r>
    </w:p>
    <w:p w14:paraId="65826B94">
      <w:pPr>
        <w:spacing w:line="360" w:lineRule="auto"/>
        <w:rPr>
          <w:rFonts w:hint="eastAsia"/>
          <w:color w:val="000000"/>
          <w:sz w:val="24"/>
          <w:szCs w:val="24"/>
        </w:rPr>
      </w:pPr>
      <w:r>
        <w:rPr>
          <w:rFonts w:hint="eastAsia"/>
          <w:color w:val="000000"/>
          <w:sz w:val="24"/>
          <w:szCs w:val="24"/>
        </w:rPr>
        <w:t>10、当加载的安全补丁与乙方所提供的应用系统存在冲突时，乙方原则上应在1个月内，最迟不超过3个月内，对应用系统进行升级改造。</w:t>
      </w:r>
    </w:p>
    <w:p w14:paraId="67CB650A">
      <w:pPr>
        <w:spacing w:line="360" w:lineRule="auto"/>
        <w:rPr>
          <w:rFonts w:hint="eastAsia"/>
          <w:color w:val="000000"/>
          <w:sz w:val="24"/>
          <w:szCs w:val="24"/>
        </w:rPr>
      </w:pPr>
      <w:r>
        <w:rPr>
          <w:rFonts w:hint="eastAsia"/>
          <w:color w:val="000000"/>
          <w:sz w:val="24"/>
          <w:szCs w:val="24"/>
        </w:rPr>
        <w:t>11、对于乙方提供运行在Windows操作系统的应用软件，乙方必须承诺与趋势科技（TrendMicro）、赛门铁克（Symantec）以及NAI公司等主流网络版防病毒软件或其中之一兼容。</w:t>
      </w:r>
    </w:p>
    <w:p w14:paraId="225F148A">
      <w:pPr>
        <w:spacing w:line="360" w:lineRule="auto"/>
        <w:rPr>
          <w:rFonts w:hint="eastAsia"/>
          <w:color w:val="000000"/>
          <w:sz w:val="24"/>
          <w:szCs w:val="24"/>
        </w:rPr>
      </w:pPr>
      <w:r>
        <w:rPr>
          <w:rFonts w:hint="eastAsia"/>
          <w:color w:val="000000"/>
          <w:sz w:val="24"/>
          <w:szCs w:val="24"/>
        </w:rPr>
        <w:t>12、对于乙方提供的运行在windows操作系统的应用软件，版本应在</w:t>
      </w:r>
      <w:r>
        <w:rPr>
          <w:color w:val="000000"/>
          <w:sz w:val="24"/>
          <w:szCs w:val="24"/>
        </w:rPr>
        <w:t>Win 2000</w:t>
      </w:r>
      <w:r>
        <w:rPr>
          <w:rFonts w:hint="eastAsia"/>
          <w:color w:val="000000"/>
          <w:sz w:val="24"/>
          <w:szCs w:val="24"/>
        </w:rPr>
        <w:t>（含）以上，同时不能使用家用版，如</w:t>
      </w:r>
      <w:r>
        <w:rPr>
          <w:color w:val="000000"/>
          <w:sz w:val="24"/>
          <w:szCs w:val="24"/>
        </w:rPr>
        <w:t xml:space="preserve">Xp Home </w:t>
      </w:r>
      <w:r>
        <w:rPr>
          <w:rFonts w:hint="eastAsia"/>
          <w:color w:val="000000"/>
          <w:sz w:val="24"/>
          <w:szCs w:val="24"/>
        </w:rPr>
        <w:t>版的操作系统。</w:t>
      </w:r>
    </w:p>
    <w:p w14:paraId="0FB1BBD7">
      <w:pPr>
        <w:spacing w:line="360" w:lineRule="auto"/>
        <w:rPr>
          <w:rFonts w:hint="eastAsia"/>
          <w:color w:val="000000"/>
          <w:sz w:val="24"/>
          <w:szCs w:val="24"/>
        </w:rPr>
      </w:pPr>
      <w:r>
        <w:rPr>
          <w:rFonts w:hint="eastAsia"/>
          <w:color w:val="000000"/>
          <w:sz w:val="24"/>
          <w:szCs w:val="24"/>
        </w:rPr>
        <w:t>13、乙方安全应急处理方面的责任：</w:t>
      </w:r>
    </w:p>
    <w:p w14:paraId="7B9804E2">
      <w:pPr>
        <w:spacing w:line="360" w:lineRule="auto"/>
        <w:rPr>
          <w:rFonts w:hint="eastAsia"/>
          <w:color w:val="000000"/>
          <w:sz w:val="24"/>
          <w:szCs w:val="24"/>
        </w:rPr>
      </w:pPr>
      <w:r>
        <w:rPr>
          <w:rFonts w:hint="eastAsia"/>
          <w:color w:val="000000"/>
          <w:sz w:val="24"/>
          <w:szCs w:val="24"/>
        </w:rPr>
        <w:t>1）</w:t>
      </w:r>
      <w:r>
        <w:rPr>
          <w:color w:val="000000"/>
          <w:sz w:val="24"/>
          <w:szCs w:val="24"/>
        </w:rPr>
        <w:t>如果出现未知原因的攻击导致</w:t>
      </w:r>
      <w:r>
        <w:rPr>
          <w:rFonts w:hint="eastAsia"/>
          <w:color w:val="000000"/>
          <w:sz w:val="24"/>
          <w:szCs w:val="24"/>
        </w:rPr>
        <w:t>系统或</w:t>
      </w:r>
      <w:r>
        <w:rPr>
          <w:color w:val="000000"/>
          <w:sz w:val="24"/>
          <w:szCs w:val="24"/>
        </w:rPr>
        <w:t>网络设备异常，乙方</w:t>
      </w:r>
      <w:r>
        <w:rPr>
          <w:rFonts w:hint="eastAsia"/>
          <w:color w:val="000000"/>
          <w:sz w:val="24"/>
          <w:szCs w:val="24"/>
        </w:rPr>
        <w:t>应承诺</w:t>
      </w:r>
      <w:r>
        <w:rPr>
          <w:color w:val="000000"/>
          <w:sz w:val="24"/>
          <w:szCs w:val="24"/>
        </w:rPr>
        <w:t>配合</w:t>
      </w:r>
      <w:r>
        <w:rPr>
          <w:rFonts w:hint="eastAsia"/>
          <w:color w:val="000000"/>
          <w:sz w:val="24"/>
          <w:szCs w:val="24"/>
        </w:rPr>
        <w:t>甲方</w:t>
      </w:r>
      <w:r>
        <w:rPr>
          <w:color w:val="000000"/>
          <w:sz w:val="24"/>
          <w:szCs w:val="24"/>
        </w:rPr>
        <w:t>查找原因，给出解决方案。</w:t>
      </w:r>
    </w:p>
    <w:p w14:paraId="03FF8054">
      <w:pPr>
        <w:spacing w:line="360" w:lineRule="auto"/>
        <w:rPr>
          <w:color w:val="000000"/>
          <w:sz w:val="24"/>
          <w:szCs w:val="24"/>
        </w:rPr>
      </w:pPr>
      <w:r>
        <w:rPr>
          <w:rFonts w:hint="eastAsia"/>
          <w:color w:val="000000"/>
          <w:sz w:val="24"/>
          <w:szCs w:val="24"/>
        </w:rPr>
        <w:t>2）</w:t>
      </w:r>
      <w:r>
        <w:rPr>
          <w:color w:val="000000"/>
          <w:sz w:val="24"/>
          <w:szCs w:val="24"/>
        </w:rPr>
        <w:t>乙方需建立必要的测试环境，对于各类安全</w:t>
      </w:r>
      <w:r>
        <w:rPr>
          <w:rFonts w:hint="eastAsia"/>
          <w:color w:val="000000"/>
          <w:sz w:val="24"/>
          <w:szCs w:val="24"/>
        </w:rPr>
        <w:t>解决方案</w:t>
      </w:r>
      <w:r>
        <w:rPr>
          <w:color w:val="000000"/>
          <w:sz w:val="24"/>
          <w:szCs w:val="24"/>
        </w:rPr>
        <w:t>进行及时测试，并</w:t>
      </w:r>
      <w:r>
        <w:rPr>
          <w:rFonts w:hint="eastAsia"/>
          <w:color w:val="000000"/>
          <w:sz w:val="24"/>
          <w:szCs w:val="24"/>
        </w:rPr>
        <w:t>给</w:t>
      </w:r>
      <w:r>
        <w:rPr>
          <w:color w:val="000000"/>
          <w:sz w:val="24"/>
          <w:szCs w:val="24"/>
        </w:rPr>
        <w:t>出可行的现网实施办法。</w:t>
      </w:r>
    </w:p>
    <w:p w14:paraId="1D252954">
      <w:pPr>
        <w:spacing w:line="360" w:lineRule="auto"/>
        <w:rPr>
          <w:color w:val="000000"/>
          <w:sz w:val="24"/>
          <w:szCs w:val="24"/>
        </w:rPr>
      </w:pPr>
      <w:r>
        <w:rPr>
          <w:rFonts w:hint="eastAsia"/>
          <w:color w:val="000000"/>
          <w:sz w:val="24"/>
          <w:szCs w:val="24"/>
        </w:rPr>
        <w:t>14、本协议作为合同附件，生效起止时间同合同。本协议需经双方法人代表（或法人代表委托人）签名并盖章，与所签合同具有同等法律效力。合同正本一式</w:t>
      </w:r>
      <w:r>
        <w:rPr>
          <w:rFonts w:hint="eastAsia"/>
          <w:color w:val="000000"/>
          <w:sz w:val="24"/>
          <w:szCs w:val="24"/>
          <w:lang w:val="en-US" w:eastAsia="zh-Hans"/>
        </w:rPr>
        <w:t>贰</w:t>
      </w:r>
      <w:r>
        <w:rPr>
          <w:rFonts w:hint="eastAsia"/>
          <w:color w:val="000000"/>
          <w:sz w:val="24"/>
          <w:szCs w:val="24"/>
        </w:rPr>
        <w:t>份，甲方</w:t>
      </w:r>
      <w:r>
        <w:rPr>
          <w:rFonts w:hint="eastAsia"/>
          <w:color w:val="000000"/>
          <w:sz w:val="24"/>
          <w:szCs w:val="24"/>
          <w:lang w:val="en-US" w:eastAsia="zh-Hans"/>
        </w:rPr>
        <w:t>壹</w:t>
      </w:r>
      <w:r>
        <w:rPr>
          <w:rFonts w:hint="eastAsia"/>
          <w:color w:val="000000"/>
          <w:sz w:val="24"/>
          <w:szCs w:val="24"/>
        </w:rPr>
        <w:t>份，乙方</w:t>
      </w:r>
      <w:r>
        <w:rPr>
          <w:rFonts w:hint="eastAsia"/>
          <w:color w:val="000000"/>
          <w:sz w:val="24"/>
          <w:szCs w:val="24"/>
          <w:lang w:val="en-US" w:eastAsia="zh-Hans"/>
        </w:rPr>
        <w:t>壹</w:t>
      </w:r>
      <w:r>
        <w:rPr>
          <w:rFonts w:hint="eastAsia"/>
          <w:color w:val="000000"/>
          <w:sz w:val="24"/>
          <w:szCs w:val="24"/>
        </w:rPr>
        <w:t>份，均具有同等法律效力。</w:t>
      </w:r>
    </w:p>
    <w:p w14:paraId="20A8B29B">
      <w:pPr>
        <w:rPr>
          <w:rFonts w:hint="eastAsia"/>
          <w:color w:val="000000"/>
          <w:sz w:val="24"/>
          <w:szCs w:val="24"/>
        </w:rPr>
      </w:pPr>
    </w:p>
    <w:p w14:paraId="7CE63689">
      <w:pPr>
        <w:rPr>
          <w:rFonts w:hint="eastAsia"/>
          <w:color w:val="000000"/>
          <w:sz w:val="24"/>
          <w:szCs w:val="24"/>
        </w:rPr>
      </w:pPr>
    </w:p>
    <w:p w14:paraId="7427B8BE">
      <w:pPr>
        <w:rPr>
          <w:rFonts w:hint="eastAsia"/>
          <w:color w:val="000000"/>
          <w:sz w:val="24"/>
          <w:szCs w:val="24"/>
        </w:rPr>
      </w:pPr>
    </w:p>
    <w:tbl>
      <w:tblPr>
        <w:tblStyle w:val="15"/>
        <w:tblpPr w:leftFromText="180" w:rightFromText="180" w:vertAnchor="text" w:horzAnchor="page" w:tblpX="2311" w:tblpY="94"/>
        <w:tblOverlap w:val="never"/>
        <w:tblW w:w="4995" w:type="pct"/>
        <w:tblInd w:w="0" w:type="dxa"/>
        <w:tblLayout w:type="fixed"/>
        <w:tblCellMar>
          <w:top w:w="0" w:type="dxa"/>
          <w:left w:w="108" w:type="dxa"/>
          <w:bottom w:w="0" w:type="dxa"/>
          <w:right w:w="108" w:type="dxa"/>
        </w:tblCellMar>
      </w:tblPr>
      <w:tblGrid>
        <w:gridCol w:w="4260"/>
        <w:gridCol w:w="4260"/>
      </w:tblGrid>
      <w:tr w14:paraId="11557A32">
        <w:tblPrEx>
          <w:tblCellMar>
            <w:top w:w="0" w:type="dxa"/>
            <w:left w:w="108" w:type="dxa"/>
            <w:bottom w:w="0" w:type="dxa"/>
            <w:right w:w="108" w:type="dxa"/>
          </w:tblCellMar>
        </w:tblPrEx>
        <w:trPr>
          <w:trHeight w:val="3425" w:hRule="atLeast"/>
        </w:trPr>
        <w:tc>
          <w:tcPr>
            <w:tcW w:w="2500" w:type="pct"/>
            <w:noWrap w:val="0"/>
            <w:vAlign w:val="top"/>
          </w:tcPr>
          <w:p w14:paraId="6632AB10">
            <w:pPr>
              <w:spacing w:before="120" w:after="120" w:line="360" w:lineRule="auto"/>
              <w:rPr>
                <w:rFonts w:ascii="宋体" w:hAnsi="宋体"/>
                <w:color w:val="000000"/>
                <w:sz w:val="24"/>
                <w:szCs w:val="24"/>
              </w:rPr>
            </w:pPr>
            <w:r>
              <w:rPr>
                <w:rFonts w:hint="eastAsia" w:ascii="宋体" w:hAnsi="宋体"/>
                <w:color w:val="000000"/>
                <w:sz w:val="24"/>
                <w:szCs w:val="24"/>
              </w:rPr>
              <w:t>甲方名称：</w:t>
            </w:r>
            <w:r>
              <w:rPr>
                <w:rFonts w:hint="default" w:ascii="宋体" w:hAnsi="宋体"/>
                <w:b w:val="0"/>
                <w:bCs/>
                <w:sz w:val="24"/>
                <w:szCs w:val="24"/>
              </w:rPr>
              <w:t>中国移动通信集团江苏有限公司徐州分公司</w:t>
            </w:r>
            <w:r>
              <w:rPr>
                <w:rFonts w:hint="eastAsia" w:ascii="宋体" w:hAnsi="宋体"/>
                <w:color w:val="000000"/>
                <w:sz w:val="24"/>
                <w:szCs w:val="24"/>
              </w:rPr>
              <w:t>（盖章）</w:t>
            </w:r>
          </w:p>
          <w:p w14:paraId="24B2CCD7">
            <w:pPr>
              <w:spacing w:before="120" w:after="120" w:line="360" w:lineRule="auto"/>
              <w:rPr>
                <w:rFonts w:hint="eastAsia" w:ascii="宋体" w:hAnsi="宋体"/>
                <w:color w:val="000000"/>
                <w:sz w:val="24"/>
                <w:szCs w:val="24"/>
              </w:rPr>
            </w:pPr>
            <w:r>
              <w:rPr>
                <w:rFonts w:hint="eastAsia" w:ascii="宋体" w:hAnsi="宋体"/>
                <w:color w:val="000000"/>
                <w:sz w:val="24"/>
                <w:szCs w:val="24"/>
              </w:rPr>
              <w:t xml:space="preserve">    </w:t>
            </w:r>
          </w:p>
          <w:p w14:paraId="3BC4815D">
            <w:pPr>
              <w:spacing w:before="120" w:after="120" w:line="360" w:lineRule="auto"/>
              <w:rPr>
                <w:rFonts w:hint="eastAsia" w:ascii="宋体" w:hAnsi="宋体"/>
                <w:color w:val="000000"/>
                <w:sz w:val="24"/>
                <w:szCs w:val="24"/>
              </w:rPr>
            </w:pPr>
            <w:r>
              <w:rPr>
                <w:rFonts w:hint="eastAsia" w:ascii="宋体" w:hAnsi="宋体"/>
                <w:color w:val="000000"/>
                <w:sz w:val="24"/>
                <w:szCs w:val="24"/>
              </w:rPr>
              <w:t>授权代表（签字）：</w:t>
            </w:r>
          </w:p>
          <w:p w14:paraId="67340AA8">
            <w:pPr>
              <w:pStyle w:val="8"/>
              <w:rPr>
                <w:rFonts w:hint="eastAsia"/>
              </w:rPr>
            </w:pPr>
          </w:p>
          <w:p w14:paraId="7CA540CD">
            <w:pPr>
              <w:spacing w:before="120" w:after="120" w:line="360" w:lineRule="auto"/>
              <w:rPr>
                <w:rFonts w:hint="eastAsia" w:ascii="宋体" w:hAnsi="宋体"/>
                <w:color w:val="000000"/>
                <w:sz w:val="24"/>
              </w:rPr>
            </w:pPr>
            <w:r>
              <w:rPr>
                <w:rFonts w:hint="eastAsia" w:ascii="宋体" w:hAnsi="宋体"/>
                <w:color w:val="000000"/>
                <w:sz w:val="24"/>
              </w:rPr>
              <w:t>签约日期：</w:t>
            </w:r>
          </w:p>
          <w:p w14:paraId="28FB9426">
            <w:pPr>
              <w:spacing w:before="120" w:after="120" w:line="360" w:lineRule="auto"/>
              <w:rPr>
                <w:rFonts w:hint="eastAsia" w:ascii="宋体" w:hAnsi="宋体"/>
                <w:color w:val="000000"/>
                <w:sz w:val="24"/>
                <w:szCs w:val="24"/>
              </w:rPr>
            </w:pPr>
          </w:p>
          <w:p w14:paraId="7C04A9EF">
            <w:pPr>
              <w:spacing w:before="120" w:after="120" w:line="360" w:lineRule="auto"/>
              <w:rPr>
                <w:rFonts w:ascii="宋体" w:hAnsi="宋体"/>
                <w:color w:val="000000"/>
                <w:sz w:val="24"/>
                <w:szCs w:val="24"/>
              </w:rPr>
            </w:pPr>
          </w:p>
        </w:tc>
        <w:tc>
          <w:tcPr>
            <w:tcW w:w="2500" w:type="pct"/>
            <w:noWrap w:val="0"/>
            <w:vAlign w:val="top"/>
          </w:tcPr>
          <w:p w14:paraId="35242E8D">
            <w:pPr>
              <w:spacing w:before="120" w:after="120" w:line="360" w:lineRule="auto"/>
              <w:rPr>
                <w:rFonts w:ascii="宋体" w:hAnsi="宋体"/>
                <w:color w:val="000000"/>
                <w:sz w:val="24"/>
                <w:szCs w:val="24"/>
              </w:rPr>
            </w:pPr>
            <w:r>
              <w:rPr>
                <w:rFonts w:hint="eastAsia" w:ascii="宋体" w:hAnsi="宋体"/>
                <w:color w:val="000000"/>
                <w:sz w:val="24"/>
                <w:szCs w:val="24"/>
              </w:rPr>
              <w:t>乙方名称：   （盖章）</w:t>
            </w:r>
          </w:p>
          <w:p w14:paraId="242A02C4">
            <w:pPr>
              <w:spacing w:before="120" w:after="120" w:line="360" w:lineRule="auto"/>
              <w:rPr>
                <w:rFonts w:hint="eastAsia" w:ascii="宋体" w:hAnsi="宋体"/>
                <w:color w:val="000000"/>
                <w:sz w:val="24"/>
                <w:szCs w:val="24"/>
              </w:rPr>
            </w:pPr>
            <w:r>
              <w:rPr>
                <w:rFonts w:hint="eastAsia" w:ascii="宋体" w:hAnsi="宋体"/>
                <w:color w:val="000000"/>
                <w:sz w:val="24"/>
                <w:szCs w:val="24"/>
              </w:rPr>
              <w:t xml:space="preserve">    </w:t>
            </w:r>
          </w:p>
          <w:p w14:paraId="30C48A0C">
            <w:pPr>
              <w:spacing w:before="120" w:after="120" w:line="360" w:lineRule="auto"/>
              <w:rPr>
                <w:rFonts w:hint="eastAsia" w:ascii="宋体" w:hAnsi="宋体"/>
                <w:color w:val="000000"/>
                <w:sz w:val="24"/>
                <w:szCs w:val="24"/>
              </w:rPr>
            </w:pPr>
            <w:r>
              <w:rPr>
                <w:rFonts w:hint="eastAsia" w:ascii="宋体" w:hAnsi="宋体"/>
                <w:color w:val="000000"/>
                <w:sz w:val="24"/>
                <w:szCs w:val="24"/>
              </w:rPr>
              <w:t>授权代表（签字）：</w:t>
            </w:r>
          </w:p>
          <w:p w14:paraId="7EB2106B">
            <w:pPr>
              <w:spacing w:before="120" w:after="120" w:line="360" w:lineRule="auto"/>
              <w:rPr>
                <w:rFonts w:hint="eastAsia" w:ascii="宋体" w:hAnsi="宋体"/>
                <w:color w:val="000000"/>
                <w:sz w:val="24"/>
                <w:szCs w:val="24"/>
              </w:rPr>
            </w:pPr>
          </w:p>
          <w:p w14:paraId="6EFB1499">
            <w:pPr>
              <w:spacing w:before="120" w:after="120" w:line="360" w:lineRule="auto"/>
              <w:rPr>
                <w:rFonts w:ascii="宋体" w:hAnsi="宋体"/>
                <w:color w:val="000000"/>
                <w:sz w:val="24"/>
                <w:szCs w:val="24"/>
              </w:rPr>
            </w:pPr>
            <w:r>
              <w:rPr>
                <w:rFonts w:hint="eastAsia" w:ascii="宋体" w:hAnsi="宋体"/>
                <w:color w:val="000000"/>
                <w:sz w:val="24"/>
                <w:szCs w:val="24"/>
              </w:rPr>
              <w:t>签约日期：</w:t>
            </w:r>
          </w:p>
        </w:tc>
      </w:tr>
    </w:tbl>
    <w:p w14:paraId="4973C830">
      <w:pPr>
        <w:rPr>
          <w:rFonts w:hint="eastAsia"/>
          <w:color w:val="000000"/>
          <w:sz w:val="24"/>
          <w:szCs w:val="24"/>
        </w:rPr>
      </w:pPr>
    </w:p>
    <w:p w14:paraId="009240C2">
      <w:pPr>
        <w:rPr>
          <w:rFonts w:hint="eastAsia"/>
          <w:color w:val="000000"/>
          <w:sz w:val="24"/>
          <w:szCs w:val="24"/>
        </w:rPr>
      </w:pPr>
    </w:p>
    <w:p w14:paraId="63080826">
      <w:pPr>
        <w:rPr>
          <w:rFonts w:hint="eastAsia"/>
          <w:color w:val="000000"/>
          <w:sz w:val="24"/>
        </w:rPr>
      </w:pPr>
      <w:r>
        <w:rPr>
          <w:rFonts w:hint="eastAsia"/>
          <w:color w:val="000000"/>
          <w:sz w:val="24"/>
        </w:rPr>
        <w:br w:type="page"/>
      </w:r>
    </w:p>
    <w:p w14:paraId="6E5A652A">
      <w:pPr>
        <w:jc w:val="left"/>
        <w:rPr>
          <w:rFonts w:hint="eastAsia" w:ascii="宋体" w:hAnsi="宋体" w:cs="宋体"/>
          <w:b/>
          <w:color w:val="000000"/>
          <w:kern w:val="0"/>
          <w:sz w:val="36"/>
          <w:szCs w:val="36"/>
          <w:lang w:val="en-US" w:eastAsia="zh-CN"/>
        </w:rPr>
      </w:pPr>
      <w:r>
        <w:rPr>
          <w:rFonts w:hint="eastAsia" w:ascii="宋体" w:hAnsi="宋体" w:cs="宋体"/>
          <w:b/>
          <w:color w:val="000000"/>
          <w:kern w:val="0"/>
          <w:sz w:val="36"/>
          <w:szCs w:val="36"/>
        </w:rPr>
        <w:t>附件</w:t>
      </w:r>
      <w:r>
        <w:rPr>
          <w:rFonts w:hint="eastAsia" w:ascii="宋体" w:hAnsi="宋体" w:cs="宋体"/>
          <w:b/>
          <w:color w:val="000000"/>
          <w:kern w:val="0"/>
          <w:sz w:val="36"/>
          <w:szCs w:val="36"/>
          <w:lang w:val="en-US" w:eastAsia="zh-CN"/>
        </w:rPr>
        <w:t>6</w:t>
      </w:r>
      <w:r>
        <w:rPr>
          <w:rFonts w:hint="default" w:ascii="宋体" w:hAnsi="宋体" w:cs="宋体"/>
          <w:b/>
          <w:color w:val="000000"/>
          <w:kern w:val="0"/>
          <w:sz w:val="36"/>
          <w:szCs w:val="36"/>
        </w:rPr>
        <w:t xml:space="preserve">               </w:t>
      </w:r>
      <w:r>
        <w:rPr>
          <w:rFonts w:hint="eastAsia" w:ascii="宋体" w:hAnsi="宋体" w:cs="宋体"/>
          <w:b/>
          <w:color w:val="000000"/>
          <w:kern w:val="0"/>
          <w:sz w:val="36"/>
          <w:szCs w:val="36"/>
          <w:lang w:val="en-US" w:eastAsia="zh-CN"/>
        </w:rPr>
        <w:t>负面行为规则</w:t>
      </w:r>
    </w:p>
    <w:p w14:paraId="0E8A11A1">
      <w:pPr>
        <w:pStyle w:val="8"/>
        <w:rPr>
          <w:rFonts w:hint="eastAsia" w:ascii="宋体" w:hAnsi="宋体" w:cs="宋体"/>
          <w:b/>
          <w:color w:val="000000"/>
          <w:kern w:val="0"/>
          <w:sz w:val="36"/>
          <w:szCs w:val="36"/>
          <w:lang w:val="en-US" w:eastAsia="zh-CN"/>
        </w:rPr>
      </w:pPr>
    </w:p>
    <w:p w14:paraId="6E3A9A25">
      <w:pPr>
        <w:pStyle w:val="37"/>
        <w:keepNext w:val="0"/>
        <w:keepLines w:val="0"/>
        <w:pageBreakBefore w:val="0"/>
        <w:widowControl w:val="0"/>
        <w:tabs>
          <w:tab w:val="left" w:pos="283"/>
        </w:tabs>
        <w:kinsoku/>
        <w:wordWrap/>
        <w:overflowPunct/>
        <w:topLinePunct w:val="0"/>
        <w:autoSpaceDE/>
        <w:autoSpaceDN/>
        <w:bidi w:val="0"/>
        <w:adjustRightInd w:val="0"/>
        <w:snapToGrid w:val="0"/>
        <w:spacing w:line="360" w:lineRule="auto"/>
        <w:ind w:firstLine="0" w:firstLineChars="0"/>
        <w:rPr>
          <w:rFonts w:hint="eastAsia" w:ascii="宋体" w:hAnsi="宋体" w:eastAsia="宋体" w:cs="宋体"/>
          <w:b/>
          <w:bCs w:val="0"/>
          <w:sz w:val="24"/>
          <w:szCs w:val="24"/>
        </w:rPr>
      </w:pPr>
      <w:r>
        <w:rPr>
          <w:rFonts w:hint="eastAsia" w:ascii="宋体" w:hAnsi="宋体" w:eastAsia="宋体" w:cs="宋体"/>
          <w:b/>
          <w:bCs w:val="0"/>
          <w:snapToGrid w:val="0"/>
          <w:kern w:val="0"/>
          <w:sz w:val="24"/>
          <w:szCs w:val="24"/>
          <w:lang w:eastAsia="zh-CN"/>
        </w:rPr>
        <w:t>一、</w:t>
      </w:r>
      <w:r>
        <w:rPr>
          <w:rFonts w:hint="eastAsia" w:ascii="宋体" w:hAnsi="宋体" w:eastAsia="宋体" w:cs="宋体"/>
          <w:b/>
          <w:bCs w:val="0"/>
          <w:snapToGrid w:val="0"/>
          <w:kern w:val="0"/>
          <w:sz w:val="24"/>
          <w:szCs w:val="24"/>
        </w:rPr>
        <w:t>负面行</w:t>
      </w:r>
      <w:r>
        <w:rPr>
          <w:rFonts w:hint="eastAsia" w:ascii="宋体" w:hAnsi="宋体" w:eastAsia="宋体" w:cs="宋体"/>
          <w:b/>
          <w:bCs w:val="0"/>
          <w:sz w:val="24"/>
          <w:szCs w:val="24"/>
        </w:rPr>
        <w:t>为认定与分级</w:t>
      </w:r>
    </w:p>
    <w:p w14:paraId="577A55FE">
      <w:pPr>
        <w:pStyle w:val="37"/>
        <w:keepNext w:val="0"/>
        <w:keepLines w:val="0"/>
        <w:pageBreakBefore w:val="0"/>
        <w:widowControl w:val="0"/>
        <w:numPr>
          <w:ilvl w:val="0"/>
          <w:numId w:val="4"/>
        </w:numPr>
        <w:tabs>
          <w:tab w:val="left" w:pos="1800"/>
          <w:tab w:val="clear" w:pos="1418"/>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供应商负面行为包括向采购人、采购评审委员会、采购代理人、检测单位等中国移动江苏公司采购相关方及相关人员行贿或违法违规提供不正当利益的行为；参加采购活动期间，提供虚假资质或业绩证明材料或其他弄虚作假行为；采用串通等不正当手段谋取中标中选、诋毁排挤其他供应商或与检测单位串通伪造检测结果的行为；在合同履约过程中不诚信履约、出现质量不合格、交付延迟、服务不到位等行为以及其他经中国移动江苏公司认定的负面行为。</w:t>
      </w:r>
    </w:p>
    <w:p w14:paraId="6E82C855">
      <w:pPr>
        <w:pStyle w:val="37"/>
        <w:keepNext w:val="0"/>
        <w:keepLines w:val="0"/>
        <w:pageBreakBefore w:val="0"/>
        <w:widowControl w:val="0"/>
        <w:numPr>
          <w:ilvl w:val="0"/>
          <w:numId w:val="4"/>
        </w:numPr>
        <w:tabs>
          <w:tab w:val="left" w:pos="1800"/>
          <w:tab w:val="clear" w:pos="1418"/>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根据供应商负面行为给中国移动江苏公司通信网络建设、生产运营、优质服务、企业形象造成的负面影响程度和经济损失不同，依次分为一般负面行为、严重负面行为和特别严重负面行为。</w:t>
      </w:r>
    </w:p>
    <w:p w14:paraId="333F2CF7">
      <w:pPr>
        <w:pStyle w:val="37"/>
        <w:keepNext w:val="0"/>
        <w:keepLines w:val="0"/>
        <w:pageBreakBefore w:val="0"/>
        <w:widowControl w:val="0"/>
        <w:numPr>
          <w:ilvl w:val="0"/>
          <w:numId w:val="4"/>
        </w:numPr>
        <w:tabs>
          <w:tab w:val="left" w:pos="1800"/>
          <w:tab w:val="clear" w:pos="1418"/>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有下列情况之一者，为一般负面行为：</w:t>
      </w:r>
    </w:p>
    <w:p w14:paraId="0DB06B7C">
      <w:pPr>
        <w:pStyle w:val="37"/>
        <w:keepNext w:val="0"/>
        <w:keepLines w:val="0"/>
        <w:pageBreakBefore w:val="0"/>
        <w:widowControl w:val="0"/>
        <w:numPr>
          <w:ilvl w:val="0"/>
          <w:numId w:val="5"/>
        </w:numPr>
        <w:tabs>
          <w:tab w:val="left" w:pos="1580"/>
          <w:tab w:val="left" w:pos="1619"/>
          <w:tab w:val="clear" w:pos="1080"/>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产品质量不符合合格标准，或延期交货，或服务不到位，且被责任追究的；</w:t>
      </w:r>
    </w:p>
    <w:p w14:paraId="144867F7">
      <w:pPr>
        <w:pStyle w:val="37"/>
        <w:keepNext w:val="0"/>
        <w:keepLines w:val="0"/>
        <w:pageBreakBefore w:val="0"/>
        <w:widowControl w:val="0"/>
        <w:numPr>
          <w:ilvl w:val="0"/>
          <w:numId w:val="5"/>
        </w:numPr>
        <w:tabs>
          <w:tab w:val="left" w:pos="1580"/>
          <w:tab w:val="left" w:pos="1619"/>
          <w:tab w:val="clear" w:pos="1080"/>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故意修改采购文件明确列明的技术参数并进行响应的；</w:t>
      </w:r>
    </w:p>
    <w:p w14:paraId="17D679AD">
      <w:pPr>
        <w:pStyle w:val="37"/>
        <w:keepNext w:val="0"/>
        <w:keepLines w:val="0"/>
        <w:pageBreakBefore w:val="0"/>
        <w:widowControl w:val="0"/>
        <w:numPr>
          <w:ilvl w:val="0"/>
          <w:numId w:val="5"/>
        </w:numPr>
        <w:tabs>
          <w:tab w:val="left" w:pos="1580"/>
          <w:tab w:val="left" w:pos="1619"/>
          <w:tab w:val="clear" w:pos="1080"/>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转包、违法分包合同标的情节严重的；</w:t>
      </w:r>
    </w:p>
    <w:p w14:paraId="467EFF9D">
      <w:pPr>
        <w:pStyle w:val="37"/>
        <w:keepNext w:val="0"/>
        <w:keepLines w:val="0"/>
        <w:pageBreakBefore w:val="0"/>
        <w:widowControl w:val="0"/>
        <w:numPr>
          <w:ilvl w:val="0"/>
          <w:numId w:val="5"/>
        </w:numPr>
        <w:tabs>
          <w:tab w:val="left" w:pos="1619"/>
          <w:tab w:val="clear" w:pos="1080"/>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没有按照承诺使用承诺品牌、承诺参数的元器件或原材料被责任追究的，或供应产品到货配置与订单配置不一致且导致中国移动江苏公司利益受损的；</w:t>
      </w:r>
    </w:p>
    <w:p w14:paraId="57D69FCA">
      <w:pPr>
        <w:pStyle w:val="37"/>
        <w:keepNext w:val="0"/>
        <w:keepLines w:val="0"/>
        <w:pageBreakBefore w:val="0"/>
        <w:widowControl w:val="0"/>
        <w:numPr>
          <w:ilvl w:val="0"/>
          <w:numId w:val="5"/>
        </w:numPr>
        <w:tabs>
          <w:tab w:val="left" w:pos="1580"/>
          <w:tab w:val="left" w:pos="1619"/>
          <w:tab w:val="clear" w:pos="1080"/>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因供应商产品质量问题或供应商操作等原因造成中国移动江苏公司网络故障，达到《电信网络运行监督管理办法》（工信部电管〔2009〕187号，以下简称：《监督管理办法》）定义的重大事故，或达到《中国移动全网重大通信故障定义》（以下简称：《故障定义》）定义的故障情形且造成重大影响（被国家级新闻媒体和各大门户网站集体进行负面报道等情况）的重大事件。如前述事故或故障同时符合《监督管理办法》和《故障定义》的相应情形定义，则以《监督管理办法》定义的情形为准；</w:t>
      </w:r>
    </w:p>
    <w:p w14:paraId="1E014CCC">
      <w:pPr>
        <w:pStyle w:val="37"/>
        <w:keepNext w:val="0"/>
        <w:keepLines w:val="0"/>
        <w:pageBreakBefore w:val="0"/>
        <w:widowControl w:val="0"/>
        <w:numPr>
          <w:ilvl w:val="0"/>
          <w:numId w:val="5"/>
        </w:numPr>
        <w:tabs>
          <w:tab w:val="left" w:pos="1619"/>
          <w:tab w:val="clear" w:pos="1080"/>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其他经中国移动江苏公司认定为一般负面行为的。</w:t>
      </w:r>
    </w:p>
    <w:p w14:paraId="1C2FC76F">
      <w:pPr>
        <w:pStyle w:val="37"/>
        <w:keepNext w:val="0"/>
        <w:keepLines w:val="0"/>
        <w:pageBreakBefore w:val="0"/>
        <w:widowControl w:val="0"/>
        <w:numPr>
          <w:ilvl w:val="0"/>
          <w:numId w:val="4"/>
        </w:numPr>
        <w:tabs>
          <w:tab w:val="left" w:pos="1800"/>
          <w:tab w:val="clear" w:pos="1418"/>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有下列情况之一者，为严重负面行为：</w:t>
      </w:r>
    </w:p>
    <w:p w14:paraId="6AFEB3C5">
      <w:pPr>
        <w:pStyle w:val="37"/>
        <w:keepNext w:val="0"/>
        <w:keepLines w:val="0"/>
        <w:pageBreakBefore w:val="0"/>
        <w:widowControl w:val="0"/>
        <w:numPr>
          <w:ilvl w:val="0"/>
          <w:numId w:val="6"/>
        </w:numPr>
        <w:tabs>
          <w:tab w:val="left" w:pos="1620"/>
          <w:tab w:val="clear" w:pos="1080"/>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在采购活动中供应商以他人名义参加采购或弄虚作假的，包括但不限于使用伪造变造的许可证件，提供虚假的财务状况或者业绩，提供虚假的项目负责人或者主要技术人员简历、劳动关系证明，提供虚假的信用状况以及与检测单位串通伪造检测结果的行为等；</w:t>
      </w:r>
    </w:p>
    <w:p w14:paraId="02A6F200">
      <w:pPr>
        <w:pStyle w:val="37"/>
        <w:keepNext w:val="0"/>
        <w:keepLines w:val="0"/>
        <w:pageBreakBefore w:val="0"/>
        <w:widowControl w:val="0"/>
        <w:numPr>
          <w:ilvl w:val="0"/>
          <w:numId w:val="6"/>
        </w:numPr>
        <w:tabs>
          <w:tab w:val="left" w:pos="1620"/>
          <w:tab w:val="clear" w:pos="1080"/>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在采购活动中供应商相互串通或者与采购人及采购相关方串通的，包括但不限于相互协商报价等实质性内容，约定中选人，约定部分供应商放弃参加采购或者中选，按照同一集团、协会、商会等组织要求协同投标，为谋取中选或者排斥特定供应商而采取联合行动，非法获知标底或评审委员会成员信息等；</w:t>
      </w:r>
    </w:p>
    <w:p w14:paraId="3D2CD5B8">
      <w:pPr>
        <w:pStyle w:val="37"/>
        <w:keepNext w:val="0"/>
        <w:keepLines w:val="0"/>
        <w:pageBreakBefore w:val="0"/>
        <w:widowControl w:val="0"/>
        <w:numPr>
          <w:ilvl w:val="0"/>
          <w:numId w:val="6"/>
        </w:numPr>
        <w:tabs>
          <w:tab w:val="left" w:pos="1620"/>
          <w:tab w:val="clear" w:pos="1080"/>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不按采购文件及应答文件承诺签订合同或框架协议的，包括但不限于已列入中选候选人的供应商，在发布候选人公示之日后自愿放弃中选资格或拒绝签订合同文件的以及在合同执行过程中因非不可抗力因素不履约的；</w:t>
      </w:r>
    </w:p>
    <w:p w14:paraId="202842C3">
      <w:pPr>
        <w:pStyle w:val="37"/>
        <w:keepNext w:val="0"/>
        <w:keepLines w:val="0"/>
        <w:pageBreakBefore w:val="0"/>
        <w:widowControl w:val="0"/>
        <w:numPr>
          <w:ilvl w:val="0"/>
          <w:numId w:val="6"/>
        </w:numPr>
        <w:tabs>
          <w:tab w:val="left" w:pos="1620"/>
          <w:tab w:val="clear" w:pos="1080"/>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对采购人或其他供应商进行诋毁、恶意异议或恶意投诉的，或者对其他供应商、采购人等采购活动的相关方采取威胁、欺骗等非法手段的。恶意异议或恶意投诉包括但不限于捏造事实，伪造材料，以非法手段取得证明材料，异议或投诉受理并正式答复后，在不能提供新的有效证据情况下仍就同一问题再次进行异议或投诉的行为等；</w:t>
      </w:r>
    </w:p>
    <w:p w14:paraId="1FE2A8C1">
      <w:pPr>
        <w:pStyle w:val="37"/>
        <w:keepNext w:val="0"/>
        <w:keepLines w:val="0"/>
        <w:pageBreakBefore w:val="0"/>
        <w:widowControl w:val="0"/>
        <w:numPr>
          <w:ilvl w:val="0"/>
          <w:numId w:val="6"/>
        </w:numPr>
        <w:tabs>
          <w:tab w:val="left" w:pos="1620"/>
          <w:tab w:val="clear" w:pos="1080"/>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因供应商产品质量问题或供应商操作等原因造成中国移动网络故障，并达到《监督管理办法》定义的特别重大事故；</w:t>
      </w:r>
    </w:p>
    <w:p w14:paraId="17293189">
      <w:pPr>
        <w:pStyle w:val="37"/>
        <w:keepNext w:val="0"/>
        <w:keepLines w:val="0"/>
        <w:pageBreakBefore w:val="0"/>
        <w:widowControl w:val="0"/>
        <w:numPr>
          <w:ilvl w:val="0"/>
          <w:numId w:val="6"/>
        </w:numPr>
        <w:tabs>
          <w:tab w:val="left" w:pos="1620"/>
          <w:tab w:val="clear" w:pos="1080"/>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因供应商产品质量问题或供应商操作等原因造成中国移动安全生产事故，并达到国家《生产安全事故报告和调查处理条例》（国务院令第493号，以下简称：《生产安全事故条例》）定义的一般事故级别的；</w:t>
      </w:r>
    </w:p>
    <w:p w14:paraId="5F90120E">
      <w:pPr>
        <w:pStyle w:val="37"/>
        <w:keepNext w:val="0"/>
        <w:keepLines w:val="0"/>
        <w:pageBreakBefore w:val="0"/>
        <w:widowControl w:val="0"/>
        <w:numPr>
          <w:ilvl w:val="0"/>
          <w:numId w:val="6"/>
        </w:numPr>
        <w:tabs>
          <w:tab w:val="left" w:pos="1620"/>
          <w:tab w:val="clear" w:pos="1080"/>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违反合同保密条款的；</w:t>
      </w:r>
    </w:p>
    <w:p w14:paraId="15683B4D">
      <w:pPr>
        <w:pStyle w:val="37"/>
        <w:keepNext w:val="0"/>
        <w:keepLines w:val="0"/>
        <w:pageBreakBefore w:val="0"/>
        <w:widowControl w:val="0"/>
        <w:numPr>
          <w:ilvl w:val="0"/>
          <w:numId w:val="6"/>
        </w:numPr>
        <w:tabs>
          <w:tab w:val="left" w:pos="1620"/>
          <w:tab w:val="clear" w:pos="1080"/>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其他经中国移动江苏公司认定为严重负面行为的。</w:t>
      </w:r>
    </w:p>
    <w:p w14:paraId="755E8E19">
      <w:pPr>
        <w:pStyle w:val="37"/>
        <w:keepNext w:val="0"/>
        <w:keepLines w:val="0"/>
        <w:pageBreakBefore w:val="0"/>
        <w:widowControl w:val="0"/>
        <w:numPr>
          <w:ilvl w:val="0"/>
          <w:numId w:val="4"/>
        </w:numPr>
        <w:tabs>
          <w:tab w:val="left" w:pos="1800"/>
          <w:tab w:val="clear" w:pos="1418"/>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有下列情况之一者，为特别严重负面行为：</w:t>
      </w:r>
    </w:p>
    <w:p w14:paraId="275E297D">
      <w:pPr>
        <w:pStyle w:val="37"/>
        <w:keepNext w:val="0"/>
        <w:keepLines w:val="0"/>
        <w:pageBreakBefore w:val="0"/>
        <w:widowControl w:val="0"/>
        <w:numPr>
          <w:ilvl w:val="0"/>
          <w:numId w:val="7"/>
        </w:numPr>
        <w:tabs>
          <w:tab w:val="left" w:pos="1619"/>
        </w:tabs>
        <w:kinsoku/>
        <w:wordWrap/>
        <w:overflowPunct/>
        <w:topLinePunct w:val="0"/>
        <w:autoSpaceDE/>
        <w:autoSpaceDN/>
        <w:bidi w:val="0"/>
        <w:adjustRightInd w:val="0"/>
        <w:snapToGrid w:val="0"/>
        <w:spacing w:line="360" w:lineRule="auto"/>
        <w:ind w:left="0" w:firstLine="640"/>
        <w:jc w:val="left"/>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司法、纪检监察部门认定供应商向采购人、评审委员会成员、采购代理机构、检测单位等中国移动江苏公司采购相关方及相关人员行贿或违法违规提供不正当利益的；</w:t>
      </w:r>
    </w:p>
    <w:p w14:paraId="1DDC64A0">
      <w:pPr>
        <w:pStyle w:val="37"/>
        <w:keepNext w:val="0"/>
        <w:keepLines w:val="0"/>
        <w:pageBreakBefore w:val="0"/>
        <w:widowControl w:val="0"/>
        <w:numPr>
          <w:ilvl w:val="0"/>
          <w:numId w:val="7"/>
        </w:numPr>
        <w:tabs>
          <w:tab w:val="left" w:pos="1620"/>
        </w:tabs>
        <w:kinsoku/>
        <w:wordWrap/>
        <w:overflowPunct/>
        <w:topLinePunct w:val="0"/>
        <w:autoSpaceDE/>
        <w:autoSpaceDN/>
        <w:bidi w:val="0"/>
        <w:adjustRightInd w:val="0"/>
        <w:snapToGrid w:val="0"/>
        <w:spacing w:line="360" w:lineRule="auto"/>
        <w:ind w:left="0" w:firstLine="640"/>
        <w:jc w:val="left"/>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因供应商产品质量问题或供应商操作等原因造成中国移动江苏公司安全生产事故，并达到《生产安全事故条例》定义的较大事故及以上级别事故的；</w:t>
      </w:r>
    </w:p>
    <w:p w14:paraId="2B08720C">
      <w:pPr>
        <w:pStyle w:val="37"/>
        <w:keepNext w:val="0"/>
        <w:keepLines w:val="0"/>
        <w:pageBreakBefore w:val="0"/>
        <w:widowControl w:val="0"/>
        <w:numPr>
          <w:ilvl w:val="0"/>
          <w:numId w:val="7"/>
        </w:numPr>
        <w:tabs>
          <w:tab w:val="left" w:pos="1620"/>
        </w:tabs>
        <w:kinsoku/>
        <w:wordWrap/>
        <w:overflowPunct/>
        <w:topLinePunct w:val="0"/>
        <w:autoSpaceDE/>
        <w:autoSpaceDN/>
        <w:bidi w:val="0"/>
        <w:adjustRightInd w:val="0"/>
        <w:snapToGrid w:val="0"/>
        <w:spacing w:line="360" w:lineRule="auto"/>
        <w:ind w:left="0" w:firstLine="640"/>
        <w:jc w:val="left"/>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其他经中国移动江苏公司认定为特别严重负面行为的。</w:t>
      </w:r>
    </w:p>
    <w:p w14:paraId="09A058A4">
      <w:pPr>
        <w:pStyle w:val="37"/>
        <w:keepNext w:val="0"/>
        <w:keepLines w:val="0"/>
        <w:pageBreakBefore w:val="0"/>
        <w:widowControl w:val="0"/>
        <w:tabs>
          <w:tab w:val="left" w:pos="283"/>
        </w:tabs>
        <w:kinsoku/>
        <w:wordWrap/>
        <w:overflowPunct/>
        <w:topLinePunct w:val="0"/>
        <w:autoSpaceDE/>
        <w:autoSpaceDN/>
        <w:bidi w:val="0"/>
        <w:adjustRightInd w:val="0"/>
        <w:snapToGrid w:val="0"/>
        <w:spacing w:line="360" w:lineRule="auto"/>
        <w:ind w:firstLine="0" w:firstLineChars="0"/>
        <w:rPr>
          <w:rFonts w:hint="eastAsia" w:ascii="宋体" w:hAnsi="宋体" w:eastAsia="宋体" w:cs="宋体"/>
          <w:b w:val="0"/>
          <w:bCs/>
          <w:sz w:val="24"/>
          <w:szCs w:val="24"/>
        </w:rPr>
      </w:pPr>
      <w:r>
        <w:rPr>
          <w:rFonts w:hint="eastAsia" w:ascii="宋体" w:hAnsi="宋体" w:eastAsia="宋体" w:cs="宋体"/>
          <w:b/>
          <w:bCs w:val="0"/>
          <w:snapToGrid w:val="0"/>
          <w:kern w:val="0"/>
          <w:sz w:val="24"/>
          <w:szCs w:val="24"/>
          <w:lang w:eastAsia="zh-CN"/>
        </w:rPr>
        <w:t>二、 责任追究措施</w:t>
      </w:r>
    </w:p>
    <w:p w14:paraId="05D7B329">
      <w:pPr>
        <w:pStyle w:val="37"/>
        <w:keepNext w:val="0"/>
        <w:keepLines w:val="0"/>
        <w:pageBreakBefore w:val="0"/>
        <w:widowControl w:val="0"/>
        <w:numPr>
          <w:ilvl w:val="0"/>
          <w:numId w:val="4"/>
        </w:numPr>
        <w:tabs>
          <w:tab w:val="left" w:pos="1800"/>
          <w:tab w:val="clear" w:pos="1418"/>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供应商因其负面行为被追究责任的，其基于合同约定应承担的违约责任仍应继续承担。对供应商负面行为的处理不替代对供应商合同项下法律责任的追究。</w:t>
      </w:r>
    </w:p>
    <w:p w14:paraId="496BEDA2">
      <w:pPr>
        <w:pStyle w:val="37"/>
        <w:keepNext w:val="0"/>
        <w:keepLines w:val="0"/>
        <w:pageBreakBefore w:val="0"/>
        <w:widowControl w:val="0"/>
        <w:numPr>
          <w:ilvl w:val="0"/>
          <w:numId w:val="4"/>
        </w:numPr>
        <w:tabs>
          <w:tab w:val="left" w:pos="1800"/>
          <w:tab w:val="clear" w:pos="1418"/>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根据供应商负面行为分级情况和产品是否充分竞争属性不同，对发生负面行为的供应商给予所有充分竞争采购领域的产品禁止合作三年、相应产品类别禁止合作三年、扣减后续采购综合评审得分或绩效评估得分、终止剩余份额执行等追究措施。</w:t>
      </w:r>
    </w:p>
    <w:p w14:paraId="3FBF32BE">
      <w:pPr>
        <w:pStyle w:val="37"/>
        <w:keepNext w:val="0"/>
        <w:keepLines w:val="0"/>
        <w:pageBreakBefore w:val="0"/>
        <w:widowControl w:val="0"/>
        <w:numPr>
          <w:ilvl w:val="0"/>
          <w:numId w:val="4"/>
        </w:numPr>
        <w:tabs>
          <w:tab w:val="left" w:pos="1800"/>
          <w:tab w:val="clear" w:pos="1418"/>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施工、设计、监理类等项目负责人承担主要责任的供应商如发生负面行为，根据供应商负面行为分级情况，对该项目负责人实行所有产品禁止合作三年、相应产品类别禁止合作三年等追究措施。</w:t>
      </w:r>
    </w:p>
    <w:p w14:paraId="668DBD4E">
      <w:pPr>
        <w:pStyle w:val="37"/>
        <w:keepNext w:val="0"/>
        <w:keepLines w:val="0"/>
        <w:pageBreakBefore w:val="0"/>
        <w:widowControl w:val="0"/>
        <w:numPr>
          <w:ilvl w:val="0"/>
          <w:numId w:val="4"/>
        </w:numPr>
        <w:tabs>
          <w:tab w:val="left" w:pos="1800"/>
          <w:tab w:val="clear" w:pos="1418"/>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供应商人员或其他相关人员实施行贿或提供不正当利益的，应处以行贿人员禁入，终身不得代表任何供应商参与中国移动江苏公司的采购活动。行贿人员禁入情况应在中国移动江苏公司及各单位进行公告，其他责任追究情况应在相关网站公告。</w:t>
      </w:r>
    </w:p>
    <w:p w14:paraId="4895CA62">
      <w:pPr>
        <w:pStyle w:val="37"/>
        <w:keepNext w:val="0"/>
        <w:keepLines w:val="0"/>
        <w:pageBreakBefore w:val="0"/>
        <w:widowControl w:val="0"/>
        <w:numPr>
          <w:ilvl w:val="0"/>
          <w:numId w:val="4"/>
        </w:numPr>
        <w:tabs>
          <w:tab w:val="left" w:pos="1800"/>
          <w:tab w:val="clear" w:pos="1418"/>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对所有受责任追究的供应商及项目负责人应进行约谈并记录存档。</w:t>
      </w:r>
    </w:p>
    <w:p w14:paraId="6AF41049">
      <w:pPr>
        <w:pStyle w:val="37"/>
        <w:keepNext w:val="0"/>
        <w:keepLines w:val="0"/>
        <w:pageBreakBefore w:val="0"/>
        <w:widowControl w:val="0"/>
        <w:numPr>
          <w:ilvl w:val="0"/>
          <w:numId w:val="4"/>
        </w:numPr>
        <w:tabs>
          <w:tab w:val="left" w:pos="1800"/>
          <w:tab w:val="clear" w:pos="1418"/>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在实施采购时，对发生负面行为的供应商或项目负责人应按照供应商负面行为责任追究措施</w:t>
      </w:r>
      <w:r>
        <w:rPr>
          <w:rFonts w:hint="eastAsia" w:ascii="宋体" w:hAnsi="宋体" w:eastAsia="宋体" w:cs="宋体"/>
          <w:b w:val="0"/>
          <w:bCs/>
          <w:color w:val="000000" w:themeColor="text1"/>
          <w:sz w:val="24"/>
          <w:szCs w:val="24"/>
          <w14:textFill>
            <w14:solidFill>
              <w14:schemeClr w14:val="tx1"/>
            </w14:solidFill>
          </w14:textFill>
        </w:rPr>
        <w:t>表（见附件）所述</w:t>
      </w:r>
      <w:r>
        <w:rPr>
          <w:rFonts w:hint="eastAsia" w:ascii="宋体" w:hAnsi="宋体" w:eastAsia="宋体" w:cs="宋体"/>
          <w:b w:val="0"/>
          <w:bCs/>
          <w:sz w:val="24"/>
          <w:szCs w:val="24"/>
        </w:rPr>
        <w:t>规则进行责任追究。</w:t>
      </w:r>
    </w:p>
    <w:p w14:paraId="55DD97FA">
      <w:pPr>
        <w:pStyle w:val="37"/>
        <w:keepNext w:val="0"/>
        <w:keepLines w:val="0"/>
        <w:pageBreakBefore w:val="0"/>
        <w:widowControl w:val="0"/>
        <w:numPr>
          <w:ilvl w:val="0"/>
          <w:numId w:val="4"/>
        </w:numPr>
        <w:tabs>
          <w:tab w:val="left" w:pos="1800"/>
          <w:tab w:val="clear" w:pos="1418"/>
        </w:tabs>
        <w:kinsoku/>
        <w:wordWrap/>
        <w:overflowPunct/>
        <w:topLinePunct w:val="0"/>
        <w:autoSpaceDE/>
        <w:autoSpaceDN/>
        <w:bidi w:val="0"/>
        <w:adjustRightInd w:val="0"/>
        <w:snapToGrid w:val="0"/>
        <w:spacing w:line="360" w:lineRule="auto"/>
        <w:ind w:left="0" w:firstLine="640"/>
        <w:textAlignment w:val="baseline"/>
        <w:rPr>
          <w:rFonts w:hint="eastAsia" w:ascii="宋体" w:hAnsi="宋体" w:eastAsia="宋体" w:cs="宋体"/>
          <w:b w:val="0"/>
          <w:bCs/>
          <w:sz w:val="24"/>
          <w:szCs w:val="24"/>
        </w:rPr>
      </w:pPr>
      <w:r>
        <w:rPr>
          <w:rFonts w:hint="eastAsia" w:ascii="宋体" w:hAnsi="宋体" w:eastAsia="宋体" w:cs="宋体"/>
          <w:b w:val="0"/>
          <w:bCs/>
          <w:sz w:val="24"/>
          <w:szCs w:val="24"/>
        </w:rPr>
        <w:t xml:space="preserve">供应商被国家有关行政监督部门取消投标资格的，应按照处罚决定执行。 </w:t>
      </w:r>
    </w:p>
    <w:p w14:paraId="32202F0A">
      <w:pPr>
        <w:pStyle w:val="8"/>
        <w:rPr>
          <w:rFonts w:hint="eastAsia" w:ascii="宋体" w:hAnsi="宋体" w:cs="宋体"/>
          <w:b/>
          <w:color w:val="000000"/>
          <w:kern w:val="0"/>
          <w:sz w:val="36"/>
          <w:szCs w:val="36"/>
          <w:lang w:val="en-US" w:eastAsia="zh-CN"/>
        </w:rPr>
      </w:pPr>
    </w:p>
    <w:tbl>
      <w:tblPr>
        <w:tblStyle w:val="15"/>
        <w:tblW w:w="5000" w:type="pct"/>
        <w:tblInd w:w="0" w:type="dxa"/>
        <w:tblLayout w:type="autofit"/>
        <w:tblCellMar>
          <w:top w:w="0" w:type="dxa"/>
          <w:left w:w="108" w:type="dxa"/>
          <w:bottom w:w="0" w:type="dxa"/>
          <w:right w:w="108" w:type="dxa"/>
        </w:tblCellMar>
      </w:tblPr>
      <w:tblGrid>
        <w:gridCol w:w="4264"/>
        <w:gridCol w:w="4264"/>
      </w:tblGrid>
      <w:tr w14:paraId="7A188321">
        <w:tblPrEx>
          <w:tblCellMar>
            <w:top w:w="0" w:type="dxa"/>
            <w:left w:w="108" w:type="dxa"/>
            <w:bottom w:w="0" w:type="dxa"/>
            <w:right w:w="108" w:type="dxa"/>
          </w:tblCellMar>
        </w:tblPrEx>
        <w:trPr>
          <w:trHeight w:val="3312" w:hRule="atLeast"/>
        </w:trPr>
        <w:tc>
          <w:tcPr>
            <w:tcW w:w="2500" w:type="pct"/>
            <w:noWrap w:val="0"/>
            <w:vAlign w:val="top"/>
          </w:tcPr>
          <w:p w14:paraId="63251AAD">
            <w:pPr>
              <w:spacing w:before="120" w:after="120" w:line="360" w:lineRule="auto"/>
              <w:rPr>
                <w:rFonts w:ascii="宋体" w:hAnsi="宋体"/>
                <w:color w:val="000000"/>
                <w:sz w:val="24"/>
              </w:rPr>
            </w:pPr>
            <w:r>
              <w:rPr>
                <w:rFonts w:hint="eastAsia" w:ascii="宋体" w:hAnsi="宋体"/>
                <w:color w:val="000000"/>
                <w:sz w:val="24"/>
              </w:rPr>
              <w:t>甲方名称：</w:t>
            </w:r>
            <w:r>
              <w:rPr>
                <w:rFonts w:hint="default" w:ascii="宋体" w:hAnsi="宋体"/>
                <w:b w:val="0"/>
                <w:bCs/>
                <w:sz w:val="24"/>
                <w:szCs w:val="24"/>
              </w:rPr>
              <w:t>江苏移动信息系统集成有限公司</w:t>
            </w:r>
            <w:r>
              <w:rPr>
                <w:rFonts w:hint="eastAsia" w:ascii="宋体" w:hAnsi="宋体"/>
                <w:color w:val="000000"/>
                <w:sz w:val="24"/>
              </w:rPr>
              <w:t>（盖章）</w:t>
            </w:r>
          </w:p>
          <w:p w14:paraId="7578E8D5">
            <w:pPr>
              <w:spacing w:before="120" w:after="120" w:line="360" w:lineRule="auto"/>
              <w:rPr>
                <w:rFonts w:ascii="宋体" w:hAnsi="宋体"/>
                <w:color w:val="000000"/>
                <w:sz w:val="24"/>
              </w:rPr>
            </w:pPr>
            <w:r>
              <w:rPr>
                <w:rFonts w:hint="eastAsia" w:ascii="宋体" w:hAnsi="宋体"/>
                <w:color w:val="000000"/>
                <w:sz w:val="24"/>
              </w:rPr>
              <w:t xml:space="preserve">    </w:t>
            </w:r>
          </w:p>
          <w:p w14:paraId="45BD282F">
            <w:pPr>
              <w:spacing w:before="120" w:after="120" w:line="360" w:lineRule="auto"/>
              <w:rPr>
                <w:rFonts w:ascii="宋体" w:hAnsi="宋体"/>
                <w:color w:val="000000"/>
                <w:sz w:val="24"/>
              </w:rPr>
            </w:pPr>
            <w:r>
              <w:rPr>
                <w:rFonts w:hint="eastAsia" w:ascii="宋体" w:hAnsi="宋体"/>
                <w:color w:val="000000"/>
                <w:sz w:val="24"/>
                <w:lang w:eastAsia="zh-CN"/>
              </w:rPr>
              <w:t>代表</w:t>
            </w:r>
            <w:r>
              <w:rPr>
                <w:rFonts w:hint="eastAsia" w:ascii="宋体" w:hAnsi="宋体"/>
                <w:color w:val="000000"/>
                <w:sz w:val="24"/>
              </w:rPr>
              <w:t>（签字）：</w:t>
            </w:r>
          </w:p>
          <w:p w14:paraId="201168AE">
            <w:pPr>
              <w:spacing w:before="120" w:after="120" w:line="360" w:lineRule="auto"/>
              <w:rPr>
                <w:rFonts w:ascii="宋体" w:hAnsi="宋体"/>
                <w:color w:val="000000"/>
                <w:sz w:val="24"/>
              </w:rPr>
            </w:pPr>
          </w:p>
          <w:p w14:paraId="4B62BA6C">
            <w:pPr>
              <w:spacing w:before="120" w:after="120" w:line="360" w:lineRule="auto"/>
              <w:rPr>
                <w:rFonts w:ascii="宋体" w:hAnsi="宋体"/>
                <w:color w:val="000000"/>
                <w:sz w:val="24"/>
              </w:rPr>
            </w:pPr>
            <w:r>
              <w:rPr>
                <w:rFonts w:hint="eastAsia" w:ascii="宋体" w:hAnsi="宋体"/>
                <w:color w:val="000000"/>
                <w:sz w:val="24"/>
              </w:rPr>
              <w:t>签约日期：</w:t>
            </w:r>
          </w:p>
        </w:tc>
        <w:tc>
          <w:tcPr>
            <w:tcW w:w="2500" w:type="pct"/>
            <w:noWrap w:val="0"/>
            <w:vAlign w:val="top"/>
          </w:tcPr>
          <w:p w14:paraId="549AEC14">
            <w:pPr>
              <w:spacing w:before="120" w:after="120" w:line="360" w:lineRule="auto"/>
              <w:rPr>
                <w:rFonts w:ascii="宋体" w:hAnsi="宋体"/>
                <w:color w:val="000000"/>
                <w:sz w:val="24"/>
              </w:rPr>
            </w:pPr>
            <w:r>
              <w:rPr>
                <w:rFonts w:hint="eastAsia" w:ascii="宋体" w:hAnsi="宋体"/>
                <w:color w:val="000000"/>
                <w:sz w:val="24"/>
                <w:lang w:val="en-US" w:eastAsia="zh-Hans"/>
              </w:rPr>
              <w:t>乙</w:t>
            </w:r>
            <w:r>
              <w:rPr>
                <w:rFonts w:hint="eastAsia" w:ascii="宋体" w:hAnsi="宋体"/>
                <w:color w:val="000000"/>
                <w:sz w:val="24"/>
              </w:rPr>
              <w:t>方名称：（盖章）</w:t>
            </w:r>
          </w:p>
          <w:p w14:paraId="1636498E">
            <w:pPr>
              <w:spacing w:before="120" w:after="120" w:line="360" w:lineRule="auto"/>
              <w:rPr>
                <w:rFonts w:hint="eastAsia" w:ascii="宋体" w:hAnsi="宋体"/>
                <w:color w:val="000000"/>
                <w:sz w:val="24"/>
              </w:rPr>
            </w:pPr>
            <w:r>
              <w:rPr>
                <w:rFonts w:hint="eastAsia" w:ascii="宋体" w:hAnsi="宋体"/>
                <w:color w:val="000000"/>
                <w:sz w:val="24"/>
              </w:rPr>
              <w:t xml:space="preserve"> </w:t>
            </w:r>
          </w:p>
          <w:p w14:paraId="1FFCE8BD">
            <w:pPr>
              <w:spacing w:before="120" w:after="120" w:line="360" w:lineRule="auto"/>
              <w:rPr>
                <w:rFonts w:ascii="宋体" w:hAnsi="宋体"/>
                <w:color w:val="000000"/>
                <w:sz w:val="24"/>
              </w:rPr>
            </w:pPr>
            <w:r>
              <w:rPr>
                <w:rFonts w:hint="eastAsia" w:ascii="宋体" w:hAnsi="宋体"/>
                <w:color w:val="000000"/>
                <w:sz w:val="24"/>
              </w:rPr>
              <w:t xml:space="preserve">   </w:t>
            </w:r>
          </w:p>
          <w:p w14:paraId="3D95B241">
            <w:pPr>
              <w:spacing w:before="120" w:after="120" w:line="360" w:lineRule="auto"/>
              <w:rPr>
                <w:rFonts w:ascii="宋体" w:hAnsi="宋体"/>
                <w:color w:val="000000"/>
                <w:sz w:val="24"/>
              </w:rPr>
            </w:pPr>
            <w:r>
              <w:rPr>
                <w:rFonts w:hint="eastAsia" w:ascii="宋体" w:hAnsi="宋体"/>
                <w:color w:val="000000"/>
                <w:sz w:val="24"/>
                <w:lang w:eastAsia="zh-CN"/>
              </w:rPr>
              <w:t>代表</w:t>
            </w:r>
            <w:r>
              <w:rPr>
                <w:rFonts w:hint="eastAsia" w:ascii="宋体" w:hAnsi="宋体"/>
                <w:color w:val="000000"/>
                <w:sz w:val="24"/>
              </w:rPr>
              <w:t>（签字）：</w:t>
            </w:r>
          </w:p>
          <w:p w14:paraId="26EC2058">
            <w:pPr>
              <w:spacing w:before="120" w:after="120" w:line="360" w:lineRule="auto"/>
              <w:rPr>
                <w:rFonts w:ascii="宋体" w:hAnsi="宋体"/>
                <w:color w:val="000000"/>
                <w:sz w:val="24"/>
              </w:rPr>
            </w:pPr>
          </w:p>
          <w:p w14:paraId="231B7219">
            <w:pPr>
              <w:spacing w:before="120" w:after="120" w:line="360" w:lineRule="auto"/>
              <w:rPr>
                <w:rFonts w:ascii="宋体" w:hAnsi="宋体"/>
                <w:color w:val="000000"/>
                <w:sz w:val="24"/>
              </w:rPr>
            </w:pPr>
            <w:r>
              <w:rPr>
                <w:rFonts w:hint="eastAsia" w:ascii="宋体" w:hAnsi="宋体"/>
                <w:color w:val="000000"/>
                <w:sz w:val="24"/>
              </w:rPr>
              <w:t>签约日期：</w:t>
            </w:r>
          </w:p>
        </w:tc>
      </w:tr>
    </w:tbl>
    <w:p w14:paraId="3234A764">
      <w:pPr>
        <w:pStyle w:val="8"/>
        <w:rPr>
          <w:rFonts w:hint="eastAsia"/>
        </w:rPr>
      </w:pPr>
    </w:p>
    <w:sectPr>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00"/>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_x000B__x000C_">
    <w:altName w:val="Arial Unicode MS"/>
    <w:panose1 w:val="00000000000000000000"/>
    <w:charset w:val="00"/>
    <w:family w:val="roman"/>
    <w:pitch w:val="default"/>
    <w:sig w:usb0="00000000" w:usb1="00000000" w:usb2="00000000" w:usb3="00000000" w:csb0="00040001" w:csb1="00000000"/>
  </w:font>
  <w:font w:name="Monaco">
    <w:panose1 w:val="020B0509030404040204"/>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7871A">
    <w:pPr>
      <w:pStyle w:val="11"/>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p w14:paraId="6B44EC89">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CE3F86">
    <w:pPr>
      <w:pStyle w:val="12"/>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Thousand"/>
      <w:lvlText w:val="第%1条"/>
      <w:lvlJc w:val="left"/>
      <w:pPr>
        <w:tabs>
          <w:tab w:val="left" w:pos="1418"/>
        </w:tabs>
        <w:ind w:left="596" w:firstLine="539"/>
      </w:pPr>
      <w:rPr>
        <w:rFonts w:hint="eastAsia" w:ascii="宋体" w:hAnsi="宋体" w:eastAsia="宋体" w:cs="宋体"/>
        <w:b w:val="0"/>
        <w:lang w:val="en-US"/>
      </w:rPr>
    </w:lvl>
    <w:lvl w:ilvl="1" w:tentative="0">
      <w:start w:val="1"/>
      <w:numFmt w:val="lowerLetter"/>
      <w:lvlText w:val="%2)"/>
      <w:lvlJc w:val="left"/>
      <w:pPr>
        <w:tabs>
          <w:tab w:val="left" w:pos="840"/>
        </w:tabs>
        <w:ind w:left="840" w:hanging="420"/>
      </w:pPr>
      <w:rPr>
        <w:rFonts w:hint="default" w:ascii="Times New Roman"/>
      </w:rPr>
    </w:lvl>
    <w:lvl w:ilvl="2" w:tentative="0">
      <w:start w:val="1"/>
      <w:numFmt w:val="lowerRoman"/>
      <w:lvlText w:val="%3."/>
      <w:lvlJc w:val="right"/>
      <w:pPr>
        <w:tabs>
          <w:tab w:val="left" w:pos="1260"/>
        </w:tabs>
        <w:ind w:left="1260" w:hanging="420"/>
      </w:pPr>
      <w:rPr>
        <w:rFonts w:hint="default" w:ascii="Times New Roman"/>
      </w:rPr>
    </w:lvl>
    <w:lvl w:ilvl="3" w:tentative="0">
      <w:start w:val="1"/>
      <w:numFmt w:val="decimal"/>
      <w:lvlText w:val="%4."/>
      <w:lvlJc w:val="left"/>
      <w:pPr>
        <w:tabs>
          <w:tab w:val="left" w:pos="1680"/>
        </w:tabs>
        <w:ind w:left="1680" w:hanging="420"/>
      </w:pPr>
      <w:rPr>
        <w:rFonts w:hint="default" w:ascii="Times New Roman"/>
      </w:rPr>
    </w:lvl>
    <w:lvl w:ilvl="4" w:tentative="0">
      <w:start w:val="1"/>
      <w:numFmt w:val="lowerLetter"/>
      <w:lvlText w:val="%5)"/>
      <w:lvlJc w:val="left"/>
      <w:pPr>
        <w:tabs>
          <w:tab w:val="left" w:pos="2100"/>
        </w:tabs>
        <w:ind w:left="2100" w:hanging="420"/>
      </w:pPr>
      <w:rPr>
        <w:rFonts w:hint="default" w:ascii="Times New Roman"/>
      </w:rPr>
    </w:lvl>
    <w:lvl w:ilvl="5" w:tentative="0">
      <w:start w:val="1"/>
      <w:numFmt w:val="lowerRoman"/>
      <w:lvlText w:val="%6."/>
      <w:lvlJc w:val="right"/>
      <w:pPr>
        <w:tabs>
          <w:tab w:val="left" w:pos="2520"/>
        </w:tabs>
        <w:ind w:left="2520" w:hanging="420"/>
      </w:pPr>
      <w:rPr>
        <w:rFonts w:hint="default" w:ascii="Times New Roman"/>
      </w:rPr>
    </w:lvl>
    <w:lvl w:ilvl="6" w:tentative="0">
      <w:start w:val="1"/>
      <w:numFmt w:val="decimal"/>
      <w:lvlText w:val="%7."/>
      <w:lvlJc w:val="left"/>
      <w:pPr>
        <w:tabs>
          <w:tab w:val="left" w:pos="2940"/>
        </w:tabs>
        <w:ind w:left="2940" w:hanging="420"/>
      </w:pPr>
      <w:rPr>
        <w:rFonts w:hint="default" w:ascii="Times New Roman"/>
      </w:rPr>
    </w:lvl>
    <w:lvl w:ilvl="7" w:tentative="0">
      <w:start w:val="1"/>
      <w:numFmt w:val="lowerLetter"/>
      <w:lvlText w:val="%8)"/>
      <w:lvlJc w:val="left"/>
      <w:pPr>
        <w:tabs>
          <w:tab w:val="left" w:pos="3360"/>
        </w:tabs>
        <w:ind w:left="3360" w:hanging="420"/>
      </w:pPr>
      <w:rPr>
        <w:rFonts w:hint="default" w:ascii="Times New Roman"/>
      </w:rPr>
    </w:lvl>
    <w:lvl w:ilvl="8" w:tentative="0">
      <w:start w:val="1"/>
      <w:numFmt w:val="lowerRoman"/>
      <w:lvlText w:val="%9."/>
      <w:lvlJc w:val="right"/>
      <w:pPr>
        <w:tabs>
          <w:tab w:val="left" w:pos="3780"/>
        </w:tabs>
        <w:ind w:left="3780" w:hanging="420"/>
      </w:pPr>
      <w:rPr>
        <w:rFonts w:hint="default" w:ascii="Times New Roman"/>
      </w:rPr>
    </w:lvl>
  </w:abstractNum>
  <w:abstractNum w:abstractNumId="1">
    <w:nsid w:val="00000002"/>
    <w:multiLevelType w:val="multilevel"/>
    <w:tmpl w:val="00000002"/>
    <w:lvl w:ilvl="0" w:tentative="0">
      <w:start w:val="1"/>
      <w:numFmt w:val="japaneseCounting"/>
      <w:lvlText w:val="（%1）"/>
      <w:lvlJc w:val="left"/>
      <w:pPr>
        <w:tabs>
          <w:tab w:val="left" w:pos="1080"/>
        </w:tabs>
        <w:ind w:left="1080" w:hanging="1080"/>
      </w:pPr>
      <w:rPr>
        <w:rFonts w:hint="default" w:ascii="Times New Roman"/>
      </w:rPr>
    </w:lvl>
    <w:lvl w:ilvl="1" w:tentative="0">
      <w:start w:val="1"/>
      <w:numFmt w:val="lowerLetter"/>
      <w:lvlText w:val="%2)"/>
      <w:lvlJc w:val="left"/>
      <w:pPr>
        <w:tabs>
          <w:tab w:val="left" w:pos="840"/>
        </w:tabs>
        <w:ind w:left="840" w:hanging="420"/>
      </w:pPr>
      <w:rPr>
        <w:rFonts w:hint="default" w:ascii="Times New Roman"/>
      </w:rPr>
    </w:lvl>
    <w:lvl w:ilvl="2" w:tentative="0">
      <w:start w:val="1"/>
      <w:numFmt w:val="lowerRoman"/>
      <w:lvlText w:val="%3."/>
      <w:lvlJc w:val="right"/>
      <w:pPr>
        <w:tabs>
          <w:tab w:val="left" w:pos="1260"/>
        </w:tabs>
        <w:ind w:left="1260" w:hanging="420"/>
      </w:pPr>
      <w:rPr>
        <w:rFonts w:hint="default" w:ascii="Times New Roman"/>
      </w:rPr>
    </w:lvl>
    <w:lvl w:ilvl="3" w:tentative="0">
      <w:start w:val="1"/>
      <w:numFmt w:val="decimal"/>
      <w:lvlText w:val="%4."/>
      <w:lvlJc w:val="left"/>
      <w:pPr>
        <w:tabs>
          <w:tab w:val="left" w:pos="1680"/>
        </w:tabs>
        <w:ind w:left="1680" w:hanging="420"/>
      </w:pPr>
      <w:rPr>
        <w:rFonts w:hint="default" w:ascii="Times New Roman"/>
      </w:rPr>
    </w:lvl>
    <w:lvl w:ilvl="4" w:tentative="0">
      <w:start w:val="1"/>
      <w:numFmt w:val="lowerLetter"/>
      <w:lvlText w:val="%5)"/>
      <w:lvlJc w:val="left"/>
      <w:pPr>
        <w:tabs>
          <w:tab w:val="left" w:pos="2100"/>
        </w:tabs>
        <w:ind w:left="2100" w:hanging="420"/>
      </w:pPr>
      <w:rPr>
        <w:rFonts w:hint="default" w:ascii="Times New Roman"/>
      </w:rPr>
    </w:lvl>
    <w:lvl w:ilvl="5" w:tentative="0">
      <w:start w:val="1"/>
      <w:numFmt w:val="lowerRoman"/>
      <w:lvlText w:val="%6."/>
      <w:lvlJc w:val="right"/>
      <w:pPr>
        <w:tabs>
          <w:tab w:val="left" w:pos="2520"/>
        </w:tabs>
        <w:ind w:left="2520" w:hanging="420"/>
      </w:pPr>
      <w:rPr>
        <w:rFonts w:hint="default" w:ascii="Times New Roman"/>
      </w:rPr>
    </w:lvl>
    <w:lvl w:ilvl="6" w:tentative="0">
      <w:start w:val="1"/>
      <w:numFmt w:val="decimal"/>
      <w:lvlText w:val="%7."/>
      <w:lvlJc w:val="left"/>
      <w:pPr>
        <w:tabs>
          <w:tab w:val="left" w:pos="2940"/>
        </w:tabs>
        <w:ind w:left="2940" w:hanging="420"/>
      </w:pPr>
      <w:rPr>
        <w:rFonts w:hint="default" w:ascii="Times New Roman"/>
      </w:rPr>
    </w:lvl>
    <w:lvl w:ilvl="7" w:tentative="0">
      <w:start w:val="1"/>
      <w:numFmt w:val="lowerLetter"/>
      <w:lvlText w:val="%8)"/>
      <w:lvlJc w:val="left"/>
      <w:pPr>
        <w:tabs>
          <w:tab w:val="left" w:pos="3360"/>
        </w:tabs>
        <w:ind w:left="3360" w:hanging="420"/>
      </w:pPr>
      <w:rPr>
        <w:rFonts w:hint="default" w:ascii="Times New Roman"/>
      </w:rPr>
    </w:lvl>
    <w:lvl w:ilvl="8" w:tentative="0">
      <w:start w:val="1"/>
      <w:numFmt w:val="lowerRoman"/>
      <w:lvlText w:val="%9."/>
      <w:lvlJc w:val="right"/>
      <w:pPr>
        <w:tabs>
          <w:tab w:val="left" w:pos="3780"/>
        </w:tabs>
        <w:ind w:left="3780" w:hanging="420"/>
      </w:pPr>
      <w:rPr>
        <w:rFonts w:hint="default" w:ascii="Times New Roman"/>
      </w:rPr>
    </w:lvl>
  </w:abstractNum>
  <w:abstractNum w:abstractNumId="2">
    <w:nsid w:val="00000007"/>
    <w:multiLevelType w:val="multilevel"/>
    <w:tmpl w:val="00000007"/>
    <w:lvl w:ilvl="0" w:tentative="0">
      <w:start w:val="1"/>
      <w:numFmt w:val="japaneseCounting"/>
      <w:lvlText w:val="（%1）"/>
      <w:lvlJc w:val="left"/>
      <w:pPr>
        <w:tabs>
          <w:tab w:val="left" w:pos="1080"/>
        </w:tabs>
        <w:ind w:left="1080" w:hanging="1080"/>
      </w:pPr>
      <w:rPr>
        <w:rFonts w:hint="default" w:ascii="Times New Roman"/>
        <w:lang w:val="en-US"/>
      </w:rPr>
    </w:lvl>
    <w:lvl w:ilvl="1" w:tentative="0">
      <w:start w:val="1"/>
      <w:numFmt w:val="lowerLetter"/>
      <w:lvlText w:val="%2)"/>
      <w:lvlJc w:val="left"/>
      <w:pPr>
        <w:tabs>
          <w:tab w:val="left" w:pos="840"/>
        </w:tabs>
        <w:ind w:left="840" w:hanging="420"/>
      </w:pPr>
      <w:rPr>
        <w:rFonts w:hint="default" w:ascii="Times New Roman"/>
      </w:rPr>
    </w:lvl>
    <w:lvl w:ilvl="2" w:tentative="0">
      <w:start w:val="1"/>
      <w:numFmt w:val="lowerRoman"/>
      <w:lvlText w:val="%3."/>
      <w:lvlJc w:val="right"/>
      <w:pPr>
        <w:tabs>
          <w:tab w:val="left" w:pos="1260"/>
        </w:tabs>
        <w:ind w:left="1260" w:hanging="420"/>
      </w:pPr>
      <w:rPr>
        <w:rFonts w:hint="default" w:ascii="Times New Roman"/>
      </w:rPr>
    </w:lvl>
    <w:lvl w:ilvl="3" w:tentative="0">
      <w:start w:val="1"/>
      <w:numFmt w:val="decimal"/>
      <w:lvlText w:val="%4."/>
      <w:lvlJc w:val="left"/>
      <w:pPr>
        <w:tabs>
          <w:tab w:val="left" w:pos="1680"/>
        </w:tabs>
        <w:ind w:left="1680" w:hanging="420"/>
      </w:pPr>
      <w:rPr>
        <w:rFonts w:hint="default" w:ascii="Times New Roman"/>
      </w:rPr>
    </w:lvl>
    <w:lvl w:ilvl="4" w:tentative="0">
      <w:start w:val="1"/>
      <w:numFmt w:val="lowerLetter"/>
      <w:lvlText w:val="%5)"/>
      <w:lvlJc w:val="left"/>
      <w:pPr>
        <w:tabs>
          <w:tab w:val="left" w:pos="2100"/>
        </w:tabs>
        <w:ind w:left="2100" w:hanging="420"/>
      </w:pPr>
      <w:rPr>
        <w:rFonts w:hint="default" w:ascii="Times New Roman"/>
      </w:rPr>
    </w:lvl>
    <w:lvl w:ilvl="5" w:tentative="0">
      <w:start w:val="1"/>
      <w:numFmt w:val="lowerRoman"/>
      <w:lvlText w:val="%6."/>
      <w:lvlJc w:val="right"/>
      <w:pPr>
        <w:tabs>
          <w:tab w:val="left" w:pos="2520"/>
        </w:tabs>
        <w:ind w:left="2520" w:hanging="420"/>
      </w:pPr>
      <w:rPr>
        <w:rFonts w:hint="default" w:ascii="Times New Roman"/>
      </w:rPr>
    </w:lvl>
    <w:lvl w:ilvl="6" w:tentative="0">
      <w:start w:val="1"/>
      <w:numFmt w:val="decimal"/>
      <w:lvlText w:val="%7."/>
      <w:lvlJc w:val="left"/>
      <w:pPr>
        <w:tabs>
          <w:tab w:val="left" w:pos="2940"/>
        </w:tabs>
        <w:ind w:left="2940" w:hanging="420"/>
      </w:pPr>
      <w:rPr>
        <w:rFonts w:hint="default" w:ascii="Times New Roman"/>
      </w:rPr>
    </w:lvl>
    <w:lvl w:ilvl="7" w:tentative="0">
      <w:start w:val="1"/>
      <w:numFmt w:val="lowerLetter"/>
      <w:lvlText w:val="%8)"/>
      <w:lvlJc w:val="left"/>
      <w:pPr>
        <w:tabs>
          <w:tab w:val="left" w:pos="3360"/>
        </w:tabs>
        <w:ind w:left="3360" w:hanging="420"/>
      </w:pPr>
      <w:rPr>
        <w:rFonts w:hint="default" w:ascii="Times New Roman"/>
      </w:rPr>
    </w:lvl>
    <w:lvl w:ilvl="8" w:tentative="0">
      <w:start w:val="1"/>
      <w:numFmt w:val="lowerRoman"/>
      <w:lvlText w:val="%9."/>
      <w:lvlJc w:val="right"/>
      <w:pPr>
        <w:tabs>
          <w:tab w:val="left" w:pos="3780"/>
        </w:tabs>
        <w:ind w:left="3780" w:hanging="420"/>
      </w:pPr>
      <w:rPr>
        <w:rFonts w:hint="default" w:ascii="Times New Roman"/>
      </w:rPr>
    </w:lvl>
  </w:abstractNum>
  <w:abstractNum w:abstractNumId="3">
    <w:nsid w:val="00000029"/>
    <w:multiLevelType w:val="multilevel"/>
    <w:tmpl w:val="00000029"/>
    <w:lvl w:ilvl="0" w:tentative="0">
      <w:start w:val="1"/>
      <w:numFmt w:val="decimal"/>
      <w:lvlText w:val="%1."/>
      <w:lvlJc w:val="left"/>
      <w:pPr>
        <w:ind w:left="425" w:hanging="425"/>
      </w:pPr>
      <w:rPr>
        <w:rFonts w:hint="eastAsia"/>
      </w:rPr>
    </w:lvl>
    <w:lvl w:ilvl="1" w:tentative="0">
      <w:start w:val="1"/>
      <w:numFmt w:val="decimal"/>
      <w:lvlText w:val="%1.%2."/>
      <w:lvlJc w:val="left"/>
      <w:pPr>
        <w:ind w:left="567" w:hanging="567"/>
      </w:pPr>
      <w:rPr>
        <w:rFonts w:hint="eastAsia"/>
        <w:b w:val="0"/>
      </w:rPr>
    </w:lvl>
    <w:lvl w:ilvl="2" w:tentative="0">
      <w:start w:val="1"/>
      <w:numFmt w:val="decimal"/>
      <w:lvlText w:val="%1.%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4">
    <w:nsid w:val="054549FB"/>
    <w:multiLevelType w:val="singleLevel"/>
    <w:tmpl w:val="054549FB"/>
    <w:lvl w:ilvl="0" w:tentative="0">
      <w:start w:val="2"/>
      <w:numFmt w:val="decimal"/>
      <w:pStyle w:val="32"/>
      <w:lvlText w:val="%1."/>
      <w:legacy w:legacy="1" w:legacySpace="0" w:legacyIndent="300"/>
      <w:lvlJc w:val="left"/>
      <w:pPr>
        <w:ind w:left="300" w:hanging="300"/>
      </w:pPr>
      <w:rPr>
        <w:rFonts w:hint="eastAsia" w:ascii="宋体" w:eastAsia="宋体"/>
        <w:b/>
        <w:i w:val="0"/>
        <w:sz w:val="28"/>
        <w:u w:val="none"/>
      </w:rPr>
    </w:lvl>
  </w:abstractNum>
  <w:abstractNum w:abstractNumId="5">
    <w:nsid w:val="52701BAF"/>
    <w:multiLevelType w:val="singleLevel"/>
    <w:tmpl w:val="52701BAF"/>
    <w:lvl w:ilvl="0" w:tentative="0">
      <w:start w:val="2"/>
      <w:numFmt w:val="chineseCounting"/>
      <w:suff w:val="nothing"/>
      <w:lvlText w:val="%1、"/>
      <w:lvlJc w:val="left"/>
      <w:rPr>
        <w:rFonts w:hint="eastAsia"/>
      </w:rPr>
    </w:lvl>
  </w:abstractNum>
  <w:abstractNum w:abstractNumId="6">
    <w:nsid w:val="58ED4CBB"/>
    <w:multiLevelType w:val="multilevel"/>
    <w:tmpl w:val="58ED4CBB"/>
    <w:lvl w:ilvl="0" w:tentative="0">
      <w:start w:val="1"/>
      <w:numFmt w:val="japaneseCounting"/>
      <w:lvlText w:val="（%1）"/>
      <w:lvlJc w:val="left"/>
      <w:pPr>
        <w:tabs>
          <w:tab w:val="left" w:pos="1680"/>
        </w:tabs>
        <w:ind w:left="1680" w:hanging="1080"/>
      </w:pPr>
      <w:rPr>
        <w:rFonts w:hint="default" w:ascii="Times New Roman"/>
      </w:rPr>
    </w:lvl>
    <w:lvl w:ilvl="1" w:tentative="0">
      <w:start w:val="1"/>
      <w:numFmt w:val="lowerLetter"/>
      <w:lvlText w:val="%2)"/>
      <w:lvlJc w:val="left"/>
      <w:pPr>
        <w:tabs>
          <w:tab w:val="left" w:pos="1440"/>
        </w:tabs>
        <w:ind w:left="1440" w:hanging="420"/>
      </w:pPr>
      <w:rPr>
        <w:rFonts w:hint="default" w:ascii="Times New Roman"/>
      </w:rPr>
    </w:lvl>
    <w:lvl w:ilvl="2" w:tentative="0">
      <w:start w:val="1"/>
      <w:numFmt w:val="lowerRoman"/>
      <w:lvlText w:val="%3."/>
      <w:lvlJc w:val="right"/>
      <w:pPr>
        <w:tabs>
          <w:tab w:val="left" w:pos="1860"/>
        </w:tabs>
        <w:ind w:left="1860" w:hanging="420"/>
      </w:pPr>
      <w:rPr>
        <w:rFonts w:hint="default" w:ascii="Times New Roman"/>
      </w:rPr>
    </w:lvl>
    <w:lvl w:ilvl="3" w:tentative="0">
      <w:start w:val="1"/>
      <w:numFmt w:val="decimal"/>
      <w:lvlText w:val="%4."/>
      <w:lvlJc w:val="left"/>
      <w:pPr>
        <w:tabs>
          <w:tab w:val="left" w:pos="2280"/>
        </w:tabs>
        <w:ind w:left="2280" w:hanging="420"/>
      </w:pPr>
      <w:rPr>
        <w:rFonts w:hint="default" w:ascii="Times New Roman"/>
      </w:rPr>
    </w:lvl>
    <w:lvl w:ilvl="4" w:tentative="0">
      <w:start w:val="1"/>
      <w:numFmt w:val="lowerLetter"/>
      <w:lvlText w:val="%5)"/>
      <w:lvlJc w:val="left"/>
      <w:pPr>
        <w:tabs>
          <w:tab w:val="left" w:pos="2700"/>
        </w:tabs>
        <w:ind w:left="2700" w:hanging="420"/>
      </w:pPr>
      <w:rPr>
        <w:rFonts w:hint="default" w:ascii="Times New Roman"/>
      </w:rPr>
    </w:lvl>
    <w:lvl w:ilvl="5" w:tentative="0">
      <w:start w:val="1"/>
      <w:numFmt w:val="lowerRoman"/>
      <w:lvlText w:val="%6."/>
      <w:lvlJc w:val="right"/>
      <w:pPr>
        <w:tabs>
          <w:tab w:val="left" w:pos="3120"/>
        </w:tabs>
        <w:ind w:left="3120" w:hanging="420"/>
      </w:pPr>
      <w:rPr>
        <w:rFonts w:hint="default" w:ascii="Times New Roman"/>
      </w:rPr>
    </w:lvl>
    <w:lvl w:ilvl="6" w:tentative="0">
      <w:start w:val="1"/>
      <w:numFmt w:val="decimal"/>
      <w:lvlText w:val="%7."/>
      <w:lvlJc w:val="left"/>
      <w:pPr>
        <w:tabs>
          <w:tab w:val="left" w:pos="3540"/>
        </w:tabs>
        <w:ind w:left="3540" w:hanging="420"/>
      </w:pPr>
      <w:rPr>
        <w:rFonts w:hint="default" w:ascii="Times New Roman"/>
      </w:rPr>
    </w:lvl>
    <w:lvl w:ilvl="7" w:tentative="0">
      <w:start w:val="1"/>
      <w:numFmt w:val="lowerLetter"/>
      <w:lvlText w:val="%8)"/>
      <w:lvlJc w:val="left"/>
      <w:pPr>
        <w:tabs>
          <w:tab w:val="left" w:pos="3960"/>
        </w:tabs>
        <w:ind w:left="3960" w:hanging="420"/>
      </w:pPr>
      <w:rPr>
        <w:rFonts w:hint="default" w:ascii="Times New Roman"/>
      </w:rPr>
    </w:lvl>
    <w:lvl w:ilvl="8" w:tentative="0">
      <w:start w:val="1"/>
      <w:numFmt w:val="lowerRoman"/>
      <w:lvlText w:val="%9."/>
      <w:lvlJc w:val="right"/>
      <w:pPr>
        <w:tabs>
          <w:tab w:val="left" w:pos="4380"/>
        </w:tabs>
        <w:ind w:left="4380" w:hanging="420"/>
      </w:pPr>
      <w:rPr>
        <w:rFonts w:hint="default" w:ascii="Times New Roman"/>
      </w:rPr>
    </w:lvl>
  </w:abstractNum>
  <w:num w:numId="1">
    <w:abstractNumId w:val="4"/>
  </w:num>
  <w:num w:numId="2">
    <w:abstractNumId w:val="3"/>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6797"/>
    <w:rsid w:val="00011EBE"/>
    <w:rsid w:val="00016CD4"/>
    <w:rsid w:val="00024E2E"/>
    <w:rsid w:val="00040366"/>
    <w:rsid w:val="00045853"/>
    <w:rsid w:val="000569EC"/>
    <w:rsid w:val="00067522"/>
    <w:rsid w:val="000942D8"/>
    <w:rsid w:val="00094AC7"/>
    <w:rsid w:val="000A0743"/>
    <w:rsid w:val="000A3676"/>
    <w:rsid w:val="000A7468"/>
    <w:rsid w:val="000B1F18"/>
    <w:rsid w:val="000B5E46"/>
    <w:rsid w:val="000C4983"/>
    <w:rsid w:val="000D1322"/>
    <w:rsid w:val="000D1C9E"/>
    <w:rsid w:val="000D6D5D"/>
    <w:rsid w:val="000F03F1"/>
    <w:rsid w:val="000F3B36"/>
    <w:rsid w:val="00100978"/>
    <w:rsid w:val="00104A91"/>
    <w:rsid w:val="00115641"/>
    <w:rsid w:val="00130F0A"/>
    <w:rsid w:val="00131B70"/>
    <w:rsid w:val="00134F00"/>
    <w:rsid w:val="00145228"/>
    <w:rsid w:val="0014766E"/>
    <w:rsid w:val="00155B5E"/>
    <w:rsid w:val="00172405"/>
    <w:rsid w:val="00183CEA"/>
    <w:rsid w:val="00194741"/>
    <w:rsid w:val="001A0C05"/>
    <w:rsid w:val="001B013A"/>
    <w:rsid w:val="001C72CB"/>
    <w:rsid w:val="001C797A"/>
    <w:rsid w:val="001F1A31"/>
    <w:rsid w:val="001F5697"/>
    <w:rsid w:val="00201422"/>
    <w:rsid w:val="00207444"/>
    <w:rsid w:val="00241B44"/>
    <w:rsid w:val="002543A6"/>
    <w:rsid w:val="00257CB4"/>
    <w:rsid w:val="0026756E"/>
    <w:rsid w:val="00271A7F"/>
    <w:rsid w:val="00277C51"/>
    <w:rsid w:val="002802F5"/>
    <w:rsid w:val="00286885"/>
    <w:rsid w:val="002955F2"/>
    <w:rsid w:val="002966B2"/>
    <w:rsid w:val="002B0E7F"/>
    <w:rsid w:val="002B7349"/>
    <w:rsid w:val="002C0344"/>
    <w:rsid w:val="002C2BB9"/>
    <w:rsid w:val="002C3CD5"/>
    <w:rsid w:val="002C55BF"/>
    <w:rsid w:val="002C666A"/>
    <w:rsid w:val="002D0109"/>
    <w:rsid w:val="002D3DD3"/>
    <w:rsid w:val="002E2A37"/>
    <w:rsid w:val="002F3F1E"/>
    <w:rsid w:val="002F6387"/>
    <w:rsid w:val="00300ED6"/>
    <w:rsid w:val="00310BDA"/>
    <w:rsid w:val="0032084E"/>
    <w:rsid w:val="003225C0"/>
    <w:rsid w:val="00326342"/>
    <w:rsid w:val="003329EB"/>
    <w:rsid w:val="00351529"/>
    <w:rsid w:val="0036357C"/>
    <w:rsid w:val="003667BA"/>
    <w:rsid w:val="00381723"/>
    <w:rsid w:val="00383A58"/>
    <w:rsid w:val="00385957"/>
    <w:rsid w:val="0039469D"/>
    <w:rsid w:val="00395873"/>
    <w:rsid w:val="003B15E0"/>
    <w:rsid w:val="003B1958"/>
    <w:rsid w:val="003B38C6"/>
    <w:rsid w:val="003D6028"/>
    <w:rsid w:val="003D7515"/>
    <w:rsid w:val="003D7C36"/>
    <w:rsid w:val="003E66DA"/>
    <w:rsid w:val="003F3D06"/>
    <w:rsid w:val="004130D3"/>
    <w:rsid w:val="00415049"/>
    <w:rsid w:val="004233F4"/>
    <w:rsid w:val="004244D8"/>
    <w:rsid w:val="004246CB"/>
    <w:rsid w:val="0042489F"/>
    <w:rsid w:val="00433935"/>
    <w:rsid w:val="004364C5"/>
    <w:rsid w:val="00454973"/>
    <w:rsid w:val="00454B54"/>
    <w:rsid w:val="00457375"/>
    <w:rsid w:val="00460019"/>
    <w:rsid w:val="0046602D"/>
    <w:rsid w:val="00484358"/>
    <w:rsid w:val="004859B7"/>
    <w:rsid w:val="004A0394"/>
    <w:rsid w:val="004A17C3"/>
    <w:rsid w:val="004A3D4D"/>
    <w:rsid w:val="004B0156"/>
    <w:rsid w:val="004B2790"/>
    <w:rsid w:val="004F7589"/>
    <w:rsid w:val="005524CA"/>
    <w:rsid w:val="00561232"/>
    <w:rsid w:val="00572078"/>
    <w:rsid w:val="0057569F"/>
    <w:rsid w:val="00576BD2"/>
    <w:rsid w:val="00584520"/>
    <w:rsid w:val="005A0BED"/>
    <w:rsid w:val="005A1061"/>
    <w:rsid w:val="005B391B"/>
    <w:rsid w:val="005C570F"/>
    <w:rsid w:val="005D19F2"/>
    <w:rsid w:val="00611AE1"/>
    <w:rsid w:val="006136EC"/>
    <w:rsid w:val="00621D6D"/>
    <w:rsid w:val="00622014"/>
    <w:rsid w:val="006229F2"/>
    <w:rsid w:val="00625108"/>
    <w:rsid w:val="00625895"/>
    <w:rsid w:val="006330AA"/>
    <w:rsid w:val="00652DC2"/>
    <w:rsid w:val="00656333"/>
    <w:rsid w:val="00657BAE"/>
    <w:rsid w:val="0066132F"/>
    <w:rsid w:val="0066226F"/>
    <w:rsid w:val="00666DAB"/>
    <w:rsid w:val="00667EBE"/>
    <w:rsid w:val="0068173A"/>
    <w:rsid w:val="006821B1"/>
    <w:rsid w:val="00682C89"/>
    <w:rsid w:val="006912E6"/>
    <w:rsid w:val="00693C5C"/>
    <w:rsid w:val="0069415D"/>
    <w:rsid w:val="00697C18"/>
    <w:rsid w:val="006A6AAC"/>
    <w:rsid w:val="006A705A"/>
    <w:rsid w:val="006B6C33"/>
    <w:rsid w:val="006B798C"/>
    <w:rsid w:val="006C4D0B"/>
    <w:rsid w:val="006D323E"/>
    <w:rsid w:val="00707043"/>
    <w:rsid w:val="00710729"/>
    <w:rsid w:val="007323B9"/>
    <w:rsid w:val="00736320"/>
    <w:rsid w:val="00745366"/>
    <w:rsid w:val="007461A4"/>
    <w:rsid w:val="00753244"/>
    <w:rsid w:val="007838CB"/>
    <w:rsid w:val="00786A87"/>
    <w:rsid w:val="007A39EC"/>
    <w:rsid w:val="007A4EFF"/>
    <w:rsid w:val="007B6FAF"/>
    <w:rsid w:val="007C5546"/>
    <w:rsid w:val="007E3AE2"/>
    <w:rsid w:val="007E6639"/>
    <w:rsid w:val="008013C9"/>
    <w:rsid w:val="008052D9"/>
    <w:rsid w:val="00815D21"/>
    <w:rsid w:val="00830114"/>
    <w:rsid w:val="00843B49"/>
    <w:rsid w:val="00853BEE"/>
    <w:rsid w:val="00867405"/>
    <w:rsid w:val="00870BFD"/>
    <w:rsid w:val="00880AB2"/>
    <w:rsid w:val="008818DF"/>
    <w:rsid w:val="00883D66"/>
    <w:rsid w:val="00886585"/>
    <w:rsid w:val="008B0B3F"/>
    <w:rsid w:val="008D1782"/>
    <w:rsid w:val="008E60E0"/>
    <w:rsid w:val="008F5B6C"/>
    <w:rsid w:val="0090042D"/>
    <w:rsid w:val="009055ED"/>
    <w:rsid w:val="009063DC"/>
    <w:rsid w:val="009076CE"/>
    <w:rsid w:val="00913D8D"/>
    <w:rsid w:val="00917BA9"/>
    <w:rsid w:val="00924AE1"/>
    <w:rsid w:val="00936598"/>
    <w:rsid w:val="00941930"/>
    <w:rsid w:val="00941FFA"/>
    <w:rsid w:val="00951B70"/>
    <w:rsid w:val="009564E4"/>
    <w:rsid w:val="00961295"/>
    <w:rsid w:val="00961849"/>
    <w:rsid w:val="00967666"/>
    <w:rsid w:val="00981E64"/>
    <w:rsid w:val="00994343"/>
    <w:rsid w:val="0099784C"/>
    <w:rsid w:val="009A5821"/>
    <w:rsid w:val="009A79DD"/>
    <w:rsid w:val="009C11B5"/>
    <w:rsid w:val="009D0F37"/>
    <w:rsid w:val="009E423D"/>
    <w:rsid w:val="009E7634"/>
    <w:rsid w:val="009E7A97"/>
    <w:rsid w:val="00A07349"/>
    <w:rsid w:val="00A1383F"/>
    <w:rsid w:val="00A30CB9"/>
    <w:rsid w:val="00A420B7"/>
    <w:rsid w:val="00A43CD1"/>
    <w:rsid w:val="00A5140C"/>
    <w:rsid w:val="00A52A44"/>
    <w:rsid w:val="00A753B1"/>
    <w:rsid w:val="00AA42D6"/>
    <w:rsid w:val="00AB3EC0"/>
    <w:rsid w:val="00AC53E8"/>
    <w:rsid w:val="00AC6016"/>
    <w:rsid w:val="00AD62D0"/>
    <w:rsid w:val="00AD702F"/>
    <w:rsid w:val="00AD72DB"/>
    <w:rsid w:val="00AD7CBF"/>
    <w:rsid w:val="00B05197"/>
    <w:rsid w:val="00B059DF"/>
    <w:rsid w:val="00B103A2"/>
    <w:rsid w:val="00B1071C"/>
    <w:rsid w:val="00B43E3D"/>
    <w:rsid w:val="00B54B4F"/>
    <w:rsid w:val="00B57222"/>
    <w:rsid w:val="00B653A9"/>
    <w:rsid w:val="00B85581"/>
    <w:rsid w:val="00B90F38"/>
    <w:rsid w:val="00B946B6"/>
    <w:rsid w:val="00B950A8"/>
    <w:rsid w:val="00B9645D"/>
    <w:rsid w:val="00BA7336"/>
    <w:rsid w:val="00BB03FA"/>
    <w:rsid w:val="00BB06CC"/>
    <w:rsid w:val="00BB2EFA"/>
    <w:rsid w:val="00BB661D"/>
    <w:rsid w:val="00BC3072"/>
    <w:rsid w:val="00BE3EAA"/>
    <w:rsid w:val="00BF549C"/>
    <w:rsid w:val="00BF73C5"/>
    <w:rsid w:val="00BF7D2C"/>
    <w:rsid w:val="00C052DE"/>
    <w:rsid w:val="00C07716"/>
    <w:rsid w:val="00C07A76"/>
    <w:rsid w:val="00C21F1D"/>
    <w:rsid w:val="00C231A8"/>
    <w:rsid w:val="00C238D4"/>
    <w:rsid w:val="00C23940"/>
    <w:rsid w:val="00C259C7"/>
    <w:rsid w:val="00C40C58"/>
    <w:rsid w:val="00C542F8"/>
    <w:rsid w:val="00C55BF7"/>
    <w:rsid w:val="00C55E04"/>
    <w:rsid w:val="00C77C3D"/>
    <w:rsid w:val="00C81251"/>
    <w:rsid w:val="00C859D4"/>
    <w:rsid w:val="00C93BB9"/>
    <w:rsid w:val="00CC5B8C"/>
    <w:rsid w:val="00CE693C"/>
    <w:rsid w:val="00CF24C2"/>
    <w:rsid w:val="00D115EF"/>
    <w:rsid w:val="00D21F06"/>
    <w:rsid w:val="00D220B9"/>
    <w:rsid w:val="00D32FDD"/>
    <w:rsid w:val="00D3388B"/>
    <w:rsid w:val="00D340CD"/>
    <w:rsid w:val="00D354E5"/>
    <w:rsid w:val="00D37FC3"/>
    <w:rsid w:val="00D40E76"/>
    <w:rsid w:val="00D55C70"/>
    <w:rsid w:val="00D75346"/>
    <w:rsid w:val="00D83DF1"/>
    <w:rsid w:val="00D86FF8"/>
    <w:rsid w:val="00DA2080"/>
    <w:rsid w:val="00DA3833"/>
    <w:rsid w:val="00DB53D8"/>
    <w:rsid w:val="00DB7091"/>
    <w:rsid w:val="00DC3CCD"/>
    <w:rsid w:val="00DC4C78"/>
    <w:rsid w:val="00DD2871"/>
    <w:rsid w:val="00DD3387"/>
    <w:rsid w:val="00DD4581"/>
    <w:rsid w:val="00DD4896"/>
    <w:rsid w:val="00DE19A5"/>
    <w:rsid w:val="00DE3486"/>
    <w:rsid w:val="00E0528A"/>
    <w:rsid w:val="00E07856"/>
    <w:rsid w:val="00E16937"/>
    <w:rsid w:val="00E17279"/>
    <w:rsid w:val="00E2733C"/>
    <w:rsid w:val="00E317C6"/>
    <w:rsid w:val="00E3235D"/>
    <w:rsid w:val="00E34210"/>
    <w:rsid w:val="00E4157F"/>
    <w:rsid w:val="00E535AE"/>
    <w:rsid w:val="00E731D2"/>
    <w:rsid w:val="00E736A2"/>
    <w:rsid w:val="00E97BE7"/>
    <w:rsid w:val="00EA0A66"/>
    <w:rsid w:val="00EA16B6"/>
    <w:rsid w:val="00EA5217"/>
    <w:rsid w:val="00EB0A42"/>
    <w:rsid w:val="00EC12F3"/>
    <w:rsid w:val="00EC3BD7"/>
    <w:rsid w:val="00EC6A3B"/>
    <w:rsid w:val="00ED37EB"/>
    <w:rsid w:val="00EE2083"/>
    <w:rsid w:val="00F00F6E"/>
    <w:rsid w:val="00F0471A"/>
    <w:rsid w:val="00F14F26"/>
    <w:rsid w:val="00F22927"/>
    <w:rsid w:val="00F25E5B"/>
    <w:rsid w:val="00F33B55"/>
    <w:rsid w:val="00F3555A"/>
    <w:rsid w:val="00F4313A"/>
    <w:rsid w:val="00F45409"/>
    <w:rsid w:val="00F7293D"/>
    <w:rsid w:val="00F802A2"/>
    <w:rsid w:val="00F94A80"/>
    <w:rsid w:val="00F96864"/>
    <w:rsid w:val="00FA2AC2"/>
    <w:rsid w:val="00FA4EB9"/>
    <w:rsid w:val="00FA6E3E"/>
    <w:rsid w:val="00FC7336"/>
    <w:rsid w:val="00FD125C"/>
    <w:rsid w:val="00FD4136"/>
    <w:rsid w:val="00FD73F5"/>
    <w:rsid w:val="00FE541D"/>
    <w:rsid w:val="00FF3BBF"/>
    <w:rsid w:val="02C80A0C"/>
    <w:rsid w:val="05B5416C"/>
    <w:rsid w:val="06F7538B"/>
    <w:rsid w:val="0C5879D9"/>
    <w:rsid w:val="0CC376FF"/>
    <w:rsid w:val="0CED0C49"/>
    <w:rsid w:val="106E258F"/>
    <w:rsid w:val="10F844F5"/>
    <w:rsid w:val="11C353B5"/>
    <w:rsid w:val="1360236F"/>
    <w:rsid w:val="15BB3286"/>
    <w:rsid w:val="1BEFE3DE"/>
    <w:rsid w:val="1D0BFDCB"/>
    <w:rsid w:val="1F0354BE"/>
    <w:rsid w:val="1FDDAFBB"/>
    <w:rsid w:val="1FDFE34E"/>
    <w:rsid w:val="1FF48BDC"/>
    <w:rsid w:val="1FFF0C72"/>
    <w:rsid w:val="21010AA2"/>
    <w:rsid w:val="21E75A4F"/>
    <w:rsid w:val="24441521"/>
    <w:rsid w:val="262B5CEC"/>
    <w:rsid w:val="26CFEA44"/>
    <w:rsid w:val="289B3295"/>
    <w:rsid w:val="2A9F16F4"/>
    <w:rsid w:val="2BFD8B48"/>
    <w:rsid w:val="2DDE62A0"/>
    <w:rsid w:val="2DE862F5"/>
    <w:rsid w:val="318D695B"/>
    <w:rsid w:val="33760BB9"/>
    <w:rsid w:val="35EF69B5"/>
    <w:rsid w:val="3730B510"/>
    <w:rsid w:val="37A71AFB"/>
    <w:rsid w:val="37F370C7"/>
    <w:rsid w:val="37FF6145"/>
    <w:rsid w:val="394330D7"/>
    <w:rsid w:val="3BCDD6C9"/>
    <w:rsid w:val="3C3A452F"/>
    <w:rsid w:val="3E7CB227"/>
    <w:rsid w:val="3EAE0AA8"/>
    <w:rsid w:val="3F3F0226"/>
    <w:rsid w:val="3F5BFBC1"/>
    <w:rsid w:val="3FB766F8"/>
    <w:rsid w:val="3FDF5074"/>
    <w:rsid w:val="3FEF838B"/>
    <w:rsid w:val="401A060A"/>
    <w:rsid w:val="4176727A"/>
    <w:rsid w:val="45682D36"/>
    <w:rsid w:val="4B5F614C"/>
    <w:rsid w:val="4BBEBCBD"/>
    <w:rsid w:val="4BFC318C"/>
    <w:rsid w:val="4F87544C"/>
    <w:rsid w:val="4F8F5D7E"/>
    <w:rsid w:val="4FBFFEAA"/>
    <w:rsid w:val="4FFC6D27"/>
    <w:rsid w:val="514D4F6C"/>
    <w:rsid w:val="5B85605C"/>
    <w:rsid w:val="5BAF7DE9"/>
    <w:rsid w:val="5C164D69"/>
    <w:rsid w:val="5CEB1B0A"/>
    <w:rsid w:val="5E5B4043"/>
    <w:rsid w:val="5ED16788"/>
    <w:rsid w:val="5ED36C8C"/>
    <w:rsid w:val="5EEA760D"/>
    <w:rsid w:val="5FBFE16A"/>
    <w:rsid w:val="6376A6BB"/>
    <w:rsid w:val="6A6674E8"/>
    <w:rsid w:val="6AE7140C"/>
    <w:rsid w:val="6AEF7303"/>
    <w:rsid w:val="6CBB7C9A"/>
    <w:rsid w:val="6D5D91E1"/>
    <w:rsid w:val="6F3F0270"/>
    <w:rsid w:val="6F5F01A5"/>
    <w:rsid w:val="6F8FE590"/>
    <w:rsid w:val="6FEF25E3"/>
    <w:rsid w:val="6FFF4A71"/>
    <w:rsid w:val="701F65D7"/>
    <w:rsid w:val="72731212"/>
    <w:rsid w:val="72860571"/>
    <w:rsid w:val="72A62391"/>
    <w:rsid w:val="72BE2A62"/>
    <w:rsid w:val="737A1030"/>
    <w:rsid w:val="73EDF10B"/>
    <w:rsid w:val="73F74D07"/>
    <w:rsid w:val="753B196C"/>
    <w:rsid w:val="75FBF6D1"/>
    <w:rsid w:val="76E9F1F4"/>
    <w:rsid w:val="76FF4209"/>
    <w:rsid w:val="77BE2BC8"/>
    <w:rsid w:val="79ED8455"/>
    <w:rsid w:val="7B1E6C70"/>
    <w:rsid w:val="7B767318"/>
    <w:rsid w:val="7BBF3534"/>
    <w:rsid w:val="7BD79E30"/>
    <w:rsid w:val="7BDF2F41"/>
    <w:rsid w:val="7BEDD286"/>
    <w:rsid w:val="7BFB6745"/>
    <w:rsid w:val="7C7349E6"/>
    <w:rsid w:val="7C7F3CA1"/>
    <w:rsid w:val="7CE6FF35"/>
    <w:rsid w:val="7CFB9849"/>
    <w:rsid w:val="7D47B1E5"/>
    <w:rsid w:val="7DFFCEE9"/>
    <w:rsid w:val="7E1FA188"/>
    <w:rsid w:val="7EC398DA"/>
    <w:rsid w:val="7EEC53FF"/>
    <w:rsid w:val="7EFD2B36"/>
    <w:rsid w:val="7F385F6F"/>
    <w:rsid w:val="7F3C790D"/>
    <w:rsid w:val="7F579034"/>
    <w:rsid w:val="7F5DFD94"/>
    <w:rsid w:val="7FBF4D16"/>
    <w:rsid w:val="7FDF1ED5"/>
    <w:rsid w:val="7FF9EFE4"/>
    <w:rsid w:val="7FFC715C"/>
    <w:rsid w:val="7FFF252C"/>
    <w:rsid w:val="7FFF4A9B"/>
    <w:rsid w:val="7FFF4CF4"/>
    <w:rsid w:val="7FFF6CCE"/>
    <w:rsid w:val="8EFF13FE"/>
    <w:rsid w:val="9F354DC0"/>
    <w:rsid w:val="9FEDD283"/>
    <w:rsid w:val="A7FD5A9B"/>
    <w:rsid w:val="AB5FAB85"/>
    <w:rsid w:val="ABD4E742"/>
    <w:rsid w:val="ADAF217D"/>
    <w:rsid w:val="AFDF4101"/>
    <w:rsid w:val="B2FF22CC"/>
    <w:rsid w:val="B7F00B5B"/>
    <w:rsid w:val="B97E4516"/>
    <w:rsid w:val="BCFA3797"/>
    <w:rsid w:val="BEE07316"/>
    <w:rsid w:val="BF6BB698"/>
    <w:rsid w:val="BFA32FDE"/>
    <w:rsid w:val="BFF31905"/>
    <w:rsid w:val="BFF65D2B"/>
    <w:rsid w:val="C539AA21"/>
    <w:rsid w:val="C7E840B2"/>
    <w:rsid w:val="CC7DF990"/>
    <w:rsid w:val="D3515EFF"/>
    <w:rsid w:val="D9FF7BE3"/>
    <w:rsid w:val="DAD7EA10"/>
    <w:rsid w:val="DB6B6A83"/>
    <w:rsid w:val="DD55D389"/>
    <w:rsid w:val="DE5DCD27"/>
    <w:rsid w:val="DEECE3D8"/>
    <w:rsid w:val="DFDB5605"/>
    <w:rsid w:val="DFF5E9DD"/>
    <w:rsid w:val="DFFD7AD2"/>
    <w:rsid w:val="EBF98767"/>
    <w:rsid w:val="EC9D3F8F"/>
    <w:rsid w:val="EDECE30B"/>
    <w:rsid w:val="EFF4323E"/>
    <w:rsid w:val="EFF9004D"/>
    <w:rsid w:val="F2AD5031"/>
    <w:rsid w:val="F3DF7B54"/>
    <w:rsid w:val="F3F5809F"/>
    <w:rsid w:val="F4CCA0BB"/>
    <w:rsid w:val="F5DD1A6C"/>
    <w:rsid w:val="F5FF3B92"/>
    <w:rsid w:val="F767794E"/>
    <w:rsid w:val="F7ED158B"/>
    <w:rsid w:val="F7F77AB0"/>
    <w:rsid w:val="F7FF0240"/>
    <w:rsid w:val="F7FFBCA4"/>
    <w:rsid w:val="F8EF801F"/>
    <w:rsid w:val="F8FE0088"/>
    <w:rsid w:val="F93C29C2"/>
    <w:rsid w:val="F9DE5912"/>
    <w:rsid w:val="F9EA465D"/>
    <w:rsid w:val="F9F739B2"/>
    <w:rsid w:val="FAFD929E"/>
    <w:rsid w:val="FAFEB5EF"/>
    <w:rsid w:val="FAFF2346"/>
    <w:rsid w:val="FB5FC3A2"/>
    <w:rsid w:val="FB7F19EC"/>
    <w:rsid w:val="FD03106D"/>
    <w:rsid w:val="FDBF34CB"/>
    <w:rsid w:val="FDFC97E0"/>
    <w:rsid w:val="FE3CF261"/>
    <w:rsid w:val="FEF577C7"/>
    <w:rsid w:val="FEFF8227"/>
    <w:rsid w:val="FFA246E3"/>
    <w:rsid w:val="FFADDEB7"/>
    <w:rsid w:val="FFFFB49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6"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4"/>
    <w:next w:val="1"/>
    <w:link w:val="25"/>
    <w:qFormat/>
    <w:uiPriority w:val="0"/>
    <w:pPr>
      <w:spacing w:line="500" w:lineRule="exact"/>
      <w:outlineLvl w:val="0"/>
    </w:pPr>
    <w:rPr>
      <w:rFonts w:ascii="宋体" w:hAnsi="宋体"/>
      <w:b/>
      <w:bCs/>
      <w:szCs w:val="24"/>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napToGrid w:val="0"/>
      <w:spacing w:line="380" w:lineRule="exact"/>
      <w:ind w:left="540" w:firstLine="480"/>
    </w:pPr>
    <w:rPr>
      <w:rFonts w:ascii="楷体_GB2312" w:eastAsia="楷体_GB2312"/>
      <w:sz w:val="24"/>
    </w:rPr>
  </w:style>
  <w:style w:type="paragraph" w:styleId="4">
    <w:name w:val="Date"/>
    <w:basedOn w:val="1"/>
    <w:next w:val="1"/>
    <w:qFormat/>
    <w:uiPriority w:val="0"/>
    <w:pPr>
      <w:adjustRightInd w:val="0"/>
      <w:spacing w:line="360" w:lineRule="atLeast"/>
      <w:textAlignment w:val="baseline"/>
    </w:pPr>
    <w:rPr>
      <w:rFonts w:ascii="Times New Roman" w:hAnsi="Times New Roman" w:eastAsia="宋体" w:cs="Times New Roman"/>
      <w:kern w:val="0"/>
      <w:sz w:val="24"/>
      <w:szCs w:val="20"/>
    </w:rPr>
  </w:style>
  <w:style w:type="paragraph" w:styleId="5">
    <w:name w:val="Document Map"/>
    <w:basedOn w:val="1"/>
    <w:link w:val="26"/>
    <w:qFormat/>
    <w:uiPriority w:val="0"/>
    <w:pPr>
      <w:shd w:val="clear" w:color="auto" w:fill="000080"/>
    </w:pPr>
    <w:rPr>
      <w:szCs w:val="24"/>
    </w:rPr>
  </w:style>
  <w:style w:type="paragraph" w:styleId="6">
    <w:name w:val="annotation text"/>
    <w:basedOn w:val="1"/>
    <w:link w:val="27"/>
    <w:qFormat/>
    <w:uiPriority w:val="0"/>
    <w:pPr>
      <w:jc w:val="left"/>
    </w:pPr>
  </w:style>
  <w:style w:type="paragraph" w:styleId="7">
    <w:name w:val="Body Text"/>
    <w:basedOn w:val="1"/>
    <w:link w:val="28"/>
    <w:qFormat/>
    <w:uiPriority w:val="0"/>
    <w:pPr>
      <w:spacing w:after="120"/>
    </w:pPr>
  </w:style>
  <w:style w:type="paragraph" w:styleId="8">
    <w:name w:val="Block Text"/>
    <w:basedOn w:val="1"/>
    <w:qFormat/>
    <w:uiPriority w:val="6"/>
    <w:pPr>
      <w:ind w:left="256" w:right="6" w:firstLine="624"/>
    </w:pPr>
    <w:rPr>
      <w:rFonts w:ascii="Times New Roman" w:hAnsi="Times New Roman" w:eastAsia="仿宋"/>
      <w:sz w:val="28"/>
      <w:szCs w:val="20"/>
    </w:rPr>
  </w:style>
  <w:style w:type="paragraph" w:styleId="9">
    <w:name w:val="Body Text Indent 2"/>
    <w:basedOn w:val="1"/>
    <w:qFormat/>
    <w:uiPriority w:val="0"/>
    <w:pPr>
      <w:snapToGrid w:val="0"/>
      <w:spacing w:line="380" w:lineRule="exact"/>
      <w:ind w:left="540" w:firstLine="360"/>
    </w:pPr>
    <w:rPr>
      <w:rFonts w:ascii="楷体_GB2312" w:eastAsia="楷体_GB2312"/>
      <w:sz w:val="24"/>
    </w:rPr>
  </w:style>
  <w:style w:type="paragraph" w:styleId="10">
    <w:name w:val="Balloon Text"/>
    <w:basedOn w:val="1"/>
    <w:link w:val="29"/>
    <w:qFormat/>
    <w:uiPriority w:val="0"/>
    <w:rPr>
      <w:sz w:val="18"/>
      <w:szCs w:val="18"/>
    </w:rPr>
  </w:style>
  <w:style w:type="paragraph" w:styleId="11">
    <w:name w:val="footer"/>
    <w:basedOn w:val="1"/>
    <w:link w:val="30"/>
    <w:qFormat/>
    <w:uiPriority w:val="99"/>
    <w:pPr>
      <w:tabs>
        <w:tab w:val="center" w:pos="4153"/>
        <w:tab w:val="right" w:pos="8306"/>
      </w:tabs>
      <w:snapToGrid w:val="0"/>
      <w:jc w:val="left"/>
    </w:pPr>
    <w:rPr>
      <w:sz w:val="18"/>
      <w:szCs w:val="18"/>
    </w:rPr>
  </w:style>
  <w:style w:type="paragraph" w:styleId="12">
    <w:name w:val="header"/>
    <w:basedOn w:val="1"/>
    <w:qFormat/>
    <w:uiPriority w:val="0"/>
    <w:pPr>
      <w:tabs>
        <w:tab w:val="center" w:pos="4153"/>
        <w:tab w:val="right" w:pos="8306"/>
      </w:tabs>
      <w:snapToGrid w:val="0"/>
      <w:jc w:val="center"/>
    </w:pPr>
    <w:rPr>
      <w:sz w:val="18"/>
      <w:szCs w:val="18"/>
    </w:rPr>
  </w:style>
  <w:style w:type="paragraph" w:styleId="13">
    <w:name w:val="Body Text Indent 3"/>
    <w:basedOn w:val="1"/>
    <w:qFormat/>
    <w:uiPriority w:val="0"/>
    <w:pPr>
      <w:snapToGrid w:val="0"/>
      <w:spacing w:line="380" w:lineRule="exact"/>
      <w:ind w:firstLine="480"/>
    </w:pPr>
    <w:rPr>
      <w:rFonts w:ascii="宋体" w:hAnsi="宋体"/>
    </w:rPr>
  </w:style>
  <w:style w:type="paragraph" w:styleId="14">
    <w:name w:val="Normal (Web)"/>
    <w:basedOn w:val="1"/>
    <w:qFormat/>
    <w:uiPriority w:val="0"/>
    <w:pPr>
      <w:spacing w:before="0" w:beforeAutospacing="0" w:after="150" w:afterAutospacing="0"/>
      <w:ind w:left="0" w:right="0"/>
      <w:jc w:val="left"/>
    </w:pPr>
    <w:rPr>
      <w:kern w:val="0"/>
      <w:sz w:val="24"/>
      <w:lang w:val="en-US" w:eastAsia="zh-CN" w:bidi="ar"/>
    </w:rPr>
  </w:style>
  <w:style w:type="character" w:styleId="17">
    <w:name w:val="Strong"/>
    <w:basedOn w:val="16"/>
    <w:qFormat/>
    <w:uiPriority w:val="0"/>
    <w:rPr>
      <w:b/>
      <w:bCs/>
    </w:rPr>
  </w:style>
  <w:style w:type="character" w:styleId="18">
    <w:name w:val="FollowedHyperlink"/>
    <w:basedOn w:val="16"/>
    <w:qFormat/>
    <w:uiPriority w:val="0"/>
    <w:rPr>
      <w:color w:val="337AB7"/>
      <w:u w:val="none"/>
    </w:rPr>
  </w:style>
  <w:style w:type="character" w:styleId="19">
    <w:name w:val="HTML Definition"/>
    <w:basedOn w:val="16"/>
    <w:qFormat/>
    <w:uiPriority w:val="0"/>
    <w:rPr>
      <w:i/>
      <w:iCs/>
    </w:rPr>
  </w:style>
  <w:style w:type="character" w:styleId="20">
    <w:name w:val="Hyperlink"/>
    <w:qFormat/>
    <w:uiPriority w:val="0"/>
    <w:rPr>
      <w:rFonts w:hint="default" w:ascii="_x000B__x000C_" w:hAnsi="_x000B__x000C_"/>
      <w:color w:val="000000"/>
      <w:sz w:val="20"/>
      <w:szCs w:val="20"/>
      <w:u w:val="none"/>
    </w:rPr>
  </w:style>
  <w:style w:type="character" w:styleId="21">
    <w:name w:val="HTML Code"/>
    <w:basedOn w:val="16"/>
    <w:qFormat/>
    <w:uiPriority w:val="0"/>
    <w:rPr>
      <w:rFonts w:ascii="Monaco" w:hAnsi="Monaco" w:eastAsia="Monaco" w:cs="Monaco"/>
      <w:color w:val="C7254E"/>
      <w:sz w:val="21"/>
      <w:szCs w:val="21"/>
      <w:shd w:val="clear" w:fill="F9F2F4"/>
    </w:rPr>
  </w:style>
  <w:style w:type="character" w:styleId="22">
    <w:name w:val="annotation reference"/>
    <w:qFormat/>
    <w:uiPriority w:val="0"/>
    <w:rPr>
      <w:sz w:val="21"/>
      <w:szCs w:val="21"/>
    </w:rPr>
  </w:style>
  <w:style w:type="character" w:styleId="23">
    <w:name w:val="HTML Keyboard"/>
    <w:basedOn w:val="16"/>
    <w:qFormat/>
    <w:uiPriority w:val="0"/>
    <w:rPr>
      <w:rFonts w:hint="default" w:ascii="Monaco" w:hAnsi="Monaco" w:eastAsia="Monaco" w:cs="Monaco"/>
      <w:color w:val="FFFFFF"/>
      <w:sz w:val="21"/>
      <w:szCs w:val="21"/>
      <w:shd w:val="clear" w:fill="333333"/>
    </w:rPr>
  </w:style>
  <w:style w:type="character" w:styleId="24">
    <w:name w:val="HTML Sample"/>
    <w:basedOn w:val="16"/>
    <w:qFormat/>
    <w:uiPriority w:val="0"/>
    <w:rPr>
      <w:rFonts w:hint="default" w:ascii="Monaco" w:hAnsi="Monaco" w:eastAsia="Monaco" w:cs="Monaco"/>
      <w:sz w:val="21"/>
      <w:szCs w:val="21"/>
    </w:rPr>
  </w:style>
  <w:style w:type="character" w:customStyle="1" w:styleId="25">
    <w:name w:val="标题 1 字符"/>
    <w:link w:val="3"/>
    <w:qFormat/>
    <w:uiPriority w:val="0"/>
    <w:rPr>
      <w:rFonts w:ascii="宋体" w:hAnsi="宋体"/>
      <w:b/>
      <w:bCs/>
      <w:sz w:val="24"/>
      <w:szCs w:val="24"/>
    </w:rPr>
  </w:style>
  <w:style w:type="character" w:customStyle="1" w:styleId="26">
    <w:name w:val="文档结构图 字符"/>
    <w:link w:val="5"/>
    <w:qFormat/>
    <w:uiPriority w:val="0"/>
    <w:rPr>
      <w:kern w:val="2"/>
      <w:sz w:val="21"/>
      <w:szCs w:val="24"/>
      <w:shd w:val="clear" w:color="auto" w:fill="000080"/>
    </w:rPr>
  </w:style>
  <w:style w:type="character" w:customStyle="1" w:styleId="27">
    <w:name w:val="批注文字 字符"/>
    <w:link w:val="6"/>
    <w:qFormat/>
    <w:uiPriority w:val="0"/>
    <w:rPr>
      <w:kern w:val="2"/>
      <w:sz w:val="21"/>
    </w:rPr>
  </w:style>
  <w:style w:type="character" w:customStyle="1" w:styleId="28">
    <w:name w:val="正文文本 字符"/>
    <w:link w:val="7"/>
    <w:qFormat/>
    <w:uiPriority w:val="0"/>
    <w:rPr>
      <w:kern w:val="2"/>
      <w:sz w:val="21"/>
    </w:rPr>
  </w:style>
  <w:style w:type="character" w:customStyle="1" w:styleId="29">
    <w:name w:val="批注框文本 字符"/>
    <w:link w:val="10"/>
    <w:qFormat/>
    <w:uiPriority w:val="0"/>
    <w:rPr>
      <w:kern w:val="2"/>
      <w:sz w:val="18"/>
      <w:szCs w:val="18"/>
    </w:rPr>
  </w:style>
  <w:style w:type="character" w:customStyle="1" w:styleId="30">
    <w:name w:val="页脚 字符"/>
    <w:link w:val="11"/>
    <w:qFormat/>
    <w:uiPriority w:val="99"/>
    <w:rPr>
      <w:kern w:val="2"/>
      <w:sz w:val="18"/>
      <w:szCs w:val="18"/>
    </w:rPr>
  </w:style>
  <w:style w:type="paragraph" w:customStyle="1" w:styleId="31">
    <w:name w:val="name"/>
    <w:basedOn w:val="1"/>
    <w:qFormat/>
    <w:uiPriority w:val="0"/>
    <w:pPr>
      <w:widowControl/>
      <w:overflowPunct w:val="0"/>
      <w:autoSpaceDE w:val="0"/>
      <w:autoSpaceDN w:val="0"/>
      <w:adjustRightInd w:val="0"/>
      <w:spacing w:line="360" w:lineRule="atLeast"/>
      <w:jc w:val="left"/>
      <w:textAlignment w:val="baseline"/>
    </w:pPr>
    <w:rPr>
      <w:rFonts w:ascii="宋体"/>
      <w:kern w:val="0"/>
      <w:sz w:val="24"/>
      <w:lang w:val="en-GB"/>
    </w:rPr>
  </w:style>
  <w:style w:type="paragraph" w:customStyle="1" w:styleId="32">
    <w:name w:val="正文列3_2"/>
    <w:basedOn w:val="1"/>
    <w:qFormat/>
    <w:uiPriority w:val="0"/>
    <w:pPr>
      <w:numPr>
        <w:ilvl w:val="0"/>
        <w:numId w:val="1"/>
      </w:numPr>
      <w:adjustRightInd w:val="0"/>
      <w:spacing w:line="360" w:lineRule="exact"/>
      <w:textAlignment w:val="baseline"/>
    </w:pPr>
    <w:rPr>
      <w:rFonts w:ascii="宋体"/>
      <w:kern w:val="0"/>
      <w:sz w:val="24"/>
    </w:rPr>
  </w:style>
  <w:style w:type="paragraph" w:customStyle="1" w:styleId="33">
    <w:name w:val="Char1"/>
    <w:basedOn w:val="1"/>
    <w:qFormat/>
    <w:uiPriority w:val="0"/>
    <w:rPr>
      <w:sz w:val="24"/>
      <w:szCs w:val="24"/>
    </w:rPr>
  </w:style>
  <w:style w:type="character" w:customStyle="1" w:styleId="34">
    <w:name w:val="subject1"/>
    <w:qFormat/>
    <w:uiPriority w:val="0"/>
    <w:rPr>
      <w:b/>
      <w:bCs/>
      <w:sz w:val="21"/>
      <w:szCs w:val="21"/>
    </w:rPr>
  </w:style>
  <w:style w:type="character" w:customStyle="1" w:styleId="35">
    <w:name w:val="apple-converted-space"/>
    <w:qFormat/>
    <w:uiPriority w:val="0"/>
  </w:style>
  <w:style w:type="paragraph" w:customStyle="1" w:styleId="36">
    <w:name w:val="标题2"/>
    <w:basedOn w:val="1"/>
    <w:qFormat/>
    <w:uiPriority w:val="0"/>
    <w:pPr>
      <w:widowControl/>
      <w:overflowPunct w:val="0"/>
      <w:autoSpaceDE w:val="0"/>
      <w:autoSpaceDN w:val="0"/>
      <w:adjustRightInd w:val="0"/>
      <w:spacing w:after="240" w:line="360" w:lineRule="atLeast"/>
      <w:jc w:val="center"/>
      <w:textAlignment w:val="baseline"/>
    </w:pPr>
    <w:rPr>
      <w:rFonts w:ascii="黑体" w:hAnsi="Times New Roman" w:eastAsia="黑体" w:cs="Times New Roman"/>
      <w:kern w:val="0"/>
      <w:sz w:val="32"/>
      <w:szCs w:val="20"/>
    </w:rPr>
  </w:style>
  <w:style w:type="paragraph" w:customStyle="1" w:styleId="37">
    <w:name w:val="列出段落1"/>
    <w:basedOn w:val="1"/>
    <w:qFormat/>
    <w:uiPriority w:val="99"/>
    <w:pPr>
      <w:ind w:firstLine="420" w:firstLineChars="200"/>
    </w:pPr>
    <w:rPr>
      <w:rFonts w:ascii="Calibri" w:hAnsi="Calibri" w:eastAsia="宋体" w:cs="Times New Roman"/>
      <w:kern w:val="0"/>
      <w:sz w:val="20"/>
      <w:szCs w:val="20"/>
    </w:rPr>
  </w:style>
  <w:style w:type="paragraph" w:customStyle="1" w:styleId="38">
    <w:name w:val="_Style 29"/>
    <w:unhideWhenUsed/>
    <w:qFormat/>
    <w:uiPriority w:val="99"/>
    <w:rPr>
      <w:rFonts w:ascii="Times New Roman" w:hAnsi="Times New Roman" w:eastAsia="宋体" w:cs="Times New Roman"/>
      <w:kern w:val="2"/>
      <w:sz w:val="21"/>
      <w:lang w:val="en-US" w:eastAsia="zh-CN" w:bidi="ar-SA"/>
    </w:rPr>
  </w:style>
  <w:style w:type="character" w:customStyle="1" w:styleId="39">
    <w:name w:val="indent"/>
    <w:basedOn w:val="16"/>
    <w:qFormat/>
    <w:uiPriority w:val="0"/>
  </w:style>
  <w:style w:type="character" w:customStyle="1" w:styleId="40">
    <w:name w:val="icon"/>
    <w:basedOn w:val="16"/>
    <w:qFormat/>
    <w:uiPriority w:val="0"/>
  </w:style>
  <w:style w:type="paragraph" w:customStyle="1" w:styleId="41">
    <w:name w:val="_Style 40"/>
    <w:basedOn w:val="1"/>
    <w:next w:val="1"/>
    <w:qFormat/>
    <w:uiPriority w:val="0"/>
    <w:pPr>
      <w:pBdr>
        <w:bottom w:val="single" w:color="auto" w:sz="6" w:space="1"/>
      </w:pBdr>
      <w:jc w:val="center"/>
    </w:pPr>
    <w:rPr>
      <w:rFonts w:ascii="Arial" w:eastAsia="宋体"/>
      <w:vanish/>
      <w:sz w:val="16"/>
    </w:rPr>
  </w:style>
  <w:style w:type="paragraph" w:customStyle="1" w:styleId="42">
    <w:name w:val="_Style 41"/>
    <w:basedOn w:val="1"/>
    <w:next w:val="1"/>
    <w:qFormat/>
    <w:uiPriority w:val="0"/>
    <w:pPr>
      <w:pBdr>
        <w:top w:val="single" w:color="auto" w:sz="6" w:space="1"/>
      </w:pBdr>
      <w:jc w:val="center"/>
    </w:pPr>
    <w:rPr>
      <w:rFonts w:ascii="Arial" w:eastAsia="宋体"/>
      <w:vanish/>
      <w:sz w:val="16"/>
    </w:rPr>
  </w:style>
  <w:style w:type="character" w:customStyle="1" w:styleId="43">
    <w:name w:val="font21"/>
    <w:basedOn w:val="16"/>
    <w:qFormat/>
    <w:uiPriority w:val="0"/>
    <w:rPr>
      <w:rFonts w:hint="eastAsia" w:ascii="宋体" w:hAnsi="宋体" w:eastAsia="宋体" w:cs="宋体"/>
      <w:color w:val="000000"/>
      <w:sz w:val="18"/>
      <w:szCs w:val="18"/>
      <w:u w:val="none"/>
    </w:rPr>
  </w:style>
  <w:style w:type="character" w:customStyle="1" w:styleId="44">
    <w:name w:val="font31"/>
    <w:basedOn w:val="16"/>
    <w:qFormat/>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31</Pages>
  <Words>2070</Words>
  <Characters>11801</Characters>
  <Lines>98</Lines>
  <Paragraphs>27</Paragraphs>
  <TotalTime>2</TotalTime>
  <ScaleCrop>false</ScaleCrop>
  <LinksUpToDate>false</LinksUpToDate>
  <CharactersWithSpaces>13844</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2015-12-16T03:00:00Z</dcterms:created>
  <dc:creator>微软用户</dc:creator>
  <cp:lastModifiedBy>tianfengxz@js.cmcc</cp:lastModifiedBy>
  <dcterms:modified xsi:type="dcterms:W3CDTF">2025-01-06T07:10:47Z</dcterms:modified>
  <dc:title>合同编号：</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761E3C4D8731460692C52054EFE67087</vt:lpwstr>
  </property>
</Properties>
</file>