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A1FF1">
      <w:pPr>
        <w:pStyle w:val="2"/>
        <w:spacing w:before="120" w:after="120" w:line="400" w:lineRule="exact"/>
        <w:jc w:val="center"/>
        <w:rPr>
          <w:rFonts w:hint="eastAsia" w:ascii="黑体" w:hAnsi="黑体" w:eastAsia="黑体"/>
          <w:b w:val="0"/>
          <w:bCs w:val="0"/>
          <w:sz w:val="32"/>
          <w:highlight w:val="none"/>
        </w:rPr>
      </w:pPr>
      <w:r>
        <w:rPr>
          <w:rFonts w:hint="eastAsia" w:ascii="黑体" w:hAnsi="黑体" w:eastAsia="黑体"/>
          <w:b w:val="0"/>
          <w:bCs w:val="0"/>
          <w:sz w:val="32"/>
          <w:highlight w:val="none"/>
        </w:rPr>
        <w:t>技术标准和要求</w:t>
      </w:r>
    </w:p>
    <w:p w14:paraId="1EBC0AC6">
      <w:pPr>
        <w:spacing w:before="120" w:after="120" w:line="400" w:lineRule="exact"/>
        <w:ind w:firstLine="643" w:firstLineChars="200"/>
        <w:jc w:val="center"/>
        <w:rPr>
          <w:rFonts w:hint="eastAsia" w:ascii="黑体" w:hAnsi="黑体" w:eastAsia="黑体"/>
          <w:b/>
          <w:bCs/>
          <w:sz w:val="32"/>
          <w:highlight w:val="none"/>
        </w:rPr>
      </w:pPr>
    </w:p>
    <w:p w14:paraId="6328FA75">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国家及行业颁布的与本标工程有关的各种现行有效版本的技术规范、规程、设计院和制造厂技术文件上的质量要求适用于本标工程。</w:t>
      </w:r>
    </w:p>
    <w:p w14:paraId="381A5E55">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对不在现行规范标、准范围内的，执行发包人和承包人双方商定的补充技术标准。</w:t>
      </w:r>
    </w:p>
    <w:p w14:paraId="60A89E73">
      <w:pPr>
        <w:pStyle w:val="6"/>
        <w:widowControl/>
        <w:numPr>
          <w:ilvl w:val="0"/>
          <w:numId w:val="1"/>
        </w:numPr>
        <w:adjustRightInd w:val="0"/>
        <w:snapToGrid w:val="0"/>
        <w:spacing w:line="360" w:lineRule="auto"/>
        <w:ind w:left="0" w:leftChars="0" w:firstLine="0" w:firstLineChars="0"/>
        <w:rPr>
          <w:rFonts w:hint="eastAsia" w:ascii="宋体" w:hAnsi="宋体" w:cs="宋体"/>
          <w:szCs w:val="21"/>
          <w:highlight w:val="none"/>
        </w:rPr>
      </w:pPr>
      <w:r>
        <w:rPr>
          <w:rFonts w:hint="eastAsia" w:ascii="宋体" w:hAnsi="宋体" w:cs="宋体"/>
          <w:szCs w:val="21"/>
          <w:highlight w:val="none"/>
        </w:rPr>
        <w:t>本工程执行下列有关规范、规程但不限于以下规程、规范，若有新的标准则执行新标准，替代原有标准。在工程施工期间，如果有新版本的规范和标准颁布，原则上应执行新版本的规范和标准，特殊情况仍需执行非最新版本的规范和标准的，需征得招标单位或监理人批准。承包人提供的材料、设备以及施工、验收标准均应满足相关规范。除上述国家及行业颁发的规范、规程以外，检查验收仍需遵照如下图纸、文件：</w:t>
      </w:r>
    </w:p>
    <w:p w14:paraId="35B847B5">
      <w:pPr>
        <w:pStyle w:val="6"/>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经会审签证的施工图纸和设计文件；</w:t>
      </w:r>
    </w:p>
    <w:p w14:paraId="675C099C">
      <w:pPr>
        <w:pStyle w:val="6"/>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批准签证的设计变更；</w:t>
      </w:r>
    </w:p>
    <w:p w14:paraId="2592F5CC">
      <w:pPr>
        <w:pStyle w:val="6"/>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设备制造厂家提供的图纸和技术文件；</w:t>
      </w:r>
    </w:p>
    <w:p w14:paraId="62872131">
      <w:pPr>
        <w:pStyle w:val="6"/>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发包人与承包人、设备材料供货商签订的合同文件中有关质量的条款；</w:t>
      </w:r>
    </w:p>
    <w:p w14:paraId="0135A427">
      <w:pPr>
        <w:pStyle w:val="6"/>
        <w:widowControl/>
        <w:numPr>
          <w:ilvl w:val="0"/>
          <w:numId w:val="1"/>
        </w:numPr>
        <w:adjustRightInd w:val="0"/>
        <w:snapToGrid w:val="0"/>
        <w:spacing w:line="360" w:lineRule="auto"/>
        <w:ind w:left="0" w:firstLine="420" w:firstLineChars="200"/>
        <w:rPr>
          <w:rFonts w:hint="eastAsia" w:ascii="宋体" w:hAnsi="宋体" w:cs="宋体"/>
          <w:szCs w:val="21"/>
          <w:highlight w:val="none"/>
        </w:rPr>
      </w:pPr>
      <w:r>
        <w:rPr>
          <w:rFonts w:hint="eastAsia" w:ascii="宋体" w:hAnsi="宋体" w:cs="宋体"/>
          <w:szCs w:val="21"/>
          <w:highlight w:val="none"/>
        </w:rPr>
        <w:t>发包人与监理人签订的合同文件及相关监理文件；</w:t>
      </w:r>
    </w:p>
    <w:p w14:paraId="6F9408C6">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承包人应按合同规定向发包人提交本工程承包人的质量保证体系文件，及适用于本工程的质保手册和质保措施。</w:t>
      </w:r>
    </w:p>
    <w:p w14:paraId="196772F7">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如果发包人要求高于规范标准的，按合同约定要求执行。</w:t>
      </w:r>
    </w:p>
    <w:p w14:paraId="1669D609">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不发生重大及以上质量事故，分项工程（单元工程）合格率100%，优良品率: 建筑工程优良率≧95%。</w:t>
      </w:r>
    </w:p>
    <w:p w14:paraId="03D43624">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建设过程中不发生由于施工、调试、运行责任造成的重大质量事故；</w:t>
      </w:r>
    </w:p>
    <w:p w14:paraId="7B969085">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施工图纸无论与招标阶段提供的图纸有无偏差，或名称是否与招标阶段相同、内容有无变化，投标方必须按照设计院出具的正式施工图纸（蓝图）施工，投标方已经按自己的施工经验在合同总报价中含概。</w:t>
      </w:r>
    </w:p>
    <w:p w14:paraId="3D3B792D">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本标段区域内的工程需要材料及实体结构所需做的试验及检测费用由承包人负责。</w:t>
      </w:r>
    </w:p>
    <w:p w14:paraId="5494F842">
      <w:pPr>
        <w:pStyle w:val="6"/>
        <w:widowControl/>
        <w:numPr>
          <w:ilvl w:val="0"/>
          <w:numId w:val="1"/>
        </w:numPr>
        <w:adjustRightInd w:val="0"/>
        <w:snapToGrid w:val="0"/>
        <w:spacing w:line="360" w:lineRule="auto"/>
        <w:ind w:left="0" w:leftChars="0" w:firstLine="420" w:firstLineChars="200"/>
        <w:rPr>
          <w:rFonts w:hint="eastAsia" w:ascii="宋体" w:hAnsi="宋体" w:cs="宋体"/>
          <w:szCs w:val="21"/>
          <w:highlight w:val="none"/>
        </w:rPr>
      </w:pPr>
      <w:r>
        <w:rPr>
          <w:rFonts w:hint="eastAsia" w:ascii="宋体" w:hAnsi="宋体" w:cs="宋体"/>
          <w:szCs w:val="21"/>
          <w:highlight w:val="none"/>
        </w:rPr>
        <w:t>桩基础工作：</w:t>
      </w:r>
    </w:p>
    <w:p w14:paraId="15756A20">
      <w:pPr>
        <w:spacing w:line="360" w:lineRule="auto"/>
        <w:ind w:left="0" w:firstLine="420" w:firstLineChars="200"/>
        <w:rPr>
          <w:rFonts w:ascii="宋体" w:hAnsi="宋体" w:cs="宋体"/>
          <w:szCs w:val="21"/>
          <w:highlight w:val="none"/>
        </w:rPr>
      </w:pPr>
      <w:r>
        <w:rPr>
          <w:rFonts w:hint="eastAsia" w:ascii="宋体" w:hAnsi="宋体" w:cs="宋体"/>
          <w:szCs w:val="21"/>
          <w:highlight w:val="none"/>
        </w:rPr>
        <w:t>桩基清理、桩头处理【破桩头：采用切割机切割破除，不允许采用大锤破碎野蛮施工等方式施工】、混凝土填芯（如有）、桩顶构造、建筑垃圾外运。</w:t>
      </w:r>
    </w:p>
    <w:p w14:paraId="03A41396">
      <w:pPr>
        <w:pStyle w:val="3"/>
        <w:widowControl/>
        <w:numPr>
          <w:ilvl w:val="0"/>
          <w:numId w:val="1"/>
        </w:numPr>
        <w:adjustRightInd w:val="0"/>
        <w:snapToGrid w:val="0"/>
        <w:spacing w:line="360" w:lineRule="auto"/>
        <w:ind w:left="0" w:firstLine="420" w:firstLineChars="200"/>
        <w:rPr>
          <w:rFonts w:hint="eastAsia" w:hAnsi="宋体" w:cs="宋体"/>
          <w:highlight w:val="none"/>
        </w:rPr>
      </w:pPr>
      <w:r>
        <w:rPr>
          <w:rFonts w:hint="eastAsia" w:hAnsi="宋体" w:cs="宋体"/>
          <w:szCs w:val="21"/>
          <w:highlight w:val="none"/>
        </w:rPr>
        <w:t>看护与维护：未交付工程承包方应做好看护与维护，厂区照明、道路及广场在施工期间及竣工交接前的看护与维护；2）标段内雨、给排水系统安装、调试、施工期间及竣工交接前的看护与维护。均至标段内建筑整体验收并移交之日为止。</w:t>
      </w:r>
    </w:p>
    <w:p w14:paraId="412EC189">
      <w:pPr>
        <w:pStyle w:val="3"/>
        <w:widowControl/>
        <w:numPr>
          <w:ilvl w:val="0"/>
          <w:numId w:val="1"/>
        </w:numPr>
        <w:adjustRightInd w:val="0"/>
        <w:snapToGrid w:val="0"/>
        <w:spacing w:line="360" w:lineRule="auto"/>
        <w:ind w:left="0" w:firstLine="420" w:firstLineChars="200"/>
        <w:rPr>
          <w:rFonts w:hint="eastAsia" w:hAnsi="宋体" w:cs="宋体"/>
          <w:highlight w:val="none"/>
        </w:rPr>
      </w:pPr>
      <w:r>
        <w:rPr>
          <w:rFonts w:hint="eastAsia" w:hAnsi="宋体" w:cs="宋体"/>
          <w:szCs w:val="21"/>
          <w:highlight w:val="none"/>
        </w:rPr>
        <w:t>厂区地面：厂区原有地面施工方负责按照不低于原有标准修复。</w:t>
      </w:r>
    </w:p>
    <w:p w14:paraId="05FCEDBB">
      <w:r>
        <w:rPr>
          <w:rFonts w:hint="eastAsia" w:hAnsi="宋体" w:cs="宋体"/>
          <w:szCs w:val="21"/>
          <w:highlight w:val="none"/>
        </w:rPr>
        <w:t>垃圾外运投标人负责。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62AF8"/>
    <w:multiLevelType w:val="multilevel"/>
    <w:tmpl w:val="6FE62AF8"/>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decimal"/>
      <w:lvlText w:val="%3）"/>
      <w:lvlJc w:val="left"/>
      <w:pPr>
        <w:ind w:left="1240" w:hanging="36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A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6">
    <w:name w:val="List Paragraph"/>
    <w:basedOn w:val="1"/>
    <w:autoRedefine/>
    <w:qFormat/>
    <w:uiPriority w:val="34"/>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2025-03-07T08:21:43Z</dcterms:created>
  <dc:creator>Administrator</dc:creator>
  <cp:lastModifiedBy>微信用户</cp:lastModifiedBy>
  <dcterms:modified xsi:type="dcterms:W3CDTF">2025-03-07T08:21:47Z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eyJoZGlkIjoiOTI5YjBlNWU0ZGZjYTMyYTFkMmVlYzc0YzkzZmFjNTUiLCJ1c2VySWQiOiIxMjExNzkxNzI5In0=</vt:lpwstr>
  </property>
  <property fmtid="{D5CDD505-2E9C-101B-9397-08002B2CF9AE}" pid="4" name="ICV">
    <vt:lpwstr>56568CAF4A134FEDABF278C15EAD4ED5_12</vt:lpwstr>
  </property>
</Properties>
</file>