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6B0F8">
      <w:pPr>
        <w:spacing w:before="68" w:line="219" w:lineRule="auto"/>
        <w:jc w:val="center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黑龙江北方有色建设有限责任公司绥化-兴福 500千伏线路工程商品混凝土第三批电商化采购项目</w:t>
      </w:r>
      <w:r>
        <w:rPr>
          <w:rFonts w:ascii="宋体" w:hAnsi="宋体" w:eastAsia="宋体" w:cs="宋体"/>
          <w:b/>
          <w:bCs/>
          <w:spacing w:val="-6"/>
          <w:sz w:val="28"/>
          <w:szCs w:val="28"/>
          <w:highlight w:val="none"/>
        </w:rPr>
        <w:t>招标公告</w:t>
      </w:r>
    </w:p>
    <w:p w14:paraId="08B7935C">
      <w:pPr>
        <w:spacing w:before="20" w:line="228" w:lineRule="auto"/>
        <w:ind w:left="614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1.招标条件</w:t>
      </w:r>
    </w:p>
    <w:p w14:paraId="75BBAD3B">
      <w:pPr>
        <w:spacing w:before="162" w:line="377" w:lineRule="auto"/>
        <w:ind w:left="180" w:right="214" w:firstLine="424"/>
        <w:jc w:val="both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pacing w:val="10"/>
          <w:sz w:val="20"/>
          <w:szCs w:val="20"/>
          <w:highlight w:val="none"/>
          <w:lang w:eastAsia="zh-CN"/>
        </w:rPr>
        <w:t>黑龙江北方有色建设有限责任公司绥化-兴福 500千伏线路工程商品混凝土第三批电商化采购项目</w:t>
      </w:r>
      <w:r>
        <w:rPr>
          <w:rFonts w:ascii="宋体" w:hAnsi="宋体" w:eastAsia="宋体" w:cs="宋体"/>
          <w:spacing w:val="-1"/>
          <w:sz w:val="20"/>
          <w:szCs w:val="20"/>
          <w:highlight w:val="none"/>
        </w:rPr>
        <w:t>（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以下简称“本项目</w:t>
      </w:r>
      <w:r>
        <w:rPr>
          <w:rFonts w:ascii="宋体" w:hAnsi="宋体" w:eastAsia="宋体" w:cs="宋体"/>
          <w:spacing w:val="-7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”</w:t>
      </w:r>
      <w:r>
        <w:rPr>
          <w:rFonts w:ascii="宋体" w:hAnsi="宋体" w:eastAsia="宋体" w:cs="宋体"/>
          <w:spacing w:val="-1"/>
          <w:sz w:val="20"/>
          <w:szCs w:val="20"/>
          <w:highlight w:val="none"/>
        </w:rPr>
        <w:t>），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招标人为</w:t>
      </w:r>
      <w:r>
        <w:rPr>
          <w:rFonts w:hint="eastAsia" w:ascii="宋体" w:hAnsi="宋体" w:eastAsia="宋体" w:cs="宋体"/>
          <w:spacing w:val="10"/>
          <w:sz w:val="20"/>
          <w:szCs w:val="20"/>
          <w:highlight w:val="none"/>
          <w:lang w:eastAsia="zh-CN"/>
        </w:rPr>
        <w:t>黑龙江北方有色建设有限责任公司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，资金来源为企业自筹。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本项目已具备招标条件，现对本项目进行公开招标。</w:t>
      </w:r>
    </w:p>
    <w:p w14:paraId="674EEB37">
      <w:pPr>
        <w:spacing w:before="1" w:line="227" w:lineRule="auto"/>
        <w:ind w:left="60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2.项目概况与招标范围</w:t>
      </w:r>
    </w:p>
    <w:p w14:paraId="5077D105">
      <w:pPr>
        <w:spacing w:before="162" w:line="226" w:lineRule="auto"/>
        <w:ind w:left="601"/>
        <w:rPr>
          <w:rFonts w:hint="eastAsia" w:ascii="宋体" w:hAnsi="宋体" w:eastAsia="宋体" w:cs="宋体"/>
          <w:spacing w:val="8"/>
          <w:sz w:val="20"/>
          <w:szCs w:val="20"/>
          <w:highlight w:val="none"/>
          <w:lang w:eastAsia="zh-CN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2.1</w:t>
      </w:r>
      <w:r>
        <w:rPr>
          <w:rFonts w:ascii="宋体" w:hAnsi="宋体" w:eastAsia="宋体" w:cs="宋体"/>
          <w:spacing w:val="-3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项目名称：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eastAsia="zh-CN"/>
        </w:rPr>
        <w:t>黑龙江北方有色建设有限责任公司绥化-兴福 500千伏线路工程商品混凝土第三批电商化采购项目</w:t>
      </w:r>
    </w:p>
    <w:p w14:paraId="1FD3CFBD">
      <w:pPr>
        <w:spacing w:before="162" w:line="226" w:lineRule="auto"/>
        <w:ind w:left="601"/>
        <w:rPr>
          <w:rFonts w:hint="default" w:ascii="宋体" w:hAnsi="宋体" w:eastAsia="宋体" w:cs="宋体"/>
          <w:sz w:val="20"/>
          <w:szCs w:val="20"/>
          <w:highlight w:val="none"/>
          <w:lang w:val="en-US" w:eastAsia="zh-CN"/>
        </w:rPr>
      </w:pP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2.2</w:t>
      </w:r>
      <w:r>
        <w:rPr>
          <w:rFonts w:ascii="宋体" w:hAnsi="宋体" w:eastAsia="宋体" w:cs="宋体"/>
          <w:spacing w:val="-2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项目编号：</w:t>
      </w:r>
      <w:r>
        <w:rPr>
          <w:rFonts w:hint="eastAsia" w:ascii="宋体" w:hAnsi="宋体" w:eastAsia="宋体" w:cs="宋体"/>
          <w:sz w:val="20"/>
          <w:szCs w:val="20"/>
          <w:highlight w:val="none"/>
          <w:lang w:eastAsia="zh-CN"/>
        </w:rPr>
        <w:t>KT-202</w:t>
      </w:r>
      <w:r>
        <w:rPr>
          <w:rFonts w:hint="eastAsia" w:ascii="宋体" w:hAnsi="宋体" w:eastAsia="宋体" w:cs="宋体"/>
          <w:sz w:val="20"/>
          <w:szCs w:val="2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0"/>
          <w:szCs w:val="20"/>
          <w:highlight w:val="none"/>
          <w:lang w:eastAsia="zh-CN"/>
        </w:rPr>
        <w:t>DW-00</w:t>
      </w:r>
      <w:r>
        <w:rPr>
          <w:rFonts w:hint="eastAsia" w:ascii="宋体" w:hAnsi="宋体" w:eastAsia="宋体" w:cs="宋体"/>
          <w:sz w:val="20"/>
          <w:szCs w:val="20"/>
          <w:highlight w:val="none"/>
          <w:lang w:val="en-US" w:eastAsia="zh-CN"/>
        </w:rPr>
        <w:t>1</w:t>
      </w:r>
    </w:p>
    <w:p w14:paraId="63FADA19">
      <w:pPr>
        <w:spacing w:before="162" w:line="234" w:lineRule="auto"/>
        <w:ind w:left="194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2.3</w:t>
      </w:r>
      <w:r>
        <w:rPr>
          <w:rFonts w:ascii="宋体" w:hAnsi="宋体" w:eastAsia="宋体" w:cs="宋体"/>
          <w:spacing w:val="-2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项目概况：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eastAsia="zh-CN"/>
        </w:rPr>
        <w:t>绥化-兴福 500千伏线路工程</w:t>
      </w:r>
      <w:r>
        <w:rPr>
          <w:rFonts w:ascii="宋体" w:hAnsi="宋体" w:eastAsia="宋体" w:cs="宋体"/>
          <w:spacing w:val="-2"/>
          <w:sz w:val="20"/>
          <w:szCs w:val="20"/>
          <w:highlight w:val="none"/>
        </w:rPr>
        <w:t>。</w:t>
      </w:r>
    </w:p>
    <w:p w14:paraId="294BCF4F">
      <w:pPr>
        <w:spacing w:before="157" w:line="227" w:lineRule="auto"/>
        <w:ind w:left="60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2.4</w:t>
      </w:r>
      <w:r>
        <w:rPr>
          <w:rFonts w:ascii="宋体" w:hAnsi="宋体" w:eastAsia="宋体" w:cs="宋体"/>
          <w:spacing w:val="-4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招标范围及标段划分：混凝土采购。本项目共划分为</w:t>
      </w:r>
      <w:r>
        <w:rPr>
          <w:rFonts w:ascii="宋体" w:hAnsi="宋体" w:eastAsia="宋体" w:cs="宋体"/>
          <w:spacing w:val="-23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1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个标段，即</w:t>
      </w:r>
      <w:r>
        <w:rPr>
          <w:rFonts w:ascii="宋体" w:hAnsi="宋体" w:eastAsia="宋体" w:cs="宋体"/>
          <w:spacing w:val="-4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A1标段。</w:t>
      </w:r>
    </w:p>
    <w:p w14:paraId="2E0CFD46">
      <w:pPr>
        <w:spacing w:line="131" w:lineRule="exact"/>
        <w:rPr>
          <w:highlight w:val="none"/>
        </w:rPr>
      </w:pPr>
    </w:p>
    <w:tbl>
      <w:tblPr>
        <w:tblStyle w:val="5"/>
        <w:tblW w:w="9407" w:type="dxa"/>
        <w:tblInd w:w="2" w:type="dxa"/>
        <w:tblBorders>
          <w:top w:val="dotted" w:color="000000" w:sz="2" w:space="0"/>
          <w:left w:val="dotted" w:color="000000" w:sz="2" w:space="0"/>
          <w:bottom w:val="dotted" w:color="000000" w:sz="2" w:space="0"/>
          <w:right w:val="dotted" w:color="000000" w:sz="2" w:space="0"/>
          <w:insideH w:val="dotted" w:color="000000" w:sz="2" w:space="0"/>
          <w:insideV w:val="dotted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951"/>
        <w:gridCol w:w="1223"/>
        <w:gridCol w:w="1096"/>
        <w:gridCol w:w="731"/>
        <w:gridCol w:w="1692"/>
        <w:gridCol w:w="1520"/>
        <w:gridCol w:w="1525"/>
      </w:tblGrid>
      <w:tr w14:paraId="5F723802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669" w:type="dxa"/>
            <w:tcBorders>
              <w:right w:val="single" w:color="000000" w:sz="2" w:space="0"/>
            </w:tcBorders>
            <w:vAlign w:val="top"/>
          </w:tcPr>
          <w:p w14:paraId="2A3DDAD9">
            <w:pPr>
              <w:pStyle w:val="4"/>
              <w:spacing w:before="161" w:line="220" w:lineRule="auto"/>
              <w:ind w:left="15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标段</w:t>
            </w: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65C586B6">
            <w:pPr>
              <w:pStyle w:val="4"/>
              <w:spacing w:before="161" w:line="221" w:lineRule="auto"/>
              <w:ind w:left="300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名称</w:t>
            </w:r>
          </w:p>
        </w:tc>
        <w:tc>
          <w:tcPr>
            <w:tcW w:w="1223" w:type="dxa"/>
            <w:vAlign w:val="top"/>
          </w:tcPr>
          <w:p w14:paraId="44EBD4B1">
            <w:pPr>
              <w:pStyle w:val="4"/>
              <w:spacing w:before="161" w:line="219" w:lineRule="auto"/>
              <w:ind w:left="25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规格型号</w:t>
            </w:r>
          </w:p>
        </w:tc>
        <w:tc>
          <w:tcPr>
            <w:tcW w:w="1096" w:type="dxa"/>
            <w:vAlign w:val="top"/>
          </w:tcPr>
          <w:p w14:paraId="53CDB9B1">
            <w:pPr>
              <w:pStyle w:val="4"/>
              <w:spacing w:before="161" w:line="219" w:lineRule="auto"/>
              <w:ind w:left="372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数量</w:t>
            </w:r>
          </w:p>
        </w:tc>
        <w:tc>
          <w:tcPr>
            <w:tcW w:w="731" w:type="dxa"/>
            <w:vAlign w:val="top"/>
          </w:tcPr>
          <w:p w14:paraId="6E2993B1">
            <w:pPr>
              <w:pStyle w:val="4"/>
              <w:spacing w:before="161" w:line="220" w:lineRule="auto"/>
              <w:ind w:left="190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单位</w:t>
            </w:r>
          </w:p>
        </w:tc>
        <w:tc>
          <w:tcPr>
            <w:tcW w:w="1692" w:type="dxa"/>
            <w:vAlign w:val="top"/>
          </w:tcPr>
          <w:p w14:paraId="3EE04E9C">
            <w:pPr>
              <w:pStyle w:val="4"/>
              <w:spacing w:before="43" w:line="218" w:lineRule="auto"/>
              <w:ind w:left="131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单价最高限价（元</w:t>
            </w:r>
          </w:p>
          <w:p w14:paraId="54D7E839">
            <w:pPr>
              <w:pStyle w:val="4"/>
              <w:spacing w:before="19" w:line="219" w:lineRule="auto"/>
              <w:ind w:left="357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人民币/m³</w:t>
            </w:r>
            <w:r>
              <w:rPr>
                <w:spacing w:val="-61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)</w:t>
            </w:r>
          </w:p>
        </w:tc>
        <w:tc>
          <w:tcPr>
            <w:tcW w:w="1520" w:type="dxa"/>
            <w:vAlign w:val="top"/>
          </w:tcPr>
          <w:p w14:paraId="3EDFC101">
            <w:pPr>
              <w:pStyle w:val="4"/>
              <w:spacing w:before="43" w:line="230" w:lineRule="auto"/>
              <w:ind w:left="235" w:right="215" w:hanging="7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最高投标限价</w:t>
            </w:r>
            <w:r>
              <w:rPr>
                <w:spacing w:val="-3"/>
                <w:highlight w:val="none"/>
              </w:rPr>
              <w:t>（元人民币）</w:t>
            </w:r>
          </w:p>
        </w:tc>
        <w:tc>
          <w:tcPr>
            <w:tcW w:w="1525" w:type="dxa"/>
            <w:vAlign w:val="top"/>
          </w:tcPr>
          <w:p w14:paraId="2B17753D">
            <w:pPr>
              <w:pStyle w:val="4"/>
              <w:spacing w:before="161" w:line="221" w:lineRule="auto"/>
              <w:ind w:left="587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备注</w:t>
            </w:r>
          </w:p>
        </w:tc>
      </w:tr>
      <w:tr w14:paraId="33FE68C9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69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73DAD7A8">
            <w:pPr>
              <w:spacing w:line="289" w:lineRule="auto"/>
              <w:rPr>
                <w:rFonts w:ascii="Arial"/>
                <w:sz w:val="21"/>
                <w:highlight w:val="none"/>
              </w:rPr>
            </w:pPr>
          </w:p>
          <w:p w14:paraId="51332356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3E0DA5EA">
            <w:pPr>
              <w:spacing w:line="290" w:lineRule="auto"/>
              <w:rPr>
                <w:rFonts w:ascii="Arial"/>
                <w:sz w:val="21"/>
                <w:highlight w:val="none"/>
              </w:rPr>
            </w:pPr>
          </w:p>
          <w:p w14:paraId="2D56B02A">
            <w:pPr>
              <w:pStyle w:val="4"/>
              <w:spacing w:before="59" w:line="241" w:lineRule="auto"/>
              <w:ind w:left="242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A1</w:t>
            </w: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65E02DC5">
            <w:pPr>
              <w:pStyle w:val="4"/>
              <w:spacing w:before="162" w:line="221" w:lineRule="auto"/>
              <w:ind w:left="20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混凝土</w:t>
            </w:r>
          </w:p>
        </w:tc>
        <w:tc>
          <w:tcPr>
            <w:tcW w:w="1223" w:type="dxa"/>
            <w:vAlign w:val="top"/>
          </w:tcPr>
          <w:p w14:paraId="49D82F37">
            <w:pPr>
              <w:pStyle w:val="4"/>
              <w:spacing w:before="162"/>
              <w:ind w:left="478"/>
              <w:rPr>
                <w:highlight w:val="none"/>
              </w:rPr>
            </w:pPr>
            <w:r>
              <w:rPr>
                <w:rFonts w:hint="eastAsia"/>
                <w:spacing w:val="-2"/>
                <w:highlight w:val="none"/>
              </w:rPr>
              <w:t>C35防冻</w:t>
            </w:r>
          </w:p>
        </w:tc>
        <w:tc>
          <w:tcPr>
            <w:tcW w:w="1096" w:type="dxa"/>
            <w:vAlign w:val="top"/>
          </w:tcPr>
          <w:p w14:paraId="61B66156">
            <w:pPr>
              <w:pStyle w:val="4"/>
              <w:spacing w:before="162"/>
              <w:ind w:left="341"/>
              <w:rPr>
                <w:highlight w:val="none"/>
              </w:rPr>
            </w:pPr>
            <w:r>
              <w:rPr>
                <w:rFonts w:hint="eastAsia"/>
                <w:spacing w:val="-4"/>
                <w:highlight w:val="none"/>
              </w:rPr>
              <w:t>6200</w:t>
            </w:r>
          </w:p>
        </w:tc>
        <w:tc>
          <w:tcPr>
            <w:tcW w:w="731" w:type="dxa"/>
            <w:vAlign w:val="top"/>
          </w:tcPr>
          <w:p w14:paraId="00FE4BA9">
            <w:pPr>
              <w:pStyle w:val="4"/>
              <w:spacing w:before="163" w:line="241" w:lineRule="auto"/>
              <w:ind w:left="27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m³</w:t>
            </w:r>
          </w:p>
        </w:tc>
        <w:tc>
          <w:tcPr>
            <w:tcW w:w="1692" w:type="dxa"/>
            <w:vAlign w:val="top"/>
          </w:tcPr>
          <w:p w14:paraId="2DDDFDD9">
            <w:pPr>
              <w:pStyle w:val="4"/>
              <w:spacing w:before="162"/>
              <w:ind w:left="719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pacing w:val="-4"/>
                <w:highlight w:val="none"/>
                <w:lang w:val="en-US" w:eastAsia="zh-CN"/>
              </w:rPr>
              <w:t>565</w:t>
            </w:r>
          </w:p>
        </w:tc>
        <w:tc>
          <w:tcPr>
            <w:tcW w:w="152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C432648">
            <w:pPr>
              <w:pStyle w:val="4"/>
              <w:spacing w:before="162"/>
              <w:ind w:firstLine="360" w:firstLineChars="200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3503000</w:t>
            </w:r>
          </w:p>
        </w:tc>
        <w:tc>
          <w:tcPr>
            <w:tcW w:w="1525" w:type="dxa"/>
            <w:vAlign w:val="top"/>
          </w:tcPr>
          <w:p w14:paraId="5E2A1EB9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0611B2E9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69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4A24663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224B7CA0">
            <w:pPr>
              <w:pStyle w:val="4"/>
              <w:spacing w:before="163" w:line="221" w:lineRule="auto"/>
              <w:ind w:left="209"/>
              <w:rPr>
                <w:highlight w:val="none"/>
              </w:rPr>
            </w:pPr>
          </w:p>
        </w:tc>
        <w:tc>
          <w:tcPr>
            <w:tcW w:w="1223" w:type="dxa"/>
            <w:vAlign w:val="top"/>
          </w:tcPr>
          <w:p w14:paraId="30280ADD">
            <w:pPr>
              <w:pStyle w:val="4"/>
              <w:spacing w:before="163"/>
              <w:ind w:left="478"/>
              <w:rPr>
                <w:highlight w:val="none"/>
              </w:rPr>
            </w:pPr>
          </w:p>
        </w:tc>
        <w:tc>
          <w:tcPr>
            <w:tcW w:w="1096" w:type="dxa"/>
            <w:vAlign w:val="top"/>
          </w:tcPr>
          <w:p w14:paraId="3673EC6D">
            <w:pPr>
              <w:pStyle w:val="4"/>
              <w:spacing w:before="163"/>
              <w:ind w:left="418"/>
              <w:rPr>
                <w:highlight w:val="none"/>
              </w:rPr>
            </w:pPr>
          </w:p>
        </w:tc>
        <w:tc>
          <w:tcPr>
            <w:tcW w:w="731" w:type="dxa"/>
            <w:vAlign w:val="top"/>
          </w:tcPr>
          <w:p w14:paraId="657B6C28">
            <w:pPr>
              <w:pStyle w:val="4"/>
              <w:spacing w:before="163" w:line="241" w:lineRule="auto"/>
              <w:ind w:left="275"/>
              <w:rPr>
                <w:highlight w:val="none"/>
              </w:rPr>
            </w:pPr>
          </w:p>
        </w:tc>
        <w:tc>
          <w:tcPr>
            <w:tcW w:w="1692" w:type="dxa"/>
            <w:vAlign w:val="top"/>
          </w:tcPr>
          <w:p w14:paraId="3AD25493">
            <w:pPr>
              <w:pStyle w:val="4"/>
              <w:spacing w:before="163"/>
              <w:ind w:left="719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vAlign w:val="top"/>
          </w:tcPr>
          <w:p w14:paraId="6DA83D9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25" w:type="dxa"/>
            <w:vMerge w:val="restart"/>
            <w:tcBorders>
              <w:bottom w:val="nil"/>
            </w:tcBorders>
            <w:vAlign w:val="top"/>
          </w:tcPr>
          <w:p w14:paraId="648DFE0D">
            <w:pPr>
              <w:spacing w:line="360" w:lineRule="auto"/>
              <w:rPr>
                <w:rFonts w:ascii="Arial"/>
                <w:sz w:val="21"/>
                <w:highlight w:val="none"/>
              </w:rPr>
            </w:pPr>
          </w:p>
          <w:p w14:paraId="565311BE">
            <w:pPr>
              <w:pStyle w:val="4"/>
              <w:spacing w:before="58" w:line="219" w:lineRule="auto"/>
              <w:ind w:left="384"/>
              <w:rPr>
                <w:highlight w:val="none"/>
              </w:rPr>
            </w:pPr>
          </w:p>
        </w:tc>
      </w:tr>
      <w:tr w14:paraId="1617DA13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69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55A600D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51" w:type="dxa"/>
            <w:tcBorders>
              <w:left w:val="single" w:color="000000" w:sz="2" w:space="0"/>
            </w:tcBorders>
            <w:vAlign w:val="top"/>
          </w:tcPr>
          <w:p w14:paraId="603F1D08">
            <w:pPr>
              <w:pStyle w:val="4"/>
              <w:spacing w:before="164" w:line="221" w:lineRule="auto"/>
              <w:ind w:left="209"/>
              <w:rPr>
                <w:highlight w:val="none"/>
              </w:rPr>
            </w:pPr>
          </w:p>
        </w:tc>
        <w:tc>
          <w:tcPr>
            <w:tcW w:w="1223" w:type="dxa"/>
            <w:vAlign w:val="top"/>
          </w:tcPr>
          <w:p w14:paraId="0465C64F">
            <w:pPr>
              <w:pStyle w:val="4"/>
              <w:spacing w:before="163"/>
              <w:ind w:left="478"/>
              <w:rPr>
                <w:highlight w:val="none"/>
              </w:rPr>
            </w:pPr>
          </w:p>
        </w:tc>
        <w:tc>
          <w:tcPr>
            <w:tcW w:w="1096" w:type="dxa"/>
            <w:vAlign w:val="top"/>
          </w:tcPr>
          <w:p w14:paraId="1DF2F29F">
            <w:pPr>
              <w:pStyle w:val="4"/>
              <w:spacing w:before="163"/>
              <w:ind w:left="466"/>
              <w:rPr>
                <w:highlight w:val="none"/>
              </w:rPr>
            </w:pPr>
          </w:p>
        </w:tc>
        <w:tc>
          <w:tcPr>
            <w:tcW w:w="731" w:type="dxa"/>
            <w:vAlign w:val="top"/>
          </w:tcPr>
          <w:p w14:paraId="31E8953F">
            <w:pPr>
              <w:pStyle w:val="4"/>
              <w:spacing w:before="164" w:line="241" w:lineRule="auto"/>
              <w:ind w:left="275"/>
              <w:rPr>
                <w:highlight w:val="none"/>
              </w:rPr>
            </w:pPr>
          </w:p>
        </w:tc>
        <w:tc>
          <w:tcPr>
            <w:tcW w:w="1692" w:type="dxa"/>
            <w:vAlign w:val="top"/>
          </w:tcPr>
          <w:p w14:paraId="67DEACAE">
            <w:pPr>
              <w:pStyle w:val="4"/>
              <w:spacing w:before="163"/>
              <w:ind w:left="715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top w:val="nil"/>
              <w:bottom w:val="nil"/>
            </w:tcBorders>
            <w:vAlign w:val="top"/>
          </w:tcPr>
          <w:p w14:paraId="4F72E3D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525" w:type="dxa"/>
            <w:vMerge w:val="continue"/>
            <w:tcBorders>
              <w:top w:val="nil"/>
            </w:tcBorders>
            <w:vAlign w:val="top"/>
          </w:tcPr>
          <w:p w14:paraId="2BD68076">
            <w:pPr>
              <w:rPr>
                <w:rFonts w:ascii="Arial"/>
                <w:sz w:val="21"/>
                <w:highlight w:val="none"/>
              </w:rPr>
            </w:pPr>
          </w:p>
        </w:tc>
      </w:tr>
      <w:tr w14:paraId="664023EB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9407" w:type="dxa"/>
            <w:gridSpan w:val="8"/>
            <w:vAlign w:val="top"/>
          </w:tcPr>
          <w:p w14:paraId="7146610A">
            <w:pPr>
              <w:pStyle w:val="4"/>
              <w:spacing w:before="30" w:line="359" w:lineRule="auto"/>
              <w:ind w:left="117" w:right="62" w:hanging="2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注：①以上数量为计划数量，投标人应按本项目的实际需求量进行供货，合同执行期间以实际供应量进行计量和结算，</w:t>
            </w:r>
            <w:r>
              <w:rPr>
                <w:spacing w:val="-2"/>
                <w:highlight w:val="none"/>
              </w:rPr>
              <w:t>详情见招标文件。</w:t>
            </w:r>
          </w:p>
          <w:p w14:paraId="104A11D5">
            <w:pPr>
              <w:pStyle w:val="4"/>
              <w:spacing w:line="217" w:lineRule="auto"/>
              <w:ind w:left="114"/>
              <w:rPr>
                <w:highlight w:val="none"/>
              </w:rPr>
            </w:pPr>
            <w:r>
              <w:rPr>
                <w:highlight w:val="none"/>
              </w:rPr>
              <w:t>②投标人投标报价不得超过最高投标限价，且单价不得超过单价最高限价，此单价为</w:t>
            </w:r>
            <w:r>
              <w:rPr>
                <w:spacing w:val="-1"/>
                <w:highlight w:val="none"/>
              </w:rPr>
              <w:t>含税（专票）。</w:t>
            </w:r>
          </w:p>
          <w:p w14:paraId="608F2841">
            <w:pPr>
              <w:pStyle w:val="4"/>
              <w:spacing w:before="138" w:line="217" w:lineRule="auto"/>
              <w:ind w:left="114"/>
              <w:rPr>
                <w:highlight w:val="none"/>
              </w:rPr>
            </w:pPr>
            <w:r>
              <w:rPr>
                <w:highlight w:val="none"/>
              </w:rPr>
              <w:t>③最高投标限价包含货物价格、运费、装卸费、泵送费、税金及增值税附加（增值税</w:t>
            </w:r>
            <w:r>
              <w:rPr>
                <w:spacing w:val="-1"/>
                <w:highlight w:val="none"/>
              </w:rPr>
              <w:t>）等全部费用。</w:t>
            </w:r>
          </w:p>
        </w:tc>
      </w:tr>
    </w:tbl>
    <w:p w14:paraId="736D2752">
      <w:pPr>
        <w:spacing w:before="31" w:line="227" w:lineRule="auto"/>
        <w:ind w:left="60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2.5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交货期：</w:t>
      </w:r>
      <w:r>
        <w:rPr>
          <w:rFonts w:ascii="宋体" w:hAnsi="宋体" w:eastAsia="宋体" w:cs="宋体"/>
          <w:spacing w:val="-4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 xml:space="preserve">自合同签订日起至 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</w:rPr>
        <w:t>2026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年2月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</w:rPr>
        <w:t>10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日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（以招标人要求时</w:t>
      </w: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间为准）。</w:t>
      </w:r>
    </w:p>
    <w:p w14:paraId="14D18DE9">
      <w:pPr>
        <w:spacing w:before="162" w:line="227" w:lineRule="auto"/>
        <w:ind w:left="60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2.6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交货地点：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</w:rPr>
        <w:t>黑龙江省绥化市望奎县灯塔镇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（招标人指定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地点）。</w:t>
      </w:r>
    </w:p>
    <w:p w14:paraId="4C35061E">
      <w:pPr>
        <w:spacing w:before="162" w:line="228" w:lineRule="auto"/>
        <w:ind w:left="60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2.7</w:t>
      </w:r>
      <w:r>
        <w:rPr>
          <w:rFonts w:ascii="宋体" w:hAnsi="宋体" w:eastAsia="宋体" w:cs="宋体"/>
          <w:spacing w:val="-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质量标准：符合现行国家、地方及行业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相关专业验收规范的合格标准。</w:t>
      </w:r>
    </w:p>
    <w:p w14:paraId="6A21B0F1">
      <w:pPr>
        <w:spacing w:before="161" w:line="228" w:lineRule="auto"/>
        <w:ind w:left="60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  <w:highlight w:val="none"/>
        </w:rPr>
        <w:t>3.投标人资格要求：</w:t>
      </w:r>
    </w:p>
    <w:p w14:paraId="79502DED">
      <w:pPr>
        <w:spacing w:before="163" w:line="302" w:lineRule="auto"/>
        <w:ind w:left="196" w:right="171" w:firstLine="407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3.1</w:t>
      </w:r>
      <w:r>
        <w:rPr>
          <w:rFonts w:ascii="宋体" w:hAnsi="宋体" w:eastAsia="宋体" w:cs="宋体"/>
          <w:spacing w:val="-2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投标人须具备中华人民共和国境内注册的法人或非法人组织，持有市场监督管理部门登记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的有效营业执照和基本账户开户许可证或基本存款账户信息，并具有履行合同的供货能力。</w:t>
      </w:r>
    </w:p>
    <w:p w14:paraId="41E8DD92">
      <w:pPr>
        <w:spacing w:before="213" w:line="227" w:lineRule="auto"/>
        <w:ind w:left="60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4"/>
          <w:sz w:val="20"/>
          <w:szCs w:val="20"/>
          <w:highlight w:val="none"/>
        </w:rPr>
        <w:t>3.2</w:t>
      </w:r>
      <w:r>
        <w:rPr>
          <w:rFonts w:ascii="宋体" w:hAnsi="宋体" w:eastAsia="宋体" w:cs="宋体"/>
          <w:spacing w:val="-41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  <w:highlight w:val="none"/>
        </w:rPr>
        <w:t>信誉要求：</w:t>
      </w:r>
    </w:p>
    <w:p w14:paraId="297CAEB0">
      <w:pPr>
        <w:spacing w:before="65" w:line="302" w:lineRule="auto"/>
        <w:ind w:right="9" w:firstLine="424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3.2.1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投标人在国家企业信用信息公示系统（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"http://www.gsxt.gov.cn/" </w:instrText>
      </w:r>
      <w:r>
        <w:rPr>
          <w:highlight w:val="none"/>
        </w:rPr>
        <w:fldChar w:fldCharType="separate"/>
      </w:r>
      <w:r>
        <w:rPr>
          <w:rFonts w:ascii="宋体" w:hAnsi="宋体" w:eastAsia="宋体" w:cs="宋体"/>
          <w:sz w:val="20"/>
          <w:szCs w:val="20"/>
          <w:highlight w:val="none"/>
        </w:rPr>
        <w:t>http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: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//</w:t>
      </w:r>
      <w:r>
        <w:rPr>
          <w:rFonts w:ascii="宋体" w:hAnsi="宋体" w:eastAsia="宋体" w:cs="宋体"/>
          <w:sz w:val="20"/>
          <w:szCs w:val="20"/>
          <w:highlight w:val="none"/>
        </w:rPr>
        <w:t>www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gsxt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gov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cn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/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fldChar w:fldCharType="end"/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）中被列入严重违法失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信企业名单的，不得参加本项目。以企业信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用信息公示系统网站查询结果（网页截图）为准。</w:t>
      </w:r>
    </w:p>
    <w:p w14:paraId="1024811B">
      <w:pPr>
        <w:spacing w:before="164" w:line="302" w:lineRule="auto"/>
        <w:ind w:left="2" w:right="9" w:firstLine="422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3.2.2</w:t>
      </w:r>
      <w:r>
        <w:rPr>
          <w:rFonts w:ascii="宋体" w:hAnsi="宋体" w:eastAsia="宋体" w:cs="宋体"/>
          <w:spacing w:val="-1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投标人在“信用中国”网站（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"http：//www.creditchina.gov.cn" </w:instrText>
      </w:r>
      <w:r>
        <w:rPr>
          <w:highlight w:val="none"/>
        </w:rPr>
        <w:fldChar w:fldCharType="separate"/>
      </w:r>
      <w:r>
        <w:rPr>
          <w:rFonts w:ascii="宋体" w:hAnsi="宋体" w:eastAsia="宋体" w:cs="宋体"/>
          <w:sz w:val="20"/>
          <w:szCs w:val="20"/>
          <w:highlight w:val="none"/>
        </w:rPr>
        <w:t>http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：//</w:t>
      </w:r>
      <w:r>
        <w:rPr>
          <w:rFonts w:ascii="宋体" w:hAnsi="宋体" w:eastAsia="宋体" w:cs="宋体"/>
          <w:sz w:val="20"/>
          <w:szCs w:val="20"/>
          <w:highlight w:val="none"/>
        </w:rPr>
        <w:t>www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creditchina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gov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cn</w:t>
      </w:r>
      <w:r>
        <w:rPr>
          <w:rFonts w:ascii="宋体" w:hAnsi="宋体" w:eastAsia="宋体" w:cs="宋体"/>
          <w:sz w:val="20"/>
          <w:szCs w:val="20"/>
          <w:highlight w:val="none"/>
        </w:rPr>
        <w:fldChar w:fldCharType="end"/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）</w:t>
      </w:r>
      <w:r>
        <w:rPr>
          <w:rFonts w:ascii="宋体" w:hAnsi="宋体" w:eastAsia="宋体" w:cs="宋体"/>
          <w:spacing w:val="-5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  <w:highlight w:val="none"/>
        </w:rPr>
        <w:t>中被列入失信被执行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人名单的，不得参加本项目。以“信用中国</w:t>
      </w:r>
      <w:r>
        <w:rPr>
          <w:rFonts w:ascii="宋体" w:hAnsi="宋体" w:eastAsia="宋体" w:cs="宋体"/>
          <w:spacing w:val="-54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”网站查询结果（网页截图）为准。</w:t>
      </w:r>
    </w:p>
    <w:p w14:paraId="5950CE3E">
      <w:pPr>
        <w:spacing w:before="162" w:line="339" w:lineRule="auto"/>
        <w:ind w:right="9" w:firstLine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3.2.3</w:t>
      </w:r>
      <w:r>
        <w:rPr>
          <w:rFonts w:ascii="宋体" w:hAnsi="宋体" w:eastAsia="宋体" w:cs="宋体"/>
          <w:spacing w:val="-4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近三年（202</w:t>
      </w:r>
      <w:r>
        <w:rPr>
          <w:rFonts w:hint="eastAsia" w:ascii="宋体" w:hAnsi="宋体" w:eastAsia="宋体" w:cs="宋体"/>
          <w:spacing w:val="6"/>
          <w:sz w:val="20"/>
          <w:szCs w:val="20"/>
          <w:highlight w:val="none"/>
          <w:lang w:val="en-US" w:eastAsia="zh-CN"/>
        </w:rPr>
        <w:t>3</w:t>
      </w:r>
      <w:r>
        <w:rPr>
          <w:rFonts w:ascii="宋体" w:hAnsi="宋体" w:eastAsia="宋体" w:cs="宋体"/>
          <w:spacing w:val="-4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年</w:t>
      </w:r>
      <w:r>
        <w:rPr>
          <w:rFonts w:hint="eastAsia" w:ascii="宋体" w:hAnsi="宋体" w:eastAsia="宋体" w:cs="宋体"/>
          <w:spacing w:val="6"/>
          <w:sz w:val="20"/>
          <w:szCs w:val="20"/>
          <w:highlight w:val="none"/>
          <w:lang w:val="en-US" w:eastAsia="zh-CN"/>
        </w:rPr>
        <w:t>01</w:t>
      </w:r>
      <w:r>
        <w:rPr>
          <w:rFonts w:ascii="宋体" w:hAnsi="宋体" w:eastAsia="宋体" w:cs="宋体"/>
          <w:spacing w:val="-3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月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01 日～投标文件递交截止时间止）投标人及其法定代表人/单位负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责人有行贿犯罪记录的，不得参加本项目投标。无行贿犯罪行为的认定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以投标人提供的在中国裁判文书（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"https：//wenshu.court.gov.cn/" </w:instrText>
      </w:r>
      <w:r>
        <w:rPr>
          <w:highlight w:val="none"/>
        </w:rPr>
        <w:fldChar w:fldCharType="separate"/>
      </w:r>
      <w:r>
        <w:rPr>
          <w:rFonts w:ascii="宋体" w:hAnsi="宋体" w:eastAsia="宋体" w:cs="宋体"/>
          <w:sz w:val="20"/>
          <w:szCs w:val="20"/>
          <w:highlight w:val="none"/>
        </w:rPr>
        <w:t>https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：//</w:t>
      </w:r>
      <w:r>
        <w:rPr>
          <w:rFonts w:ascii="宋体" w:hAnsi="宋体" w:eastAsia="宋体" w:cs="宋体"/>
          <w:sz w:val="20"/>
          <w:szCs w:val="20"/>
          <w:highlight w:val="none"/>
        </w:rPr>
        <w:t>wenshu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court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gov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.</w:t>
      </w:r>
      <w:r>
        <w:rPr>
          <w:rFonts w:ascii="宋体" w:hAnsi="宋体" w:eastAsia="宋体" w:cs="宋体"/>
          <w:sz w:val="20"/>
          <w:szCs w:val="20"/>
          <w:highlight w:val="none"/>
        </w:rPr>
        <w:t>cn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/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fldChar w:fldCharType="end"/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）网站上无行贿犯罪查询记录的网页截图为准（查询日期应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在招标公告发布后至投标文件递交截止日期之间）。</w:t>
      </w:r>
    </w:p>
    <w:p w14:paraId="0A8255F9">
      <w:pPr>
        <w:spacing w:before="213" w:line="227" w:lineRule="auto"/>
        <w:ind w:left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  <w:highlight w:val="none"/>
        </w:rPr>
        <w:t>注：查询方法详见“</w:t>
      </w:r>
      <w:r>
        <w:rPr>
          <w:rFonts w:ascii="宋体" w:hAnsi="宋体" w:eastAsia="宋体" w:cs="宋体"/>
          <w:spacing w:val="-73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20"/>
          <w:szCs w:val="20"/>
          <w:highlight w:val="none"/>
        </w:rPr>
        <w:t>附件：部分网页截图示例查询</w:t>
      </w: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方法</w:t>
      </w:r>
      <w:r>
        <w:rPr>
          <w:rFonts w:ascii="宋体" w:hAnsi="宋体" w:eastAsia="宋体" w:cs="宋体"/>
          <w:spacing w:val="-7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”。</w:t>
      </w:r>
    </w:p>
    <w:p w14:paraId="17CCD8B2">
      <w:pPr>
        <w:spacing w:before="213" w:line="347" w:lineRule="auto"/>
        <w:ind w:left="1" w:right="9" w:firstLine="42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3.3</w:t>
      </w:r>
      <w:r>
        <w:rPr>
          <w:rFonts w:ascii="宋体" w:hAnsi="宋体" w:eastAsia="宋体" w:cs="宋体"/>
          <w:spacing w:val="-2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与招标人存在利害关系可能影响招标公正性的法人或非法人组织，不得参加本项目投标。单位负责人为同一人或者存在控股、管理关系的不同单位不得同时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参加本项目投标，</w:t>
      </w:r>
      <w:r>
        <w:rPr>
          <w:rFonts w:ascii="宋体" w:hAnsi="宋体" w:eastAsia="宋体" w:cs="宋体"/>
          <w:color w:val="404040"/>
          <w:spacing w:val="10"/>
          <w:sz w:val="20"/>
          <w:szCs w:val="20"/>
          <w:highlight w:val="none"/>
        </w:rPr>
        <w:t>法定代表人为</w:t>
      </w:r>
      <w:r>
        <w:rPr>
          <w:rFonts w:ascii="宋体" w:hAnsi="宋体" w:eastAsia="宋体" w:cs="宋体"/>
          <w:color w:val="404040"/>
          <w:spacing w:val="11"/>
          <w:sz w:val="20"/>
          <w:szCs w:val="20"/>
          <w:highlight w:val="none"/>
        </w:rPr>
        <w:t>同一个人的两个及两个以上法人，母公司、全资子公司及其控股公</w:t>
      </w:r>
      <w:r>
        <w:rPr>
          <w:rFonts w:ascii="宋体" w:hAnsi="宋体" w:eastAsia="宋体" w:cs="宋体"/>
          <w:color w:val="404040"/>
          <w:spacing w:val="10"/>
          <w:sz w:val="20"/>
          <w:szCs w:val="20"/>
          <w:highlight w:val="none"/>
        </w:rPr>
        <w:t>司，都不得在同一货物招标中同</w:t>
      </w:r>
      <w:r>
        <w:rPr>
          <w:rFonts w:ascii="宋体" w:hAnsi="宋体" w:eastAsia="宋体" w:cs="宋体"/>
          <w:color w:val="404040"/>
          <w:spacing w:val="11"/>
          <w:sz w:val="20"/>
          <w:szCs w:val="20"/>
          <w:highlight w:val="none"/>
        </w:rPr>
        <w:t>时投标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以及不同单位的高级管理人员之间存在交叉任职的均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不得同时参加本项目同一标段投标。违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反本条款规定的，相关投标均无效。</w:t>
      </w:r>
    </w:p>
    <w:p w14:paraId="2421BE69">
      <w:pPr>
        <w:spacing w:before="212" w:line="227" w:lineRule="auto"/>
        <w:ind w:left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3.4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本招标项目不接受联合体参加投标。不允许分包。</w:t>
      </w:r>
    </w:p>
    <w:p w14:paraId="4F23C64B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4.招标文件的获取</w:t>
      </w:r>
    </w:p>
    <w:p w14:paraId="140ED91F">
      <w:pPr>
        <w:spacing w:before="161" w:line="304" w:lineRule="auto"/>
        <w:ind w:left="10" w:right="9" w:firstLine="392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-1"/>
          <w:sz w:val="20"/>
          <w:szCs w:val="20"/>
          <w:highlight w:val="none"/>
        </w:rPr>
        <w:t>4.1</w:t>
      </w:r>
      <w:r>
        <w:rPr>
          <w:rFonts w:ascii="宋体" w:hAnsi="宋体" w:eastAsia="宋体" w:cs="宋体"/>
          <w:spacing w:val="-4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  <w:highlight w:val="none"/>
        </w:rPr>
        <w:t>招标文件获取时间：</w:t>
      </w:r>
      <w:r>
        <w:rPr>
          <w:rFonts w:ascii="宋体" w:hAnsi="宋体" w:eastAsia="宋体" w:cs="宋体"/>
          <w:b/>
          <w:bCs/>
          <w:spacing w:val="-1"/>
          <w:sz w:val="20"/>
          <w:szCs w:val="20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spacing w:val="-1"/>
          <w:sz w:val="20"/>
          <w:szCs w:val="20"/>
          <w:highlight w:val="none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1"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1"/>
          <w:sz w:val="20"/>
          <w:szCs w:val="20"/>
          <w:highlight w:val="none"/>
          <w:lang w:val="en-US" w:eastAsia="zh-CN"/>
        </w:rPr>
        <w:t>01</w:t>
      </w:r>
      <w:r>
        <w:rPr>
          <w:rFonts w:ascii="宋体" w:hAnsi="宋体" w:eastAsia="宋体" w:cs="宋体"/>
          <w:b/>
          <w:bCs/>
          <w:spacing w:val="-1"/>
          <w:sz w:val="20"/>
          <w:szCs w:val="20"/>
          <w:highlight w:val="none"/>
        </w:rPr>
        <w:t>月</w:t>
      </w:r>
      <w:r>
        <w:rPr>
          <w:rFonts w:ascii="宋体" w:hAnsi="宋体" w:eastAsia="宋体" w:cs="宋体"/>
          <w:spacing w:val="-34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1"/>
          <w:sz w:val="20"/>
          <w:szCs w:val="20"/>
          <w:highlight w:val="none"/>
          <w:lang w:val="en-US" w:eastAsia="zh-CN"/>
        </w:rPr>
        <w:t>12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日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highlight w:val="none"/>
          <w:lang w:val="en-US" w:eastAsia="zh-CN"/>
        </w:rPr>
        <w:t>17</w:t>
      </w:r>
      <w:r>
        <w:rPr>
          <w:rFonts w:ascii="宋体" w:hAnsi="宋体" w:eastAsia="宋体" w:cs="宋体"/>
          <w:spacing w:val="-2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时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00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分至</w:t>
      </w:r>
      <w:r>
        <w:rPr>
          <w:rFonts w:ascii="宋体" w:hAnsi="宋体" w:eastAsia="宋体" w:cs="宋体"/>
          <w:spacing w:val="-3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highlight w:val="none"/>
          <w:lang w:val="en-US" w:eastAsia="zh-CN"/>
        </w:rPr>
        <w:t>6</w:t>
      </w:r>
      <w:r>
        <w:rPr>
          <w:rFonts w:ascii="宋体" w:hAnsi="宋体" w:eastAsia="宋体" w:cs="宋体"/>
          <w:spacing w:val="-3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highlight w:val="none"/>
          <w:lang w:val="en-US" w:eastAsia="zh-CN"/>
        </w:rPr>
        <w:t xml:space="preserve">01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highlight w:val="none"/>
          <w:lang w:val="en-US" w:eastAsia="zh-CN"/>
        </w:rPr>
        <w:t xml:space="preserve">17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日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highlight w:val="none"/>
          <w:lang w:val="en-US" w:eastAsia="zh-CN"/>
        </w:rPr>
        <w:t xml:space="preserve">17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时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00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分（北京</w:t>
      </w:r>
      <w:r>
        <w:rPr>
          <w:rFonts w:ascii="宋体" w:hAnsi="宋体" w:eastAsia="宋体" w:cs="宋体"/>
          <w:b/>
          <w:bCs/>
          <w:spacing w:val="4"/>
          <w:sz w:val="20"/>
          <w:szCs w:val="20"/>
          <w:highlight w:val="none"/>
        </w:rPr>
        <w:t>时间，下同</w:t>
      </w:r>
      <w:r>
        <w:rPr>
          <w:rFonts w:ascii="宋体" w:hAnsi="宋体" w:eastAsia="宋体" w:cs="宋体"/>
          <w:b/>
          <w:bCs/>
          <w:spacing w:val="-2"/>
          <w:sz w:val="20"/>
          <w:szCs w:val="20"/>
          <w:highlight w:val="none"/>
        </w:rPr>
        <w:t>）；</w:t>
      </w:r>
    </w:p>
    <w:p w14:paraId="01B51CFE">
      <w:pPr>
        <w:spacing w:before="161" w:line="377" w:lineRule="auto"/>
        <w:ind w:left="2" w:right="9" w:firstLine="418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4.2</w:t>
      </w:r>
      <w:r>
        <w:rPr>
          <w:rFonts w:ascii="宋体" w:hAnsi="宋体" w:eastAsia="宋体" w:cs="宋体"/>
          <w:spacing w:val="-33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招标文件获取方式：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凡有意参与本项目的投标人，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>采购文件公告期为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5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>日，供应商须在公告期内凭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在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>中招联合招标采购平台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所办理的CA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>，登录中招联合招标采购平台， 选择“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供应商/投标人入口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 xml:space="preserve"> → 应标 → 项目投标”，在列表中选择需要参与的项目， </w:t>
      </w:r>
      <w:r>
        <w:rPr>
          <w:rFonts w:hint="eastAsia" w:ascii="宋体" w:hAnsi="宋体" w:eastAsia="宋体" w:cs="宋体"/>
          <w:spacing w:val="3"/>
          <w:sz w:val="20"/>
          <w:szCs w:val="20"/>
          <w:highlight w:val="none"/>
          <w:lang w:val="en-US" w:eastAsia="zh-CN"/>
        </w:rPr>
        <w:t>也可按照《全电子流程项目供应商操作要点指引》进行操作，</w:t>
      </w:r>
      <w:r>
        <w:rPr>
          <w:rFonts w:hint="default" w:ascii="宋体" w:hAnsi="宋体" w:eastAsia="宋体" w:cs="宋体"/>
          <w:spacing w:val="3"/>
          <w:sz w:val="20"/>
          <w:szCs w:val="20"/>
          <w:highlight w:val="none"/>
        </w:rPr>
        <w:t>确认参与后即可获取文件。获取文件的供应商，方具有投标和质疑资格。逾期报名，不再受理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。</w:t>
      </w:r>
    </w:p>
    <w:p w14:paraId="61635F33">
      <w:pPr>
        <w:spacing w:before="1" w:line="226" w:lineRule="auto"/>
        <w:ind w:left="40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4.3</w:t>
      </w:r>
      <w:r>
        <w:rPr>
          <w:rFonts w:ascii="宋体" w:hAnsi="宋体" w:eastAsia="宋体" w:cs="宋体"/>
          <w:spacing w:val="-4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本项目采用网上申请方式，投标人登录系统后，按要求进行本项目</w:t>
      </w:r>
      <w:r>
        <w:rPr>
          <w:rFonts w:ascii="宋体" w:hAnsi="宋体" w:eastAsia="宋体" w:cs="宋体"/>
          <w:spacing w:val="1"/>
          <w:sz w:val="20"/>
          <w:szCs w:val="20"/>
          <w:highlight w:val="none"/>
        </w:rPr>
        <w:t>招标的相关操作；</w:t>
      </w:r>
    </w:p>
    <w:p w14:paraId="49B7C0E2">
      <w:pPr>
        <w:spacing w:before="162" w:line="226" w:lineRule="auto"/>
        <w:ind w:left="40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4.4</w:t>
      </w:r>
      <w:r>
        <w:rPr>
          <w:rFonts w:ascii="宋体" w:hAnsi="宋体" w:eastAsia="宋体" w:cs="宋体"/>
          <w:spacing w:val="-4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招标文件售价：本项目不收取。</w:t>
      </w:r>
    </w:p>
    <w:p w14:paraId="0D0FA7A8">
      <w:pPr>
        <w:spacing w:before="166" w:line="228" w:lineRule="auto"/>
        <w:ind w:left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  <w:highlight w:val="none"/>
        </w:rPr>
        <w:t>5.投标保证金：</w:t>
      </w:r>
    </w:p>
    <w:p w14:paraId="6E23489B">
      <w:pPr>
        <w:spacing w:before="160" w:line="225" w:lineRule="auto"/>
        <w:ind w:left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5.1</w:t>
      </w:r>
      <w:r>
        <w:rPr>
          <w:rFonts w:ascii="宋体" w:hAnsi="宋体" w:eastAsia="宋体" w:cs="宋体"/>
          <w:spacing w:val="-3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投标保证金的金额：</w:t>
      </w:r>
      <w:r>
        <w:rPr>
          <w:rFonts w:hint="eastAsia" w:ascii="宋体" w:hAnsi="宋体" w:eastAsia="宋体" w:cs="宋体"/>
          <w:spacing w:val="6"/>
          <w:sz w:val="20"/>
          <w:szCs w:val="20"/>
          <w:highlight w:val="none"/>
          <w:lang w:val="en-US" w:eastAsia="zh-CN"/>
        </w:rPr>
        <w:t>0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元人民币/标段；</w:t>
      </w:r>
    </w:p>
    <w:p w14:paraId="1C4D42FF">
      <w:pPr>
        <w:spacing w:before="165" w:line="228" w:lineRule="auto"/>
        <w:ind w:left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z w:val="20"/>
          <w:szCs w:val="20"/>
          <w:highlight w:val="none"/>
        </w:rPr>
        <w:t>5.2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z w:val="20"/>
          <w:szCs w:val="20"/>
          <w:highlight w:val="none"/>
        </w:rPr>
        <w:t>保证金递交截止时间：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none"/>
          <w:lang w:val="en-US" w:eastAsia="zh-CN"/>
        </w:rPr>
        <w:t>6</w:t>
      </w:r>
      <w:r>
        <w:rPr>
          <w:rFonts w:ascii="宋体" w:hAnsi="宋体" w:eastAsia="宋体" w:cs="宋体"/>
          <w:spacing w:val="-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spacing w:val="-22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none"/>
          <w:lang w:val="en-US" w:eastAsia="zh-CN"/>
        </w:rPr>
        <w:t>01</w:t>
      </w:r>
      <w:r>
        <w:rPr>
          <w:rFonts w:ascii="宋体" w:hAnsi="宋体" w:eastAsia="宋体" w:cs="宋体"/>
          <w:spacing w:val="-3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月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none"/>
          <w:lang w:val="en-US" w:eastAsia="zh-CN"/>
        </w:rPr>
        <w:t>22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日</w:t>
      </w:r>
      <w:r>
        <w:rPr>
          <w:rFonts w:ascii="宋体" w:hAnsi="宋体" w:eastAsia="宋体" w:cs="宋体"/>
          <w:spacing w:val="-23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z w:val="20"/>
          <w:szCs w:val="20"/>
          <w:highlight w:val="none"/>
          <w:lang w:val="en-US" w:eastAsia="zh-CN"/>
        </w:rPr>
        <w:t>09</w:t>
      </w:r>
      <w:r>
        <w:rPr>
          <w:rFonts w:ascii="宋体" w:hAnsi="宋体" w:eastAsia="宋体" w:cs="宋体"/>
          <w:spacing w:val="-31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时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00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z w:val="20"/>
          <w:szCs w:val="20"/>
          <w:highlight w:val="none"/>
        </w:rPr>
        <w:t>分</w:t>
      </w:r>
      <w:r>
        <w:rPr>
          <w:rFonts w:ascii="宋体" w:hAnsi="宋体" w:eastAsia="宋体" w:cs="宋体"/>
          <w:sz w:val="20"/>
          <w:szCs w:val="20"/>
          <w:highlight w:val="none"/>
        </w:rPr>
        <w:t>；</w:t>
      </w:r>
    </w:p>
    <w:p w14:paraId="07E200DA">
      <w:pPr>
        <w:spacing w:before="65" w:line="228" w:lineRule="auto"/>
        <w:ind w:left="425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5.3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投标保证金递交方式：</w:t>
      </w:r>
      <w:r>
        <w:rPr>
          <w:rFonts w:ascii="宋体" w:hAnsi="宋体" w:eastAsia="宋体" w:cs="宋体"/>
          <w:spacing w:val="-5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电汇或网银；</w:t>
      </w:r>
    </w:p>
    <w:p w14:paraId="6EC7AEC3">
      <w:pPr>
        <w:spacing w:before="160" w:line="378" w:lineRule="auto"/>
        <w:ind w:left="2" w:right="97" w:firstLine="419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注</w:t>
      </w:r>
      <w:r>
        <w:rPr>
          <w:rFonts w:ascii="宋体" w:hAnsi="宋体" w:eastAsia="宋体" w:cs="宋体"/>
          <w:spacing w:val="-28"/>
          <w:sz w:val="20"/>
          <w:szCs w:val="20"/>
          <w:highlight w:val="none"/>
        </w:rPr>
        <w:t>：（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1）投标保证金应按《数字服务平台供应商操作手册》“六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、递交投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标保证金</w:t>
      </w:r>
      <w:r>
        <w:rPr>
          <w:rFonts w:ascii="宋体" w:hAnsi="宋体" w:eastAsia="宋体" w:cs="宋体"/>
          <w:spacing w:val="-6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”程序进行相关操作；</w:t>
      </w:r>
    </w:p>
    <w:p w14:paraId="7B7D2995">
      <w:pPr>
        <w:spacing w:before="3" w:line="326" w:lineRule="auto"/>
        <w:ind w:left="2" w:right="45" w:firstLine="429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（2）投标人应当采取网上银行支付、手机银行支付或银行柜台转账的方式，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将投标保证金按时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一次性足额汇入系统随机生成的银行账户；进入项目后点击投标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保证金→递交→缴纳方式（电汇</w:t>
      </w:r>
      <w:r>
        <w:rPr>
          <w:rFonts w:ascii="宋体" w:hAnsi="宋体" w:eastAsia="宋体" w:cs="宋体"/>
          <w:spacing w:val="-26"/>
          <w:sz w:val="20"/>
          <w:szCs w:val="20"/>
          <w:highlight w:val="none"/>
        </w:rPr>
        <w:t>）；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保证金的缴纳账号由系统自动生成，每个项目所划分包次/标段的账号均不相同；</w:t>
      </w:r>
    </w:p>
    <w:p w14:paraId="4A11D55B">
      <w:pPr>
        <w:spacing w:before="161" w:line="302" w:lineRule="auto"/>
        <w:ind w:left="11" w:right="97" w:firstLine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（3）为保证招标活动完成后及时退还保证金，汇款前，投标人应按提示填写准确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的汇款方信息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（包括汇出行账号、地址、联系方式等</w:t>
      </w:r>
      <w:r>
        <w:rPr>
          <w:rFonts w:ascii="宋体" w:hAnsi="宋体" w:eastAsia="宋体" w:cs="宋体"/>
          <w:spacing w:val="6"/>
          <w:sz w:val="20"/>
          <w:szCs w:val="20"/>
          <w:highlight w:val="none"/>
        </w:rPr>
        <w:t>）；</w:t>
      </w:r>
    </w:p>
    <w:p w14:paraId="2615E7EC">
      <w:pPr>
        <w:spacing w:before="164" w:line="302" w:lineRule="auto"/>
        <w:ind w:right="100" w:firstLine="43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（4）投标保证金未在规定时间到账、未交纳到系统提示账号或无效交纳的，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其递交的投标文件将被视为无效。</w:t>
      </w:r>
    </w:p>
    <w:p w14:paraId="7285165F">
      <w:pPr>
        <w:spacing w:before="160" w:line="228" w:lineRule="auto"/>
        <w:ind w:left="42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6.投标文件的递交</w:t>
      </w:r>
    </w:p>
    <w:p w14:paraId="7072AF2B">
      <w:pPr>
        <w:spacing w:before="161" w:line="228" w:lineRule="auto"/>
        <w:ind w:left="42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6.1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highlight w:val="none"/>
        </w:rPr>
        <w:t>投标文件递交截止时间（投标截止时间，下同）为</w:t>
      </w:r>
      <w:r>
        <w:rPr>
          <w:rFonts w:ascii="宋体" w:hAnsi="宋体" w:eastAsia="宋体" w:cs="宋体"/>
          <w:spacing w:val="-34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20"/>
          <w:szCs w:val="20"/>
          <w:highlight w:val="none"/>
        </w:rPr>
        <w:t>20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2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:highlight w:val="none"/>
          <w:lang w:val="en-US" w:eastAsia="zh-CN"/>
        </w:rPr>
        <w:t>6</w:t>
      </w:r>
      <w:r>
        <w:rPr>
          <w:rFonts w:ascii="宋体" w:hAnsi="宋体" w:eastAsia="宋体" w:cs="宋体"/>
          <w:spacing w:val="-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年</w:t>
      </w:r>
      <w:r>
        <w:rPr>
          <w:rFonts w:ascii="宋体" w:hAnsi="宋体" w:eastAsia="宋体" w:cs="宋体"/>
          <w:spacing w:val="-22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:highlight w:val="none"/>
          <w:lang w:val="en-US" w:eastAsia="zh-CN"/>
        </w:rPr>
        <w:t>01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月</w:t>
      </w:r>
      <w:r>
        <w:rPr>
          <w:rFonts w:ascii="宋体" w:hAnsi="宋体" w:eastAsia="宋体" w:cs="宋体"/>
          <w:spacing w:val="-37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:highlight w:val="none"/>
          <w:lang w:val="en-US" w:eastAsia="zh-CN"/>
        </w:rPr>
        <w:t>22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日</w:t>
      </w:r>
      <w:r>
        <w:rPr>
          <w:rFonts w:ascii="宋体" w:hAnsi="宋体" w:eastAsia="宋体" w:cs="宋体"/>
          <w:spacing w:val="-22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:highlight w:val="none"/>
          <w:lang w:val="en-US" w:eastAsia="zh-CN"/>
        </w:rPr>
        <w:t>09</w:t>
      </w:r>
      <w:r>
        <w:rPr>
          <w:rFonts w:ascii="宋体" w:hAnsi="宋体" w:eastAsia="宋体" w:cs="宋体"/>
          <w:spacing w:val="-3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时</w:t>
      </w:r>
      <w:r>
        <w:rPr>
          <w:rFonts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00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20"/>
          <w:szCs w:val="20"/>
          <w:highlight w:val="none"/>
        </w:rPr>
        <w:t>分</w:t>
      </w:r>
      <w:r>
        <w:rPr>
          <w:rFonts w:ascii="宋体" w:hAnsi="宋体" w:eastAsia="宋体" w:cs="宋体"/>
          <w:spacing w:val="2"/>
          <w:sz w:val="20"/>
          <w:szCs w:val="20"/>
          <w:highlight w:val="none"/>
        </w:rPr>
        <w:t>；</w:t>
      </w:r>
    </w:p>
    <w:p w14:paraId="2393464E">
      <w:pPr>
        <w:spacing w:before="164" w:line="347" w:lineRule="auto"/>
        <w:ind w:firstLine="423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6.2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投标人应在</w:t>
      </w:r>
      <w:r>
        <w:rPr>
          <w:rFonts w:ascii="宋体" w:hAnsi="宋体" w:eastAsia="宋体" w:cs="宋体"/>
          <w:b/>
          <w:bCs/>
          <w:spacing w:val="11"/>
          <w:sz w:val="20"/>
          <w:szCs w:val="20"/>
          <w:highlight w:val="none"/>
        </w:rPr>
        <w:t>采购服务平台→下载专区→工具软件→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“</w:t>
      </w:r>
      <w:r>
        <w:rPr>
          <w:rFonts w:ascii="宋体" w:hAnsi="宋体" w:eastAsia="宋体" w:cs="宋体"/>
          <w:b/>
          <w:bCs/>
          <w:spacing w:val="11"/>
          <w:sz w:val="20"/>
          <w:szCs w:val="20"/>
          <w:highlight w:val="none"/>
        </w:rPr>
        <w:t>投标文件制作工具（供应商使用）</w:t>
      </w:r>
      <w:r>
        <w:rPr>
          <w:rFonts w:ascii="宋体" w:hAnsi="宋体" w:eastAsia="宋体" w:cs="宋体"/>
          <w:spacing w:val="-5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”下载工具后编制电子投标文件，并按招标文件要求进行加密、递交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。投标人应在投标文件规定的开标截止时间前，通过互联网使用</w:t>
      </w:r>
      <w:r>
        <w:rPr>
          <w:rFonts w:ascii="宋体" w:hAnsi="宋体" w:eastAsia="宋体" w:cs="宋体"/>
          <w:sz w:val="20"/>
          <w:szCs w:val="20"/>
          <w:highlight w:val="none"/>
        </w:rPr>
        <w:t>CA</w:t>
      </w:r>
      <w:r>
        <w:rPr>
          <w:rFonts w:ascii="宋体" w:hAnsi="宋体" w:eastAsia="宋体" w:cs="宋体"/>
          <w:spacing w:val="-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数字证书登录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采购服务平台，将加密的投标文件上传，并保存上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传成功后系统自动生成的电子签收凭证，递交时间即为电子签收凭证时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间。投标人应充分考虑上传文件时的不可预见因素，未在递交截止时间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前完成上传的，视为逾期送达，将不予受理。</w:t>
      </w:r>
    </w:p>
    <w:p w14:paraId="2E1036B7">
      <w:pPr>
        <w:spacing w:before="162" w:line="228" w:lineRule="auto"/>
        <w:ind w:left="426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7.投标文件开标时间及地点</w:t>
      </w:r>
    </w:p>
    <w:p w14:paraId="5D2CB077">
      <w:pPr>
        <w:spacing w:before="161" w:line="228" w:lineRule="auto"/>
        <w:ind w:left="426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7.1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投标文件开标时间：同投标文件递交截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止时间。</w:t>
      </w:r>
    </w:p>
    <w:p w14:paraId="6925B16F">
      <w:pPr>
        <w:spacing w:before="162" w:line="302" w:lineRule="auto"/>
        <w:ind w:left="6" w:right="151" w:firstLine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7.2</w:t>
      </w:r>
      <w:r>
        <w:rPr>
          <w:rFonts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投标文件开标地点：登录“采购服务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平台</w:t>
      </w:r>
      <w:r>
        <w:rPr>
          <w:rFonts w:ascii="宋体" w:hAnsi="宋体" w:eastAsia="宋体" w:cs="宋体"/>
          <w:spacing w:val="-7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”，进入“开标大厅</w:t>
      </w:r>
      <w:r>
        <w:rPr>
          <w:rFonts w:ascii="宋体" w:hAnsi="宋体" w:eastAsia="宋体" w:cs="宋体"/>
          <w:spacing w:val="-6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”选择所投标段进行签到，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并在开标时间实时在线关注招标人的文件开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标情况。</w:t>
      </w:r>
    </w:p>
    <w:p w14:paraId="6267EAA8">
      <w:pPr>
        <w:spacing w:before="161" w:line="228" w:lineRule="auto"/>
        <w:ind w:left="422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  <w:highlight w:val="none"/>
        </w:rPr>
        <w:t>8.其他说明</w:t>
      </w:r>
    </w:p>
    <w:p w14:paraId="7269798E">
      <w:pPr>
        <w:spacing w:before="164" w:line="226" w:lineRule="auto"/>
        <w:ind w:left="422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8.1 本次招标评标采用</w:t>
      </w:r>
      <w:r>
        <w:rPr>
          <w:rFonts w:ascii="宋体" w:hAnsi="宋体" w:eastAsia="宋体" w:cs="宋体"/>
          <w:b/>
          <w:bCs/>
          <w:spacing w:val="10"/>
          <w:sz w:val="20"/>
          <w:szCs w:val="20"/>
          <w:highlight w:val="none"/>
        </w:rPr>
        <w:t>综合评估法</w:t>
      </w:r>
      <w:r>
        <w:rPr>
          <w:rFonts w:ascii="宋体" w:hAnsi="宋体" w:eastAsia="宋体" w:cs="宋体"/>
          <w:spacing w:val="-5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，对投标人的资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格审查采用</w:t>
      </w:r>
      <w:r>
        <w:rPr>
          <w:rFonts w:ascii="宋体" w:hAnsi="宋体" w:eastAsia="宋体" w:cs="宋体"/>
          <w:spacing w:val="9"/>
          <w:sz w:val="20"/>
          <w:szCs w:val="20"/>
          <w:highlight w:val="none"/>
          <w:u w:val="single" w:color="auto"/>
        </w:rPr>
        <w:t>资格后审形式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；</w:t>
      </w:r>
    </w:p>
    <w:p w14:paraId="57A8F310">
      <w:pPr>
        <w:spacing w:before="163" w:line="327" w:lineRule="auto"/>
        <w:ind w:left="1" w:right="126" w:firstLine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-3"/>
          <w:sz w:val="20"/>
          <w:szCs w:val="20"/>
          <w:highlight w:val="none"/>
        </w:rPr>
        <w:t>8.2</w:t>
      </w:r>
      <w:r>
        <w:rPr>
          <w:rFonts w:ascii="宋体" w:hAnsi="宋体" w:eastAsia="宋体" w:cs="宋体"/>
          <w:spacing w:val="4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本项目采用全流程电子招采，通过</w:t>
      </w:r>
      <w:r>
        <w:rPr>
          <w:rFonts w:hint="eastAsia" w:ascii="宋体" w:hAnsi="宋体" w:eastAsia="宋体" w:cs="宋体"/>
          <w:spacing w:val="10"/>
          <w:sz w:val="20"/>
          <w:szCs w:val="20"/>
          <w:highlight w:val="none"/>
          <w:lang w:eastAsia="zh-CN"/>
        </w:rPr>
        <w:t>中招联合招标采购平台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开展招投标活动，注册及操作等相关内容，请先查阅门户网站</w:t>
      </w:r>
      <w:r>
        <w:rPr>
          <w:rFonts w:ascii="宋体" w:hAnsi="宋体" w:eastAsia="宋体" w:cs="宋体"/>
          <w:b/>
          <w:bCs/>
          <w:spacing w:val="11"/>
          <w:sz w:val="20"/>
          <w:szCs w:val="20"/>
          <w:highlight w:val="none"/>
        </w:rPr>
        <w:t>→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帮助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中心</w:t>
      </w:r>
      <w:r>
        <w:rPr>
          <w:rFonts w:ascii="宋体" w:hAnsi="宋体" w:eastAsia="宋体" w:cs="宋体"/>
          <w:b/>
          <w:bCs/>
          <w:spacing w:val="10"/>
          <w:sz w:val="20"/>
          <w:szCs w:val="20"/>
          <w:highlight w:val="none"/>
        </w:rPr>
        <w:t>→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操作指南内的操作手册，参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与投标过程中遇到的平台问题可拨打技术支持电话。</w:t>
      </w:r>
    </w:p>
    <w:p w14:paraId="67913548">
      <w:pPr>
        <w:spacing w:before="162" w:line="347" w:lineRule="auto"/>
        <w:ind w:right="97" w:firstLine="421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8.3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投标人仅限于为本单位支付平台使用费及缴纳</w:t>
      </w:r>
      <w:r>
        <w:rPr>
          <w:rFonts w:ascii="宋体" w:hAnsi="宋体" w:eastAsia="宋体" w:cs="宋体"/>
          <w:spacing w:val="-3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z w:val="20"/>
          <w:szCs w:val="20"/>
          <w:highlight w:val="none"/>
        </w:rPr>
        <w:t>CA</w:t>
      </w:r>
      <w:r>
        <w:rPr>
          <w:rFonts w:ascii="宋体" w:hAnsi="宋体" w:eastAsia="宋体" w:cs="宋体"/>
          <w:spacing w:val="-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数字证书。若存在任一投标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人为多家投标人代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缴上述费用的行为，根据《中华人民共和国招标投标法实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施条例》第四十条“</w:t>
      </w:r>
      <w:r>
        <w:rPr>
          <w:rFonts w:ascii="宋体" w:hAnsi="宋体" w:eastAsia="宋体" w:cs="宋体"/>
          <w:spacing w:val="-52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(二)不同投标人委托同一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单位或者个人办理投标事宜</w:t>
      </w:r>
      <w:r>
        <w:rPr>
          <w:rFonts w:ascii="宋体" w:hAnsi="宋体" w:eastAsia="宋体" w:cs="宋体"/>
          <w:spacing w:val="-6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”视为投标人相互串通投标。同时,依据《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eastAsia="zh-CN"/>
        </w:rPr>
        <w:t>黑龙江省矿投建设集团有限公司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供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应商管理办法》</w:t>
      </w:r>
      <w:r>
        <w:rPr>
          <w:rFonts w:ascii="宋体" w:hAnsi="宋体" w:eastAsia="宋体" w:cs="宋体"/>
          <w:spacing w:val="-5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highlight w:val="none"/>
        </w:rPr>
        <w:t>中关于供应商失信行为的认定标准，此类行为被定性为采购活动中的串通投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标或围标。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涉及的供应商将在一年内禁止参加集团及权属企业实施的采购活动。</w:t>
      </w:r>
    </w:p>
    <w:p w14:paraId="6A710578">
      <w:pPr>
        <w:spacing w:before="162" w:line="226" w:lineRule="auto"/>
        <w:ind w:left="422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  <w:highlight w:val="none"/>
        </w:rPr>
        <w:t>9.发布公告的媒介</w:t>
      </w:r>
    </w:p>
    <w:p w14:paraId="76A07206">
      <w:pPr>
        <w:spacing w:before="65" w:line="377" w:lineRule="auto"/>
        <w:ind w:left="18" w:hanging="19"/>
        <w:jc w:val="both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3"/>
          <w:sz w:val="20"/>
          <w:szCs w:val="20"/>
          <w:highlight w:val="none"/>
        </w:rPr>
        <w:t>本项目招标公告在</w:t>
      </w:r>
      <w:r>
        <w:rPr>
          <w:rFonts w:hint="eastAsia" w:ascii="宋体" w:hAnsi="宋体" w:eastAsia="宋体" w:cs="宋体"/>
          <w:spacing w:val="13"/>
          <w:sz w:val="20"/>
          <w:szCs w:val="20"/>
          <w:highlight w:val="none"/>
          <w:lang w:eastAsia="zh-CN"/>
        </w:rPr>
        <w:t>中招联合招标采购平台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上发布。其它网址转载无效</w:t>
      </w:r>
      <w:r>
        <w:rPr>
          <w:rFonts w:ascii="宋体" w:hAnsi="宋体" w:eastAsia="宋体" w:cs="宋体"/>
          <w:spacing w:val="7"/>
          <w:sz w:val="20"/>
          <w:szCs w:val="20"/>
          <w:highlight w:val="none"/>
        </w:rPr>
        <w:t>。</w:t>
      </w:r>
    </w:p>
    <w:p w14:paraId="27ECD1A0">
      <w:pPr>
        <w:spacing w:line="227" w:lineRule="auto"/>
        <w:ind w:left="434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  <w:highlight w:val="none"/>
        </w:rPr>
        <w:t>10.受理异议的联系方式</w:t>
      </w:r>
    </w:p>
    <w:p w14:paraId="4FE3AB74">
      <w:pPr>
        <w:spacing w:before="160" w:line="228" w:lineRule="auto"/>
        <w:ind w:left="420"/>
        <w:rPr>
          <w:rFonts w:hint="eastAsia" w:ascii="宋体" w:hAnsi="宋体" w:eastAsia="宋体" w:cs="宋体"/>
          <w:sz w:val="20"/>
          <w:szCs w:val="20"/>
          <w:highlight w:val="none"/>
          <w:lang w:eastAsia="zh-CN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招标人：</w:t>
      </w:r>
      <w:r>
        <w:rPr>
          <w:rFonts w:hint="eastAsia" w:ascii="宋体" w:hAnsi="宋体" w:eastAsia="宋体" w:cs="宋体"/>
          <w:spacing w:val="9"/>
          <w:sz w:val="20"/>
          <w:szCs w:val="20"/>
          <w:highlight w:val="none"/>
          <w:lang w:eastAsia="zh-CN"/>
        </w:rPr>
        <w:t>黑龙江北方有色建设有限责任公司</w:t>
      </w:r>
    </w:p>
    <w:p w14:paraId="2C110900">
      <w:pPr>
        <w:spacing w:before="161" w:line="228" w:lineRule="auto"/>
        <w:ind w:left="419"/>
        <w:rPr>
          <w:rFonts w:hint="eastAsia" w:ascii="宋体" w:hAnsi="宋体" w:eastAsia="宋体" w:cs="宋体"/>
          <w:sz w:val="20"/>
          <w:szCs w:val="20"/>
          <w:highlight w:val="none"/>
          <w:lang w:eastAsia="zh-CN"/>
        </w:rPr>
      </w:pP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地址：黑龙江省</w:t>
      </w:r>
      <w:r>
        <w:rPr>
          <w:rFonts w:hint="eastAsia" w:ascii="宋体" w:hAnsi="宋体" w:eastAsia="宋体" w:cs="宋体"/>
          <w:spacing w:val="5"/>
          <w:sz w:val="20"/>
          <w:szCs w:val="20"/>
          <w:highlight w:val="none"/>
          <w:lang w:val="en-US" w:eastAsia="zh-CN"/>
        </w:rPr>
        <w:t>哈尔滨市</w:t>
      </w:r>
    </w:p>
    <w:p w14:paraId="746903D5">
      <w:pPr>
        <w:spacing w:before="160" w:line="228" w:lineRule="auto"/>
        <w:ind w:left="420"/>
        <w:rPr>
          <w:rFonts w:hint="eastAsia" w:ascii="宋体" w:hAnsi="宋体" w:eastAsia="宋体" w:cs="宋体"/>
          <w:sz w:val="20"/>
          <w:szCs w:val="20"/>
          <w:highlight w:val="none"/>
          <w:lang w:eastAsia="zh-CN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联系人：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</w:rPr>
        <w:t>刘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val="en-US" w:eastAsia="zh-CN"/>
        </w:rPr>
        <w:t>先生</w:t>
      </w:r>
    </w:p>
    <w:p w14:paraId="2145A328">
      <w:pPr>
        <w:spacing w:before="162" w:line="230" w:lineRule="auto"/>
        <w:ind w:left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联系电话：</w:t>
      </w:r>
      <w:r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  <w:t>0451-82731840</w:t>
      </w:r>
    </w:p>
    <w:p w14:paraId="5A4ABE70">
      <w:pPr>
        <w:spacing w:before="161" w:line="227" w:lineRule="auto"/>
        <w:ind w:left="418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 xml:space="preserve">代理机构： </w:t>
      </w:r>
      <w:r>
        <w:rPr>
          <w:rFonts w:hint="eastAsia" w:ascii="宋体" w:hAnsi="宋体" w:eastAsia="宋体" w:cs="宋体"/>
          <w:spacing w:val="9"/>
          <w:sz w:val="20"/>
          <w:szCs w:val="20"/>
          <w:highlight w:val="none"/>
          <w:lang w:eastAsia="zh-CN"/>
        </w:rPr>
        <w:t>黑龙江省矿投建设集团有限公司</w:t>
      </w:r>
    </w:p>
    <w:p w14:paraId="357A2914">
      <w:pPr>
        <w:spacing w:before="162" w:line="228" w:lineRule="auto"/>
        <w:ind w:left="423"/>
        <w:rPr>
          <w:rFonts w:hint="default" w:ascii="宋体" w:hAnsi="宋体" w:eastAsia="宋体" w:cs="宋体"/>
          <w:sz w:val="20"/>
          <w:szCs w:val="20"/>
          <w:highlight w:val="none"/>
          <w:lang w:val="en-US" w:eastAsia="zh-CN"/>
        </w:rPr>
      </w:pPr>
      <w:r>
        <w:rPr>
          <w:rFonts w:ascii="宋体" w:hAnsi="宋体" w:eastAsia="宋体" w:cs="宋体"/>
          <w:spacing w:val="9"/>
          <w:sz w:val="20"/>
          <w:szCs w:val="20"/>
          <w:highlight w:val="none"/>
        </w:rPr>
        <w:t>办公地址：黑龙江省哈尔滨市</w:t>
      </w:r>
      <w:r>
        <w:rPr>
          <w:rFonts w:hint="eastAsia" w:ascii="宋体" w:hAnsi="宋体" w:eastAsia="宋体" w:cs="宋体"/>
          <w:spacing w:val="9"/>
          <w:sz w:val="20"/>
          <w:szCs w:val="20"/>
          <w:highlight w:val="none"/>
          <w:lang w:val="en-US" w:eastAsia="zh-CN"/>
        </w:rPr>
        <w:t>理治街33号</w:t>
      </w:r>
    </w:p>
    <w:p w14:paraId="4BB35E72">
      <w:pPr>
        <w:spacing w:before="161" w:line="228" w:lineRule="auto"/>
        <w:ind w:left="420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联系人：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val="en-US" w:eastAsia="zh-CN"/>
        </w:rPr>
        <w:t>王</w:t>
      </w:r>
      <w:r>
        <w:rPr>
          <w:rFonts w:ascii="宋体" w:hAnsi="宋体" w:eastAsia="宋体" w:cs="宋体"/>
          <w:spacing w:val="8"/>
          <w:sz w:val="20"/>
          <w:szCs w:val="20"/>
          <w:highlight w:val="none"/>
        </w:rPr>
        <w:t>先生</w:t>
      </w:r>
    </w:p>
    <w:p w14:paraId="7F1FD364"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联系电话：</w:t>
      </w:r>
      <w:r>
        <w:rPr>
          <w:rFonts w:hint="default" w:ascii="宋体" w:hAnsi="宋体" w:eastAsia="宋体" w:cs="宋体"/>
          <w:spacing w:val="9"/>
          <w:sz w:val="20"/>
          <w:szCs w:val="20"/>
          <w:highlight w:val="none"/>
          <w:lang w:val="en-US" w:eastAsia="zh-CN"/>
        </w:rPr>
        <w:t>0451-82722749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C046E"/>
    <w:rsid w:val="4F491C53"/>
    <w:rsid w:val="68BA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2628</Words>
  <Characters>2877</Characters>
  <Lines>0</Lines>
  <Paragraphs>0</Paragraphs>
  <TotalTime>0</TotalTime>
  <ScaleCrop>false</ScaleCrop>
  <LinksUpToDate>false</LinksUpToDate>
  <CharactersWithSpaces>2986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2023-05-21T23:26:00Z</dcterms:created>
  <dc:creator>Lenovo</dc:creator>
  <cp:lastModifiedBy>权子</cp:lastModifiedBy>
  <dcterms:modified xsi:type="dcterms:W3CDTF">2026-01-12T00:37:49Z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F8F8309BD84E483199B778D26FCB00DE_12</vt:lpwstr>
  </property>
  <property fmtid="{D5CDD505-2E9C-101B-9397-08002B2CF9AE}" pid="4" name="KSOTemplateDocerSaveRecord">
    <vt:lpwstr>eyJoZGlkIjoiZTEwNGYzMzQ1N2I1MDc0MzUxZTM3N2YwNDkxNzVlNzMiLCJ1c2VySWQiOiIzNzUwNzM4MDkifQ==</vt:lpwstr>
  </property>
</Properties>
</file>