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B1F3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此项参数不存在以下情况：</w:t>
      </w:r>
    </w:p>
    <w:p w14:paraId="51E73C1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b/>
          <w:sz w:val="21"/>
          <w:szCs w:val="21"/>
        </w:rPr>
        <w:t>政府采购法实施条例</w:t>
      </w: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b/>
          <w:sz w:val="21"/>
          <w:szCs w:val="21"/>
        </w:rPr>
        <w:t>第二十条</w:t>
      </w:r>
      <w:r>
        <w:rPr>
          <w:rFonts w:hint="eastAsia" w:asciiTheme="minorEastAsia" w:hAnsiTheme="minorEastAsia" w:eastAsiaTheme="minorEastAsia" w:cstheme="minorEastAsia"/>
          <w:b/>
          <w:sz w:val="21"/>
          <w:szCs w:val="21"/>
          <w:lang w:eastAsia="zh-CN"/>
        </w:rPr>
        <w:t>：</w:t>
      </w:r>
    </w:p>
    <w:p w14:paraId="7ED129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采购人或者采购代理机构有下列情形之一的，属于以不合理的条件对供应商实行差别待遇或者歧视待遇： </w:t>
      </w:r>
    </w:p>
    <w:p w14:paraId="2FAF604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(一)就同一采购项目向供应商提供有差别的项目信息； </w:t>
      </w:r>
    </w:p>
    <w:p w14:paraId="1F1018B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(二)设定的资格、技术、商务条件与采购项目的具体特点和实际需要不相适应或者与合同履行无关； </w:t>
      </w:r>
    </w:p>
    <w:p w14:paraId="20020F1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(三)采购需求中的技术、服务等要求指向特定供应商、特定产品； </w:t>
      </w:r>
    </w:p>
    <w:p w14:paraId="5F8A528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(四)以特定行政区域或者特定行业的业绩、奖项作为加分条件或者中标、成交条件； </w:t>
      </w:r>
    </w:p>
    <w:p w14:paraId="4D27F67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(五)对供应商采取不同的资格审查或者评审标准； </w:t>
      </w:r>
    </w:p>
    <w:p w14:paraId="329B2EF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(六)限定或者指定特定的专利、商标、品牌或者供应商； </w:t>
      </w:r>
    </w:p>
    <w:p w14:paraId="387949C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(七)非法限定供应商的所有制形式、组织形式或者所在地； </w:t>
      </w:r>
    </w:p>
    <w:p w14:paraId="1FC2A4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(八)以其他不合理条件限制或者排斥潜在供应商。</w:t>
      </w:r>
    </w:p>
    <w:p w14:paraId="6CF9C0E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是否使用试剂耗材：□是      □否      </w:t>
      </w:r>
    </w:p>
    <w:p w14:paraId="3E5E7FD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产地： □国产  □进口       国产同类设备生产企业类型：   □大型企业    □中型企业及以下 </w:t>
      </w:r>
    </w:p>
    <w:p w14:paraId="5CD1AF6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是否属于强检设备：□是，首次计量鉴定由供应商负责      □否</w:t>
      </w:r>
    </w:p>
    <w:p w14:paraId="2D8EAA4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是否需要场地改造：□无     □需要改造内容：</w:t>
      </w:r>
    </w:p>
    <w:p w14:paraId="66B95DB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49CEE17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申请科室负责人：</w:t>
      </w:r>
    </w:p>
    <w:p w14:paraId="203F9FE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462689B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撰写人（初审）签字：                  复审签字：                 终审签字： </w:t>
      </w:r>
    </w:p>
    <w:p w14:paraId="165F111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132DDEF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heme="minorEastAsia" w:hAnsiTheme="minorEastAsia" w:eastAsiaTheme="minorEastAsia" w:cstheme="minorEastAsia"/>
          <w:b/>
          <w:sz w:val="21"/>
          <w:szCs w:val="21"/>
          <w:lang w:val="en-US"/>
        </w:rPr>
      </w:pPr>
      <w:r>
        <w:rPr>
          <w:rFonts w:hint="eastAsia" w:asciiTheme="minorEastAsia" w:hAnsiTheme="minorEastAsia" w:eastAsiaTheme="minorEastAsia" w:cstheme="minorEastAsia"/>
          <w:b/>
          <w:sz w:val="21"/>
          <w:szCs w:val="21"/>
          <w:lang w:val="en-US" w:eastAsia="zh-CN"/>
        </w:rPr>
        <w:t xml:space="preserve">医工科负责人：                                                    时间：  </w:t>
      </w:r>
    </w:p>
    <w:p w14:paraId="423C9491">
      <w:pPr>
        <w:spacing w:line="440" w:lineRule="exact"/>
        <w:jc w:val="center"/>
        <w:rPr>
          <w:rFonts w:hint="eastAsia"/>
          <w:b/>
          <w:sz w:val="40"/>
          <w:szCs w:val="40"/>
        </w:rPr>
      </w:pPr>
    </w:p>
    <w:p w14:paraId="2738C292">
      <w:pPr>
        <w:spacing w:line="440" w:lineRule="exact"/>
        <w:jc w:val="center"/>
        <w:rPr>
          <w:rFonts w:hint="eastAsia"/>
          <w:b/>
          <w:sz w:val="40"/>
          <w:szCs w:val="40"/>
        </w:rPr>
      </w:pPr>
      <w:r>
        <w:rPr>
          <w:rFonts w:hint="eastAsia"/>
          <w:b/>
          <w:sz w:val="40"/>
          <w:szCs w:val="40"/>
        </w:rPr>
        <w:t>恒温箱技术参数要求</w:t>
      </w:r>
    </w:p>
    <w:p w14:paraId="75E5638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720" w:leftChars="0" w:hanging="720" w:firstLineChars="0"/>
        <w:textAlignment w:val="auto"/>
        <w:rPr>
          <w:rFonts w:hint="eastAsia"/>
          <w:sz w:val="30"/>
          <w:szCs w:val="30"/>
        </w:rPr>
      </w:pPr>
      <w:r>
        <w:rPr>
          <w:rFonts w:hint="default" w:ascii="Calibri" w:hAnsi="Calibri" w:eastAsia="宋体" w:cs="Times New Roman"/>
          <w:kern w:val="2"/>
          <w:sz w:val="30"/>
          <w:szCs w:val="30"/>
          <w:lang w:val="en-US" w:eastAsia="zh-CN" w:bidi="ar-SA"/>
        </w:rPr>
        <w:t>一．</w:t>
      </w:r>
      <w:r>
        <w:rPr>
          <w:rFonts w:hint="eastAsia"/>
          <w:sz w:val="30"/>
          <w:szCs w:val="30"/>
        </w:rPr>
        <w:t>规格参数要求：</w:t>
      </w:r>
    </w:p>
    <w:p w14:paraId="12023DB2">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lang w:val="en-US" w:eastAsia="zh-CN"/>
        </w:rPr>
      </w:pPr>
      <w:r>
        <w:rPr>
          <w:rFonts w:hint="eastAsia"/>
          <w:sz w:val="30"/>
          <w:szCs w:val="30"/>
          <w:lang w:val="en-US" w:eastAsia="zh-CN"/>
        </w:rPr>
        <w:t>容积：≥25L</w:t>
      </w:r>
    </w:p>
    <w:p w14:paraId="3C1630D4">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lang w:val="en-US" w:eastAsia="zh-CN"/>
        </w:rPr>
      </w:pPr>
      <w:r>
        <w:rPr>
          <w:rFonts w:hint="eastAsia"/>
          <w:sz w:val="30"/>
          <w:szCs w:val="30"/>
          <w:lang w:val="en-US" w:eastAsia="zh-CN"/>
        </w:rPr>
        <w:t>内胆不锈钢，不锈钢加热管</w:t>
      </w:r>
    </w:p>
    <w:p w14:paraId="145BDACF">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default"/>
          <w:sz w:val="30"/>
          <w:szCs w:val="30"/>
          <w:lang w:val="en-US" w:eastAsia="zh-CN"/>
        </w:rPr>
      </w:pPr>
      <w:r>
        <w:rPr>
          <w:rFonts w:hint="eastAsia"/>
          <w:sz w:val="30"/>
          <w:szCs w:val="30"/>
          <w:lang w:val="en-US" w:eastAsia="zh-CN"/>
        </w:rPr>
        <w:t>数字显示，自动控温，具有定时功能</w:t>
      </w:r>
    </w:p>
    <w:p w14:paraId="46D1E1DA">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lang w:val="en-US" w:eastAsia="zh-CN"/>
        </w:rPr>
      </w:pPr>
      <w:r>
        <w:rPr>
          <w:rFonts w:hint="eastAsia"/>
          <w:sz w:val="30"/>
          <w:szCs w:val="30"/>
          <w:lang w:val="en-US" w:eastAsia="zh-CN"/>
        </w:rPr>
        <w:t>控温范围：RT+5~100℃</w:t>
      </w:r>
    </w:p>
    <w:p w14:paraId="2670A6B9">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lang w:val="en-US" w:eastAsia="zh-CN"/>
        </w:rPr>
      </w:pPr>
      <w:r>
        <w:rPr>
          <w:rFonts w:hint="eastAsia"/>
          <w:sz w:val="30"/>
          <w:szCs w:val="30"/>
          <w:lang w:val="en-US" w:eastAsia="zh-CN"/>
        </w:rPr>
        <w:t>温度波动：≤±0.5℃</w:t>
      </w:r>
    </w:p>
    <w:p w14:paraId="61B42EF1">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lang w:val="en-US" w:eastAsia="zh-CN"/>
        </w:rPr>
      </w:pPr>
      <w:r>
        <w:rPr>
          <w:rFonts w:hint="eastAsia"/>
          <w:sz w:val="30"/>
          <w:szCs w:val="30"/>
          <w:lang w:val="en-US" w:eastAsia="zh-CN"/>
        </w:rPr>
        <w:t>可设置温度跟踪报警≤1℃</w:t>
      </w:r>
    </w:p>
    <w:p w14:paraId="7D2EBFD2">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lang w:val="en-US" w:eastAsia="zh-CN"/>
        </w:rPr>
      </w:pPr>
      <w:r>
        <w:rPr>
          <w:rFonts w:hint="eastAsia"/>
          <w:sz w:val="30"/>
          <w:szCs w:val="30"/>
          <w:lang w:val="en-US" w:eastAsia="zh-CN"/>
        </w:rPr>
        <w:t>内胆参考尺寸：600×300×150mm</w:t>
      </w:r>
    </w:p>
    <w:p w14:paraId="319848A4">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lang w:val="en-US" w:eastAsia="zh-CN"/>
        </w:rPr>
      </w:pPr>
      <w:r>
        <w:rPr>
          <w:rFonts w:hint="eastAsia"/>
          <w:sz w:val="30"/>
          <w:szCs w:val="30"/>
          <w:lang w:val="en-US" w:eastAsia="zh-CN"/>
        </w:rPr>
        <w:t>配置相应试管架或载架等</w:t>
      </w:r>
    </w:p>
    <w:p w14:paraId="402C3B3E">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lang w:val="en-US" w:eastAsia="zh-CN"/>
        </w:rPr>
      </w:pPr>
      <w:r>
        <w:rPr>
          <w:rFonts w:hint="eastAsia"/>
          <w:sz w:val="30"/>
          <w:szCs w:val="30"/>
          <w:lang w:val="en-US" w:eastAsia="zh-CN"/>
        </w:rPr>
        <w:t>功率：≤1500W</w:t>
      </w:r>
    </w:p>
    <w:p w14:paraId="2D70B319">
      <w:pPr>
        <w:rPr>
          <w:rFonts w:hint="eastAsia"/>
        </w:rPr>
      </w:pPr>
    </w:p>
    <w:p w14:paraId="4ABBA26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rPr>
      </w:pPr>
    </w:p>
    <w:p w14:paraId="502328A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rPr>
      </w:pPr>
      <w:bookmarkStart w:id="0" w:name="_GoBack"/>
      <w:bookmarkEnd w:id="0"/>
    </w:p>
    <w:p w14:paraId="16E594E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720" w:leftChars="0" w:hanging="720" w:firstLineChars="0"/>
        <w:textAlignment w:val="auto"/>
        <w:rPr>
          <w:rFonts w:hint="eastAsia"/>
          <w:sz w:val="30"/>
          <w:szCs w:val="30"/>
        </w:rPr>
      </w:pPr>
      <w:r>
        <w:rPr>
          <w:rFonts w:hint="eastAsia" w:cs="Times New Roman"/>
          <w:kern w:val="2"/>
          <w:sz w:val="30"/>
          <w:szCs w:val="30"/>
          <w:lang w:val="en-US" w:eastAsia="zh-CN" w:bidi="ar-SA"/>
        </w:rPr>
        <w:t>二</w:t>
      </w:r>
      <w:r>
        <w:rPr>
          <w:rFonts w:hint="default" w:ascii="Calibri" w:hAnsi="Calibri" w:eastAsia="宋体" w:cs="Times New Roman"/>
          <w:kern w:val="2"/>
          <w:sz w:val="30"/>
          <w:szCs w:val="30"/>
          <w:lang w:val="en-US" w:eastAsia="zh-CN" w:bidi="ar-SA"/>
        </w:rPr>
        <w:t>．</w:t>
      </w:r>
      <w:r>
        <w:rPr>
          <w:rFonts w:hint="eastAsia"/>
          <w:sz w:val="30"/>
          <w:szCs w:val="30"/>
        </w:rPr>
        <w:t>其他技术性要求：</w:t>
      </w:r>
    </w:p>
    <w:p w14:paraId="69C7208C">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负责设备的安装、调试、培训等工作。</w:t>
      </w:r>
    </w:p>
    <w:p w14:paraId="3262FACA">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val="en-US" w:eastAsia="zh-CN"/>
        </w:rPr>
        <w:t>须列出所有设备易损件清单及价格。</w:t>
      </w:r>
    </w:p>
    <w:p w14:paraId="69D75918">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val="en-US" w:eastAsia="zh-CN"/>
        </w:rPr>
        <w:t>须列出所有设备维保服务类型及价格。</w:t>
      </w:r>
    </w:p>
    <w:p w14:paraId="234948B0">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如标配中含有打印机的，要求配置医院现有品牌（所用耗材需与医院现有耗材一致）。</w:t>
      </w:r>
    </w:p>
    <w:p w14:paraId="6A0B6473">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sz w:val="30"/>
          <w:szCs w:val="30"/>
        </w:rPr>
      </w:pPr>
      <w:r>
        <w:rPr>
          <w:rFonts w:hint="eastAsia"/>
          <w:sz w:val="30"/>
          <w:szCs w:val="30"/>
        </w:rPr>
        <w:t>如具有数据存储功能，产生信息数据的设备必须终生免费开放各类数据接口，包含但不限于DICOM、WEBservice等数据接口格式，以保证与我院现有信息系统的数据对接。</w:t>
      </w:r>
    </w:p>
    <w:p w14:paraId="302EB744">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xml:space="preserve">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 </w:t>
      </w:r>
    </w:p>
    <w:p w14:paraId="50E7791E">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如</w:t>
      </w:r>
      <w:r>
        <w:rPr>
          <w:sz w:val="30"/>
          <w:szCs w:val="30"/>
        </w:rPr>
        <w:t>具有</w:t>
      </w:r>
      <w:r>
        <w:rPr>
          <w:rFonts w:hint="eastAsia"/>
          <w:sz w:val="30"/>
          <w:szCs w:val="30"/>
        </w:rPr>
        <w:t>工作站或相关</w:t>
      </w:r>
      <w:r>
        <w:rPr>
          <w:sz w:val="30"/>
          <w:szCs w:val="30"/>
        </w:rPr>
        <w:t>操作</w:t>
      </w:r>
      <w:r>
        <w:rPr>
          <w:rFonts w:hint="eastAsia"/>
          <w:sz w:val="30"/>
          <w:szCs w:val="30"/>
        </w:rPr>
        <w:t>系统，其中</w:t>
      </w:r>
      <w:r>
        <w:rPr>
          <w:sz w:val="30"/>
          <w:szCs w:val="30"/>
        </w:rPr>
        <w:t>包</w:t>
      </w:r>
      <w:r>
        <w:rPr>
          <w:rFonts w:hint="eastAsia"/>
          <w:sz w:val="30"/>
          <w:szCs w:val="30"/>
        </w:rPr>
        <w:t xml:space="preserve">含的所有软件，无年度维护费用；软件中涉及到存储病人就诊信息的，无单独就诊卡或芯片类存储介质。 </w:t>
      </w:r>
    </w:p>
    <w:p w14:paraId="51FA2A02">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自验收合格之日起计保修期，提供整机（包含附件，如稳压电源、脚踏、推车等）原厂保修服务≥</w:t>
      </w:r>
      <w:r>
        <w:rPr>
          <w:sz w:val="30"/>
          <w:szCs w:val="30"/>
        </w:rPr>
        <w:t>3</w:t>
      </w:r>
      <w:r>
        <w:rPr>
          <w:rFonts w:hint="eastAsia"/>
          <w:sz w:val="30"/>
          <w:szCs w:val="30"/>
        </w:rPr>
        <w:t>年，承担保修期内设备任何故障产生的费用。</w:t>
      </w:r>
    </w:p>
    <w:p w14:paraId="7E642DE0">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保修期内每季度定期由专业工程师对设备进行巡检，并出具相应工单交使用科室及医学工程科备案。</w:t>
      </w:r>
    </w:p>
    <w:sectPr>
      <w:headerReference r:id="rId5" w:type="first"/>
      <w:footerReference r:id="rId8" w:type="first"/>
      <w:headerReference r:id="rId3" w:type="default"/>
      <w:footerReference r:id="rId6" w:type="default"/>
      <w:headerReference r:id="rId4" w:type="even"/>
      <w:footerReference r:id="rId7" w:type="even"/>
      <w:pgSz w:w="11906" w:h="16838"/>
      <w:pgMar w:top="851" w:right="1133" w:bottom="1276" w:left="1134" w:header="851" w:footer="38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EC2B0">
    <w:pPr>
      <w:pStyle w:val="3"/>
      <w:pBdr>
        <w:top w:val="single" w:color="auto" w:sz="4" w:space="1"/>
      </w:pBdr>
      <w:rPr>
        <w:sz w:val="28"/>
        <w:szCs w:val="28"/>
      </w:rPr>
    </w:pPr>
    <w:r>
      <w:rPr>
        <w:rFonts w:hint="eastAsia"/>
        <w:sz w:val="28"/>
        <w:szCs w:val="28"/>
        <w:lang w:val="en-US" w:eastAsia="zh-CN"/>
      </w:rPr>
      <w:t xml:space="preserve">         </w:t>
    </w:r>
    <w:r>
      <w:rPr>
        <w:rFonts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EDE82">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FE238">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CBEFF">
    <w:pPr>
      <w:pStyle w:val="4"/>
      <w:jc w:val="both"/>
      <w:rPr>
        <w:rFonts w:hint="default" w:eastAsia="宋体"/>
        <w:sz w:val="28"/>
        <w:szCs w:val="28"/>
        <w:lang w:val="en-US" w:eastAsia="zh-CN"/>
      </w:rPr>
    </w:pPr>
    <w:r>
      <w:rPr>
        <w:rFonts w:hint="eastAsia"/>
        <w:sz w:val="28"/>
        <w:szCs w:val="28"/>
      </w:rPr>
      <w:t>申请科室：基于本土大数据平台的骨与关节疾病数字化防治体系构建及转化（子课题）</w:t>
    </w:r>
    <w:r>
      <w:rPr>
        <w:rFonts w:hint="eastAsia"/>
        <w:sz w:val="28"/>
        <w:szCs w:val="28"/>
        <w:lang w:val="en-US" w:eastAsia="zh-CN"/>
      </w:rPr>
      <w:t xml:space="preserve">         </w:t>
    </w:r>
    <w:r>
      <w:rPr>
        <w:rFonts w:hint="eastAsia"/>
        <w:sz w:val="28"/>
        <w:szCs w:val="28"/>
      </w:rPr>
      <w:t xml:space="preserve"> </w:t>
    </w:r>
    <w:r>
      <w:rPr>
        <w:rFonts w:hint="eastAsia"/>
        <w:sz w:val="28"/>
        <w:szCs w:val="28"/>
        <w:lang w:val="en-US" w:eastAsia="zh-CN"/>
      </w:rPr>
      <w:t xml:space="preserve"> </w:t>
    </w:r>
    <w:r>
      <w:rPr>
        <w:rFonts w:hint="eastAsia"/>
        <w:sz w:val="28"/>
        <w:szCs w:val="28"/>
      </w:rPr>
      <w:t xml:space="preserve"> 报告号：SB2025049</w:t>
    </w:r>
    <w:r>
      <w:rPr>
        <w:rFonts w:hint="eastAsia"/>
        <w:sz w:val="28"/>
        <w:szCs w:val="28"/>
        <w:lang w:val="en-US" w:eastAsia="zh-CN"/>
      </w:rPr>
      <w:t xml:space="preserve">              数量：1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17AC2">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24354">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64680D"/>
    <w:multiLevelType w:val="multilevel"/>
    <w:tmpl w:val="5764680D"/>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7C541453"/>
    <w:multiLevelType w:val="multilevel"/>
    <w:tmpl w:val="7C541453"/>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documentProtection w:enforcement="0"/>
  <w:defaultTabStop w:val="21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2ODJiYjExMjJlZWU1Y2Y1M2EzOThjZWQxZDU5ZTYifQ=="/>
  </w:docVars>
  <w:rsids>
    <w:rsidRoot w:val="00983A88"/>
    <w:rsid w:val="000013A3"/>
    <w:rsid w:val="000218BB"/>
    <w:rsid w:val="00030065"/>
    <w:rsid w:val="00032C50"/>
    <w:rsid w:val="00032E66"/>
    <w:rsid w:val="00063780"/>
    <w:rsid w:val="00097B6E"/>
    <w:rsid w:val="000A1F80"/>
    <w:rsid w:val="000E3FCE"/>
    <w:rsid w:val="000E5040"/>
    <w:rsid w:val="000F0F3A"/>
    <w:rsid w:val="000F5C24"/>
    <w:rsid w:val="00117B31"/>
    <w:rsid w:val="00120A49"/>
    <w:rsid w:val="00125A0E"/>
    <w:rsid w:val="00131432"/>
    <w:rsid w:val="00137280"/>
    <w:rsid w:val="00145EBB"/>
    <w:rsid w:val="00146F35"/>
    <w:rsid w:val="00167619"/>
    <w:rsid w:val="001737A7"/>
    <w:rsid w:val="001C478F"/>
    <w:rsid w:val="001E3423"/>
    <w:rsid w:val="001E572D"/>
    <w:rsid w:val="001E60AC"/>
    <w:rsid w:val="00214EAA"/>
    <w:rsid w:val="00223538"/>
    <w:rsid w:val="0022424E"/>
    <w:rsid w:val="00226737"/>
    <w:rsid w:val="00233865"/>
    <w:rsid w:val="00241465"/>
    <w:rsid w:val="00281266"/>
    <w:rsid w:val="00281880"/>
    <w:rsid w:val="00281ED0"/>
    <w:rsid w:val="00282325"/>
    <w:rsid w:val="002963A0"/>
    <w:rsid w:val="002A1976"/>
    <w:rsid w:val="002C6D16"/>
    <w:rsid w:val="002D7A76"/>
    <w:rsid w:val="002E1D80"/>
    <w:rsid w:val="0030161B"/>
    <w:rsid w:val="00314D26"/>
    <w:rsid w:val="00320A51"/>
    <w:rsid w:val="00340970"/>
    <w:rsid w:val="00356F2D"/>
    <w:rsid w:val="00365A92"/>
    <w:rsid w:val="003864F0"/>
    <w:rsid w:val="003A74D9"/>
    <w:rsid w:val="003B42B5"/>
    <w:rsid w:val="003B7781"/>
    <w:rsid w:val="003C16C8"/>
    <w:rsid w:val="003D24CC"/>
    <w:rsid w:val="003F38DB"/>
    <w:rsid w:val="003F3B63"/>
    <w:rsid w:val="00406D11"/>
    <w:rsid w:val="00423FCF"/>
    <w:rsid w:val="004433AC"/>
    <w:rsid w:val="004459DF"/>
    <w:rsid w:val="00495171"/>
    <w:rsid w:val="004A13E1"/>
    <w:rsid w:val="004A3ADB"/>
    <w:rsid w:val="004B4723"/>
    <w:rsid w:val="004F495D"/>
    <w:rsid w:val="004F70B4"/>
    <w:rsid w:val="00517DA4"/>
    <w:rsid w:val="00520C0E"/>
    <w:rsid w:val="00571927"/>
    <w:rsid w:val="005A72ED"/>
    <w:rsid w:val="005B0167"/>
    <w:rsid w:val="005C3110"/>
    <w:rsid w:val="005D1B3F"/>
    <w:rsid w:val="005E0501"/>
    <w:rsid w:val="005E6D7F"/>
    <w:rsid w:val="0064582B"/>
    <w:rsid w:val="00655F02"/>
    <w:rsid w:val="00656DB1"/>
    <w:rsid w:val="00657BC3"/>
    <w:rsid w:val="00661854"/>
    <w:rsid w:val="00666486"/>
    <w:rsid w:val="00691A30"/>
    <w:rsid w:val="00692EC4"/>
    <w:rsid w:val="006C1ACA"/>
    <w:rsid w:val="006C7C20"/>
    <w:rsid w:val="006D632F"/>
    <w:rsid w:val="00700184"/>
    <w:rsid w:val="00702D7F"/>
    <w:rsid w:val="00704893"/>
    <w:rsid w:val="00706DB5"/>
    <w:rsid w:val="00743B8A"/>
    <w:rsid w:val="00756CA8"/>
    <w:rsid w:val="007675E4"/>
    <w:rsid w:val="0077126F"/>
    <w:rsid w:val="007731FF"/>
    <w:rsid w:val="00777ECE"/>
    <w:rsid w:val="007A4518"/>
    <w:rsid w:val="007B5959"/>
    <w:rsid w:val="007D4F0B"/>
    <w:rsid w:val="007E7D46"/>
    <w:rsid w:val="008111F7"/>
    <w:rsid w:val="00825615"/>
    <w:rsid w:val="00876145"/>
    <w:rsid w:val="008804F9"/>
    <w:rsid w:val="00892F2F"/>
    <w:rsid w:val="008937DC"/>
    <w:rsid w:val="00895390"/>
    <w:rsid w:val="008B7B6E"/>
    <w:rsid w:val="008C70C8"/>
    <w:rsid w:val="008D3F72"/>
    <w:rsid w:val="00935524"/>
    <w:rsid w:val="009665E0"/>
    <w:rsid w:val="00983301"/>
    <w:rsid w:val="00983A88"/>
    <w:rsid w:val="009946DF"/>
    <w:rsid w:val="009B6278"/>
    <w:rsid w:val="009E0823"/>
    <w:rsid w:val="009E1380"/>
    <w:rsid w:val="009E1E7A"/>
    <w:rsid w:val="009E346E"/>
    <w:rsid w:val="009F2B03"/>
    <w:rsid w:val="009F4C17"/>
    <w:rsid w:val="009F74CF"/>
    <w:rsid w:val="00A00979"/>
    <w:rsid w:val="00A11936"/>
    <w:rsid w:val="00A12844"/>
    <w:rsid w:val="00A26CA6"/>
    <w:rsid w:val="00A701DA"/>
    <w:rsid w:val="00A77A22"/>
    <w:rsid w:val="00A876CC"/>
    <w:rsid w:val="00A922DC"/>
    <w:rsid w:val="00A95BC2"/>
    <w:rsid w:val="00AA051B"/>
    <w:rsid w:val="00AB403E"/>
    <w:rsid w:val="00AE2F13"/>
    <w:rsid w:val="00AE4794"/>
    <w:rsid w:val="00B0609D"/>
    <w:rsid w:val="00B17F52"/>
    <w:rsid w:val="00B378F0"/>
    <w:rsid w:val="00B40FA2"/>
    <w:rsid w:val="00B51305"/>
    <w:rsid w:val="00B55AC0"/>
    <w:rsid w:val="00B67644"/>
    <w:rsid w:val="00B823EB"/>
    <w:rsid w:val="00B90F17"/>
    <w:rsid w:val="00B9142C"/>
    <w:rsid w:val="00B93FA5"/>
    <w:rsid w:val="00BA55AE"/>
    <w:rsid w:val="00BF2412"/>
    <w:rsid w:val="00BF6288"/>
    <w:rsid w:val="00C060C1"/>
    <w:rsid w:val="00C12F02"/>
    <w:rsid w:val="00C35E5A"/>
    <w:rsid w:val="00C36A75"/>
    <w:rsid w:val="00C41723"/>
    <w:rsid w:val="00C41DC4"/>
    <w:rsid w:val="00C4608A"/>
    <w:rsid w:val="00C533A9"/>
    <w:rsid w:val="00C53D67"/>
    <w:rsid w:val="00C657A1"/>
    <w:rsid w:val="00C776E0"/>
    <w:rsid w:val="00C81744"/>
    <w:rsid w:val="00C821A3"/>
    <w:rsid w:val="00CA7E4C"/>
    <w:rsid w:val="00CE541F"/>
    <w:rsid w:val="00D04C83"/>
    <w:rsid w:val="00D222EA"/>
    <w:rsid w:val="00D313FF"/>
    <w:rsid w:val="00D33197"/>
    <w:rsid w:val="00D40C9A"/>
    <w:rsid w:val="00D42539"/>
    <w:rsid w:val="00D511FE"/>
    <w:rsid w:val="00DA28FE"/>
    <w:rsid w:val="00DA5730"/>
    <w:rsid w:val="00DD2F26"/>
    <w:rsid w:val="00DD43A2"/>
    <w:rsid w:val="00DD49B1"/>
    <w:rsid w:val="00DD6136"/>
    <w:rsid w:val="00DD76A4"/>
    <w:rsid w:val="00DD7A37"/>
    <w:rsid w:val="00E02B2F"/>
    <w:rsid w:val="00E04962"/>
    <w:rsid w:val="00E12790"/>
    <w:rsid w:val="00E27F30"/>
    <w:rsid w:val="00E42431"/>
    <w:rsid w:val="00E6539E"/>
    <w:rsid w:val="00E87352"/>
    <w:rsid w:val="00EA0F8F"/>
    <w:rsid w:val="00EB7629"/>
    <w:rsid w:val="00ED1DED"/>
    <w:rsid w:val="00EE4B11"/>
    <w:rsid w:val="00EF6B35"/>
    <w:rsid w:val="00F05580"/>
    <w:rsid w:val="00F10B13"/>
    <w:rsid w:val="00F12960"/>
    <w:rsid w:val="00F17D67"/>
    <w:rsid w:val="00F32392"/>
    <w:rsid w:val="00F34471"/>
    <w:rsid w:val="00F82B75"/>
    <w:rsid w:val="00FA7D59"/>
    <w:rsid w:val="00FB1E84"/>
    <w:rsid w:val="00FC1553"/>
    <w:rsid w:val="00FC3CA1"/>
    <w:rsid w:val="00FD2EC0"/>
    <w:rsid w:val="00FD36B4"/>
    <w:rsid w:val="00FD3F21"/>
    <w:rsid w:val="00FD500E"/>
    <w:rsid w:val="00FE24F5"/>
    <w:rsid w:val="023652F8"/>
    <w:rsid w:val="09AF3A7B"/>
    <w:rsid w:val="0DE9270E"/>
    <w:rsid w:val="1C4D317B"/>
    <w:rsid w:val="27AB42A3"/>
    <w:rsid w:val="34916BF9"/>
    <w:rsid w:val="37312289"/>
    <w:rsid w:val="39581647"/>
    <w:rsid w:val="3B171863"/>
    <w:rsid w:val="4FBB3C8B"/>
    <w:rsid w:val="53F02B45"/>
    <w:rsid w:val="555624E0"/>
    <w:rsid w:val="62075C87"/>
    <w:rsid w:val="68561868"/>
    <w:rsid w:val="6F4F671C"/>
    <w:rsid w:val="76AF1A14"/>
    <w:rsid w:val="79E41DC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4"/>
    <w:unhideWhenUsed/>
    <w:qFormat/>
    <w:uiPriority w:val="99"/>
    <w:rPr>
      <w:sz w:val="18"/>
      <w:szCs w:val="18"/>
    </w:rPr>
  </w:style>
  <w:style w:type="paragraph" w:styleId="3">
    <w:name w:val="footer"/>
    <w:basedOn w:val="1"/>
    <w:link w:val="15"/>
    <w:unhideWhenUsed/>
    <w:qFormat/>
    <w:uiPriority w:val="99"/>
    <w:pPr>
      <w:tabs>
        <w:tab w:val="center" w:pos="4153"/>
        <w:tab w:val="right" w:pos="8306"/>
      </w:tabs>
      <w:snapToGrid w:val="0"/>
      <w:jc w:val="left"/>
    </w:pPr>
    <w:rPr>
      <w:sz w:val="18"/>
      <w:szCs w:val="18"/>
    </w:rPr>
  </w:style>
  <w:style w:type="paragraph" w:styleId="4">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
    <w:name w:val="Light Shading"/>
    <w:basedOn w:val="5"/>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styleId="8">
    <w:name w:val="Light Shading Accent 2"/>
    <w:basedOn w:val="5"/>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style>
  <w:style w:type="table" w:styleId="9">
    <w:name w:val="Light Shading Accent 3"/>
    <w:basedOn w:val="5"/>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styleId="10">
    <w:name w:val="Light Shading Accent 4"/>
    <w:basedOn w:val="5"/>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styleId="11">
    <w:name w:val="Light Shading Accent 5"/>
    <w:basedOn w:val="5"/>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character" w:styleId="13">
    <w:name w:val="Strong"/>
    <w:qFormat/>
    <w:uiPriority w:val="22"/>
    <w:rPr>
      <w:b/>
      <w:bCs/>
    </w:rPr>
  </w:style>
  <w:style w:type="character" w:customStyle="1" w:styleId="14">
    <w:name w:val="批注框文本 Char"/>
    <w:link w:val="2"/>
    <w:semiHidden/>
    <w:qFormat/>
    <w:uiPriority w:val="99"/>
    <w:rPr>
      <w:kern w:val="2"/>
      <w:sz w:val="18"/>
      <w:szCs w:val="18"/>
    </w:rPr>
  </w:style>
  <w:style w:type="character" w:customStyle="1" w:styleId="15">
    <w:name w:val="页脚 Char"/>
    <w:link w:val="3"/>
    <w:qFormat/>
    <w:uiPriority w:val="99"/>
    <w:rPr>
      <w:kern w:val="2"/>
      <w:sz w:val="18"/>
      <w:szCs w:val="18"/>
    </w:rPr>
  </w:style>
  <w:style w:type="character" w:customStyle="1" w:styleId="16">
    <w:name w:val="页眉 Char"/>
    <w:link w:val="4"/>
    <w:qFormat/>
    <w:uiPriority w:val="99"/>
    <w:rPr>
      <w:kern w:val="2"/>
      <w:sz w:val="18"/>
      <w:szCs w:val="18"/>
    </w:rPr>
  </w:style>
  <w:style w:type="table" w:customStyle="1" w:styleId="17">
    <w:name w:val="浅色底纹 - 强调文字颜色 11"/>
    <w:basedOn w:val="5"/>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la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tcBorders>
          <w:top w:val="nil"/>
          <w:left w:val="nil"/>
          <w:bottom w:val="nil"/>
          <w:right w:val="nil"/>
          <w:insideH w:val="nil"/>
          <w:insideV w:val="nil"/>
          <w:tl2br w:val="nil"/>
          <w:tr2bl w:val="nil"/>
        </w:tcBorders>
        <w:shd w:val="clear" w:color="auto" w:fill="D3DFEE"/>
      </w:tcPr>
    </w:tblStyle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1006</Words>
  <Characters>1050</Characters>
  <Lines>4</Lines>
  <Paragraphs>1</Paragraphs>
  <TotalTime>5</TotalTime>
  <ScaleCrop>false</ScaleCrop>
  <LinksUpToDate>false</LinksUpToDate>
  <CharactersWithSpaces>1191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2014-01-03T03:46:00Z</dcterms:created>
  <dc:creator>柳洋</dc:creator>
  <cp:lastModifiedBy>阳光灿烂</cp:lastModifiedBy>
  <cp:lastPrinted>2024-12-20T03:14:00Z</cp:lastPrinted>
  <dcterms:modified xsi:type="dcterms:W3CDTF">2026-01-07T10:32:33Z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2779A1CA8A404A3F833EBA6BBD92CF4A_13</vt:lpwstr>
  </property>
  <property fmtid="{D5CDD505-2E9C-101B-9397-08002B2CF9AE}" pid="4" name="KSOTemplateDocerSaveRecord">
    <vt:lpwstr>eyJoZGlkIjoiOWZkMGQwODUyZDAzNDQ3YzNhNzcyMzMzOTE2MzEzMzciLCJ1c2VySWQiOiIxMTMzMTUyMTI0In0=</vt:lpwstr>
  </property>
</Properties>
</file>