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969"/>
        <w:gridCol w:w="1885"/>
        <w:gridCol w:w="4569"/>
      </w:tblGrid>
      <w:tr w14:paraId="0D68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7" w:hRule="atLeast"/>
        </w:trPr>
        <w:tc>
          <w:tcPr>
            <w:tcW w:w="5000" w:type="pct"/>
            <w:gridSpan w:val="3"/>
            <w:shd w:val="clear" w:color="auto" w:fill="A9D08E"/>
            <w:vAlign w:val="center"/>
          </w:tcPr>
          <w:p w14:paraId="15C368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微信平台电子健康卡身份认证功能清单</w:t>
            </w:r>
          </w:p>
        </w:tc>
      </w:tr>
      <w:tr w14:paraId="6D9D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1169" w:type="pct"/>
            <w:shd w:val="clear" w:color="auto" w:fill="auto"/>
            <w:vAlign w:val="center"/>
          </w:tcPr>
          <w:p w14:paraId="668BBF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主要功能</w:t>
            </w:r>
          </w:p>
        </w:tc>
        <w:tc>
          <w:tcPr>
            <w:tcW w:w="1119" w:type="pct"/>
            <w:shd w:val="clear" w:color="auto" w:fill="auto"/>
            <w:vAlign w:val="center"/>
          </w:tcPr>
          <w:p w14:paraId="0987DE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详细功能</w:t>
            </w:r>
          </w:p>
        </w:tc>
        <w:tc>
          <w:tcPr>
            <w:tcW w:w="2711" w:type="pct"/>
            <w:shd w:val="clear" w:color="auto" w:fill="auto"/>
            <w:vAlign w:val="center"/>
          </w:tcPr>
          <w:p w14:paraId="115F37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功能描述</w:t>
            </w:r>
          </w:p>
        </w:tc>
      </w:tr>
      <w:tr w14:paraId="19B8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restart"/>
            <w:shd w:val="clear" w:color="auto" w:fill="auto"/>
            <w:vAlign w:val="center"/>
          </w:tcPr>
          <w:p w14:paraId="312CF1CA">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微软雅黑" w:hAnsi="微软雅黑" w:eastAsia="微软雅黑" w:cs="微软雅黑"/>
                <w:i w:val="0"/>
                <w:iCs w:val="0"/>
                <w:color w:val="000000"/>
                <w:kern w:val="0"/>
                <w:sz w:val="20"/>
                <w:szCs w:val="20"/>
                <w:u w:val="none"/>
                <w:lang w:val="en-US" w:eastAsia="zh-CN" w:bidi="ar"/>
              </w:rPr>
            </w:pPr>
            <w:bookmarkStart w:id="0" w:name="heading_1"/>
            <w:r>
              <w:rPr>
                <w:rFonts w:hint="eastAsia" w:ascii="微软雅黑" w:hAnsi="微软雅黑" w:eastAsia="微软雅黑" w:cs="微软雅黑"/>
                <w:i w:val="0"/>
                <w:iCs w:val="0"/>
                <w:color w:val="000000"/>
                <w:kern w:val="0"/>
                <w:sz w:val="20"/>
                <w:szCs w:val="20"/>
                <w:u w:val="none"/>
                <w:lang w:val="en-US" w:eastAsia="zh-CN" w:bidi="ar"/>
              </w:rPr>
              <w:t>（一）接入前准备</w:t>
            </w:r>
            <w:bookmarkEnd w:id="0"/>
          </w:p>
        </w:tc>
        <w:tc>
          <w:tcPr>
            <w:tcW w:w="1119" w:type="pct"/>
            <w:shd w:val="clear" w:color="auto" w:fill="auto"/>
            <w:vAlign w:val="center"/>
          </w:tcPr>
          <w:p w14:paraId="6F1800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开放平台入驻</w:t>
            </w:r>
          </w:p>
        </w:tc>
        <w:tc>
          <w:tcPr>
            <w:tcW w:w="2711" w:type="pct"/>
            <w:shd w:val="clear" w:color="auto" w:fill="auto"/>
            <w:vAlign w:val="center"/>
          </w:tcPr>
          <w:p w14:paraId="4214A26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入驻微信电子健康卡开放平台，录入机构名称、机构ID等相关信息，完成平台入驻流程</w:t>
            </w:r>
          </w:p>
        </w:tc>
      </w:tr>
      <w:tr w14:paraId="0089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073854D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shd w:val="clear" w:color="auto" w:fill="auto"/>
            <w:vAlign w:val="center"/>
          </w:tcPr>
          <w:p w14:paraId="67747F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开通人脸核验权限</w:t>
            </w:r>
          </w:p>
        </w:tc>
        <w:tc>
          <w:tcPr>
            <w:tcW w:w="2711" w:type="pct"/>
            <w:shd w:val="clear" w:color="auto" w:fill="auto"/>
            <w:vAlign w:val="center"/>
          </w:tcPr>
          <w:p w14:paraId="3459478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开通小程序的人脸验证权限，确保人脸验证功能可用。</w:t>
            </w:r>
          </w:p>
        </w:tc>
      </w:tr>
      <w:tr w14:paraId="6208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6BF476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shd w:val="clear" w:color="auto" w:fill="auto"/>
            <w:vAlign w:val="center"/>
          </w:tcPr>
          <w:p w14:paraId="4E5DCE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开通小程序</w:t>
            </w:r>
            <w:r>
              <w:rPr>
                <w:rFonts w:hint="eastAsia" w:ascii="微软雅黑" w:hAnsi="微软雅黑" w:eastAsia="微软雅黑" w:cs="微软雅黑"/>
                <w:sz w:val="20"/>
                <w:szCs w:val="20"/>
              </w:rPr>
              <w:t>开通身份验证组件</w:t>
            </w:r>
          </w:p>
        </w:tc>
        <w:tc>
          <w:tcPr>
            <w:tcW w:w="2711" w:type="pct"/>
            <w:shd w:val="clear" w:color="auto" w:fill="auto"/>
            <w:vAlign w:val="center"/>
          </w:tcPr>
          <w:p w14:paraId="21B1A7E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按要求发送开通身份验证组件邮件，邮件需包含业务方名称、联系方式、机构ID、小程序名称、开发商信息、应用渠道、小程序appid等必填项，有多种建卡方式时补充填写“更多建卡方式”相关信息，等待1-3个工作日权限开通</w:t>
            </w:r>
          </w:p>
        </w:tc>
      </w:tr>
      <w:tr w14:paraId="46A4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1169" w:type="pct"/>
            <w:vMerge w:val="restart"/>
            <w:shd w:val="clear" w:color="auto" w:fill="auto"/>
            <w:vAlign w:val="center"/>
          </w:tcPr>
          <w:p w14:paraId="5A5C2C2D">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微软雅黑" w:hAnsi="微软雅黑" w:eastAsia="微软雅黑" w:cs="微软雅黑"/>
                <w:i w:val="0"/>
                <w:iCs w:val="0"/>
                <w:color w:val="000000"/>
                <w:kern w:val="0"/>
                <w:sz w:val="20"/>
                <w:szCs w:val="20"/>
                <w:u w:val="none"/>
                <w:lang w:val="en-US" w:eastAsia="zh-CN" w:bidi="ar"/>
              </w:rPr>
            </w:pPr>
            <w:bookmarkStart w:id="1" w:name="heading_2"/>
            <w:r>
              <w:rPr>
                <w:rFonts w:hint="eastAsia" w:ascii="微软雅黑" w:hAnsi="微软雅黑" w:eastAsia="微软雅黑" w:cs="微软雅黑"/>
                <w:i w:val="0"/>
                <w:iCs w:val="0"/>
                <w:color w:val="000000"/>
                <w:kern w:val="0"/>
                <w:sz w:val="20"/>
                <w:szCs w:val="20"/>
                <w:u w:val="none"/>
                <w:lang w:val="en-US" w:eastAsia="zh-CN" w:bidi="ar"/>
              </w:rPr>
              <w:t>（二）必选场景改造-建档场景</w:t>
            </w:r>
            <w:bookmarkEnd w:id="1"/>
          </w:p>
          <w:p w14:paraId="6BA899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shd w:val="clear" w:color="auto" w:fill="auto"/>
            <w:vAlign w:val="center"/>
          </w:tcPr>
          <w:p w14:paraId="4EC313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建档授权</w:t>
            </w:r>
          </w:p>
        </w:tc>
        <w:tc>
          <w:tcPr>
            <w:tcW w:w="2711" w:type="pct"/>
            <w:shd w:val="clear" w:color="auto" w:fill="auto"/>
            <w:vAlign w:val="center"/>
          </w:tcPr>
          <w:p w14:paraId="6976EC5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用户点击建档入口（如“注册/绑卡/创建就诊人/添加就诊人”），调用“绑卡验证授权接口”，正确跳转至选择绑卡方式页。</w:t>
            </w:r>
          </w:p>
        </w:tc>
      </w:tr>
      <w:tr w14:paraId="2B09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6050A1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shd w:val="clear" w:color="auto" w:fill="auto"/>
            <w:vAlign w:val="center"/>
          </w:tcPr>
          <w:p w14:paraId="6DFBBC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院内档案关联</w:t>
            </w:r>
          </w:p>
        </w:tc>
        <w:tc>
          <w:tcPr>
            <w:tcW w:w="2711" w:type="pct"/>
            <w:shd w:val="clear" w:color="auto" w:fill="auto"/>
            <w:vAlign w:val="center"/>
          </w:tcPr>
          <w:p w14:paraId="4F6E71B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已绑卡老用户关联已有健康卡：用户选择一键授权卡信息，完成验证流程后授权信息至院内建档；若授权信息不满足建档字段，可跳转院内建档页补充信息（补充信息需文字结合颜色清晰标识）。</w:t>
            </w:r>
          </w:p>
        </w:tc>
      </w:tr>
      <w:tr w14:paraId="6A52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2F4F4B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shd w:val="clear" w:color="auto" w:fill="auto"/>
            <w:vAlign w:val="center"/>
          </w:tcPr>
          <w:p w14:paraId="274BED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新注册电子健康卡申领</w:t>
            </w:r>
          </w:p>
        </w:tc>
        <w:tc>
          <w:tcPr>
            <w:tcW w:w="2711" w:type="pct"/>
            <w:shd w:val="clear" w:color="auto" w:fill="auto"/>
            <w:vAlign w:val="center"/>
          </w:tcPr>
          <w:p w14:paraId="7B8E8A2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支持未绑卡用户申领健康卡：用户点击“添加健康卡”，跳转至服务商信息填写页（userFormPageUrl），填写信息后提交，调用“验证注册/绑卡接口”，跳转至身份验证页。</w:t>
            </w:r>
          </w:p>
        </w:tc>
      </w:tr>
      <w:tr w14:paraId="36BC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366D23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shd w:val="clear" w:color="auto" w:fill="auto"/>
            <w:vAlign w:val="center"/>
          </w:tcPr>
          <w:p w14:paraId="1CED6B5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身份认证</w:t>
            </w:r>
          </w:p>
        </w:tc>
        <w:tc>
          <w:tcPr>
            <w:tcW w:w="2711" w:type="pct"/>
            <w:shd w:val="clear" w:color="auto" w:fill="auto"/>
            <w:vAlign w:val="center"/>
          </w:tcPr>
          <w:p w14:paraId="2B0A67D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身份验证页需接入多种验证方式，覆盖成人（16-60岁）、儿童（16岁以下）、老人（60岁以上），至少接入一种（可使用微信实名验证能力），包括人脸识别、远程授权认证、国家网络身份认证（需额外申请）、微信支付实名（仅限服务号）、监护人认证/家人代验证等。</w:t>
            </w:r>
          </w:p>
        </w:tc>
      </w:tr>
      <w:tr w14:paraId="37FD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43CA96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shd w:val="clear" w:color="auto" w:fill="auto"/>
            <w:vAlign w:val="center"/>
          </w:tcPr>
          <w:p w14:paraId="1AA17F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档案完善</w:t>
            </w:r>
          </w:p>
        </w:tc>
        <w:tc>
          <w:tcPr>
            <w:tcW w:w="2711" w:type="pct"/>
            <w:shd w:val="clear" w:color="auto" w:fill="auto"/>
            <w:vAlign w:val="center"/>
          </w:tcPr>
          <w:p w14:paraId="3493539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验证成功后，开放平台生成healthCode并回传至小程序指定回跳页面（successRedirectUrl），小程序缓存healthCode，调用“健康卡授权码获取健康卡信息接口”获取用户信息完成院内建档；若需补充建档字段，引导用户跳转补充页面。</w:t>
            </w:r>
          </w:p>
        </w:tc>
      </w:tr>
      <w:tr w14:paraId="0050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72A6013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shd w:val="clear" w:color="auto" w:fill="auto"/>
            <w:vAlign w:val="center"/>
          </w:tcPr>
          <w:p w14:paraId="1C6E6D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验证失败引导绑定就诊卡</w:t>
            </w:r>
          </w:p>
        </w:tc>
        <w:tc>
          <w:tcPr>
            <w:tcW w:w="2711" w:type="pct"/>
            <w:shd w:val="clear" w:color="auto" w:fill="auto"/>
            <w:vAlign w:val="center"/>
          </w:tcPr>
          <w:p w14:paraId="394AC13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验证失败/用户放弃验证时，回跳至验证失败页面（verifyFailRedirectUrl），允许用户创建就诊卡或引导其他就医渠道，不阻断就医流程。</w:t>
            </w:r>
          </w:p>
        </w:tc>
      </w:tr>
      <w:tr w14:paraId="3534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26435F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shd w:val="clear" w:color="auto" w:fill="auto"/>
            <w:vAlign w:val="center"/>
          </w:tcPr>
          <w:p w14:paraId="2F71D9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建档异常提醒</w:t>
            </w:r>
          </w:p>
        </w:tc>
        <w:tc>
          <w:tcPr>
            <w:tcW w:w="2711" w:type="pct"/>
            <w:shd w:val="clear" w:color="auto" w:fill="auto"/>
            <w:vAlign w:val="center"/>
          </w:tcPr>
          <w:p w14:paraId="2FCBCA7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卡管系统服务异常时，接收regInfoCode并回传至建卡失败回调页面（failRedirectUrl），调用“获取建档信息接口（卡管异常流程）”获取用户身份信息，自行处理院内就医流程。</w:t>
            </w:r>
          </w:p>
        </w:tc>
      </w:tr>
      <w:tr w14:paraId="6262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restart"/>
            <w:shd w:val="clear" w:color="auto" w:fill="auto"/>
            <w:vAlign w:val="center"/>
          </w:tcPr>
          <w:p w14:paraId="189A67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bookmarkStart w:id="2" w:name="heading_3"/>
            <w:r>
              <w:rPr>
                <w:rFonts w:hint="eastAsia" w:ascii="微软雅黑" w:hAnsi="微软雅黑" w:eastAsia="微软雅黑" w:cs="微软雅黑"/>
                <w:i w:val="0"/>
                <w:iCs w:val="0"/>
                <w:color w:val="000000"/>
                <w:kern w:val="0"/>
                <w:sz w:val="20"/>
                <w:szCs w:val="20"/>
                <w:u w:val="none"/>
                <w:lang w:val="en-US" w:eastAsia="zh-CN" w:bidi="ar"/>
              </w:rPr>
              <w:t>（三）必选场景改造-用卡数据检测流程</w:t>
            </w:r>
            <w:bookmarkEnd w:id="2"/>
          </w:p>
        </w:tc>
        <w:tc>
          <w:tcPr>
            <w:tcW w:w="1119" w:type="pct"/>
            <w:shd w:val="clear" w:color="auto" w:fill="auto"/>
            <w:vAlign w:val="center"/>
          </w:tcPr>
          <w:p w14:paraId="07BBF6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接口数据上报</w:t>
            </w:r>
          </w:p>
        </w:tc>
        <w:tc>
          <w:tcPr>
            <w:tcW w:w="2711" w:type="pct"/>
            <w:shd w:val="clear" w:color="auto" w:fill="auto"/>
            <w:vAlign w:val="center"/>
          </w:tcPr>
          <w:p w14:paraId="1697AB2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按规范上报用卡数据，支持定时（当日23点前完成当日数据上报）或实时上报，用卡接口支持并发推送。</w:t>
            </w:r>
          </w:p>
        </w:tc>
      </w:tr>
      <w:tr w14:paraId="4CDB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0D1E74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shd w:val="clear" w:color="auto" w:fill="auto"/>
            <w:vAlign w:val="center"/>
          </w:tcPr>
          <w:p w14:paraId="530383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用卡数据上报</w:t>
            </w:r>
          </w:p>
        </w:tc>
        <w:tc>
          <w:tcPr>
            <w:tcW w:w="2711" w:type="pct"/>
            <w:shd w:val="clear" w:color="auto" w:fill="auto"/>
            <w:vAlign w:val="center"/>
          </w:tcPr>
          <w:p w14:paraId="5A04FB4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医院小程序需在HIS响应成功后上报数据：用户使用就医服务（如挂缴查）点击提交请求，收到HIS接口响应成功后，异步调用接口上报用卡数据。</w:t>
            </w:r>
          </w:p>
        </w:tc>
      </w:tr>
      <w:tr w14:paraId="7FE4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3A4C08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shd w:val="clear" w:color="auto" w:fill="auto"/>
            <w:vAlign w:val="center"/>
          </w:tcPr>
          <w:p w14:paraId="5973B3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用卡接口字段上传</w:t>
            </w:r>
          </w:p>
        </w:tc>
        <w:tc>
          <w:tcPr>
            <w:tcW w:w="2711" w:type="pct"/>
            <w:shd w:val="clear" w:color="auto" w:fill="auto"/>
            <w:vAlign w:val="center"/>
          </w:tcPr>
          <w:p w14:paraId="6FD6DB0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确保基础挂缴查就医服务环节数据应传尽传，包括预约挂号（0101011）、当日挂号（0101012）、查询挂号记录（0101013）、门诊缴费（0101051）、查询门诊缴费记录（0101052）、查询检查报告（0101081）、查询检验报告（0101082）等，接口入参必传字段正常上传。</w:t>
            </w:r>
          </w:p>
        </w:tc>
      </w:tr>
      <w:tr w14:paraId="24BE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restart"/>
            <w:shd w:val="clear" w:color="auto" w:fill="auto"/>
            <w:vAlign w:val="center"/>
          </w:tcPr>
          <w:p w14:paraId="12C049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（四）可选场景改造（按需接入）</w:t>
            </w:r>
          </w:p>
        </w:tc>
        <w:tc>
          <w:tcPr>
            <w:tcW w:w="1119" w:type="pct"/>
            <w:vMerge w:val="restart"/>
            <w:shd w:val="clear" w:color="auto" w:fill="auto"/>
            <w:vAlign w:val="center"/>
          </w:tcPr>
          <w:p w14:paraId="267922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展码场景</w:t>
            </w:r>
          </w:p>
        </w:tc>
        <w:tc>
          <w:tcPr>
            <w:tcW w:w="2711" w:type="pct"/>
            <w:shd w:val="clear" w:color="auto" w:fill="auto"/>
            <w:vAlign w:val="center"/>
          </w:tcPr>
          <w:p w14:paraId="0B2BD3B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用户进入卡列表页，选择对应健康卡点击展码，调用接口跳转统一验证页，未验证用户拉起身份验证。</w:t>
            </w:r>
          </w:p>
        </w:tc>
      </w:tr>
      <w:tr w14:paraId="07A9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7AB6FA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vMerge w:val="continue"/>
            <w:shd w:val="clear" w:color="auto" w:fill="auto"/>
            <w:vAlign w:val="center"/>
          </w:tcPr>
          <w:p w14:paraId="2293D0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711" w:type="pct"/>
            <w:shd w:val="clear" w:color="auto" w:fill="auto"/>
            <w:vAlign w:val="center"/>
          </w:tcPr>
          <w:p w14:paraId="4BD9BA0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验证完成后正常跳转到电子健康卡展码页（可调用平台展码页组件）；验证失败/用户取消验证时，不阻断展码流程，提供兜底方案。</w:t>
            </w:r>
          </w:p>
        </w:tc>
      </w:tr>
      <w:tr w14:paraId="3A30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6126E0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vMerge w:val="continue"/>
            <w:shd w:val="clear" w:color="auto" w:fill="auto"/>
            <w:vAlign w:val="center"/>
          </w:tcPr>
          <w:p w14:paraId="5DE87F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711" w:type="pct"/>
            <w:shd w:val="clear" w:color="auto" w:fill="auto"/>
            <w:vAlign w:val="center"/>
          </w:tcPr>
          <w:p w14:paraId="3334100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修改个人信息场景：涉及地址、手机号等基本信息查询/变更时，增加身份验证，对接方式参考查询场景。</w:t>
            </w:r>
          </w:p>
        </w:tc>
      </w:tr>
      <w:tr w14:paraId="3B1E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6E371A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vMerge w:val="continue"/>
            <w:shd w:val="clear" w:color="auto" w:fill="auto"/>
            <w:vAlign w:val="center"/>
          </w:tcPr>
          <w:p w14:paraId="60A5426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711" w:type="pct"/>
            <w:shd w:val="clear" w:color="auto" w:fill="auto"/>
            <w:vAlign w:val="center"/>
          </w:tcPr>
          <w:p w14:paraId="7DDE65E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其他敏感信息查询场景：涉及医师诊断、药品处方、住院费用明细等查询时，增加身份验证，对接方式参考查询场景。</w:t>
            </w:r>
          </w:p>
        </w:tc>
      </w:tr>
      <w:tr w14:paraId="2AC2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restart"/>
            <w:shd w:val="clear" w:color="auto" w:fill="auto"/>
            <w:vAlign w:val="center"/>
          </w:tcPr>
          <w:p w14:paraId="03DC79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（五）查询业务的身份认证</w:t>
            </w:r>
          </w:p>
        </w:tc>
        <w:tc>
          <w:tcPr>
            <w:tcW w:w="1119" w:type="pct"/>
            <w:shd w:val="clear" w:color="auto" w:fill="auto"/>
            <w:vAlign w:val="center"/>
          </w:tcPr>
          <w:p w14:paraId="2F7CCC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查询业务认证</w:t>
            </w:r>
          </w:p>
        </w:tc>
        <w:tc>
          <w:tcPr>
            <w:tcW w:w="2711" w:type="pct"/>
            <w:shd w:val="clear" w:color="auto" w:fill="auto"/>
            <w:vAlign w:val="center"/>
          </w:tcPr>
          <w:p w14:paraId="2A85863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用户点击查询入口（检验报告、检查报告、体检报告、住院清单等敏感信息查询），先显示默认查询用户，待用户确认后，获取wechatCode，调用“实人验证生成orderId接口”，跳转至统一验证页（verifyUrl）。</w:t>
            </w:r>
          </w:p>
        </w:tc>
      </w:tr>
      <w:tr w14:paraId="3FE2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28FF0AE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shd w:val="clear" w:color="auto" w:fill="auto"/>
            <w:vAlign w:val="center"/>
          </w:tcPr>
          <w:p w14:paraId="463FEB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身份认证</w:t>
            </w:r>
          </w:p>
        </w:tc>
        <w:tc>
          <w:tcPr>
            <w:tcW w:w="2711" w:type="pct"/>
            <w:shd w:val="clear" w:color="auto" w:fill="auto"/>
            <w:vAlign w:val="center"/>
          </w:tcPr>
          <w:p w14:paraId="3C7AA7F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身份验证页需接入多种验证方式，覆盖成人、老幼等各类人群，至少接入一种（可使用微信实名验证能力），提前申请接口权限确保可用。</w:t>
            </w:r>
          </w:p>
        </w:tc>
      </w:tr>
      <w:tr w14:paraId="37BB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3817AC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shd w:val="clear" w:color="auto" w:fill="auto"/>
            <w:vAlign w:val="center"/>
          </w:tcPr>
          <w:p w14:paraId="7AAA221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验证通过后</w:t>
            </w:r>
          </w:p>
          <w:p w14:paraId="6A67B6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查询数据</w:t>
            </w:r>
          </w:p>
        </w:tc>
        <w:tc>
          <w:tcPr>
            <w:tcW w:w="2711" w:type="pct"/>
            <w:shd w:val="clear" w:color="auto" w:fill="auto"/>
            <w:vAlign w:val="center"/>
          </w:tcPr>
          <w:p w14:paraId="4E0468C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验证成功后，回跳至指定页面（verifySuccessRedirectUrl）并携带registerOrderId，小程序缓存registerOrderId和verifyOrderId，调用“实人验证结果查询接口”获取验证结果，允许用户查看报告内容；支持平台提供的报告解读功能，对接报告指标解析组件。</w:t>
            </w:r>
          </w:p>
        </w:tc>
      </w:tr>
      <w:tr w14:paraId="51C1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3BA113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shd w:val="clear" w:color="auto" w:fill="auto"/>
            <w:vAlign w:val="center"/>
          </w:tcPr>
          <w:p w14:paraId="53DDF3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验证失败提供其它方式帮助用户使用功能</w:t>
            </w:r>
          </w:p>
        </w:tc>
        <w:tc>
          <w:tcPr>
            <w:tcW w:w="2711" w:type="pct"/>
            <w:shd w:val="clear" w:color="auto" w:fill="auto"/>
            <w:vAlign w:val="center"/>
          </w:tcPr>
          <w:p w14:paraId="2F30E43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验证失败/用户放弃验证时，回跳至指定页面（verifyFailRedirectUrl），服务商提供个性化兜底方案帮助用户开展业务。</w:t>
            </w:r>
          </w:p>
        </w:tc>
      </w:tr>
      <w:tr w14:paraId="4CB5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339042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shd w:val="clear" w:color="auto" w:fill="auto"/>
            <w:vAlign w:val="center"/>
          </w:tcPr>
          <w:p w14:paraId="2D1B27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切换就诊人后再次认证</w:t>
            </w:r>
          </w:p>
        </w:tc>
        <w:tc>
          <w:tcPr>
            <w:tcW w:w="2711" w:type="pct"/>
            <w:shd w:val="clear" w:color="auto" w:fill="auto"/>
            <w:vAlign w:val="center"/>
          </w:tcPr>
          <w:p w14:paraId="074E299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用户切换就诊人时，需从步骤1重新发起验证流程。</w:t>
            </w:r>
          </w:p>
        </w:tc>
      </w:tr>
      <w:tr w14:paraId="373A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779607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shd w:val="clear" w:color="auto" w:fill="auto"/>
            <w:vAlign w:val="center"/>
          </w:tcPr>
          <w:p w14:paraId="6FD2A5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非身份证件档案跳过验证</w:t>
            </w:r>
          </w:p>
        </w:tc>
        <w:tc>
          <w:tcPr>
            <w:tcW w:w="2711" w:type="pct"/>
            <w:shd w:val="clear" w:color="auto" w:fill="auto"/>
            <w:vAlign w:val="center"/>
          </w:tcPr>
          <w:p w14:paraId="5F54744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不支持非身份证类型用户身份验证，此类用户需跳过验证流程，不得将非身份证用户以身份证类型提交验证。</w:t>
            </w:r>
          </w:p>
        </w:tc>
      </w:tr>
      <w:tr w14:paraId="6528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restart"/>
            <w:shd w:val="clear" w:color="auto" w:fill="auto"/>
            <w:vAlign w:val="center"/>
          </w:tcPr>
          <w:p w14:paraId="6AAF160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（六）腾讯功能改造验收</w:t>
            </w:r>
          </w:p>
        </w:tc>
        <w:tc>
          <w:tcPr>
            <w:tcW w:w="1119" w:type="pct"/>
            <w:vMerge w:val="restart"/>
            <w:shd w:val="clear" w:color="auto" w:fill="auto"/>
            <w:vAlign w:val="center"/>
          </w:tcPr>
          <w:p w14:paraId="70B8B3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bookmarkStart w:id="3" w:name="heading_9"/>
            <w:r>
              <w:rPr>
                <w:rFonts w:hint="eastAsia" w:ascii="微软雅黑" w:hAnsi="微软雅黑" w:eastAsia="微软雅黑" w:cs="微软雅黑"/>
                <w:i w:val="0"/>
                <w:iCs w:val="0"/>
                <w:color w:val="000000"/>
                <w:kern w:val="0"/>
                <w:sz w:val="20"/>
                <w:szCs w:val="20"/>
                <w:u w:val="none"/>
                <w:lang w:val="en-US" w:eastAsia="zh-CN" w:bidi="ar"/>
              </w:rPr>
              <w:t>（一）验收前准备</w:t>
            </w:r>
            <w:bookmarkEnd w:id="3"/>
          </w:p>
        </w:tc>
        <w:tc>
          <w:tcPr>
            <w:tcW w:w="2711" w:type="pct"/>
            <w:shd w:val="clear" w:color="auto" w:fill="auto"/>
            <w:vAlign w:val="center"/>
          </w:tcPr>
          <w:p w14:paraId="6AB9C19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准备接入场景的体验链接/小程序二维码。</w:t>
            </w:r>
          </w:p>
        </w:tc>
      </w:tr>
      <w:tr w14:paraId="3034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642DBC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vMerge w:val="continue"/>
            <w:shd w:val="clear" w:color="auto" w:fill="auto"/>
            <w:vAlign w:val="center"/>
          </w:tcPr>
          <w:p w14:paraId="0D5697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711" w:type="pct"/>
            <w:shd w:val="clear" w:color="auto" w:fill="auto"/>
            <w:vAlign w:val="center"/>
          </w:tcPr>
          <w:p w14:paraId="4E1F39C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录制功能录屏：</w:t>
            </w:r>
          </w:p>
          <w:p w14:paraId="06A3BC7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建档场景：包含一键选卡-验证成功回跳医院页面、添加健康卡-验证成功回跳医院页面、放弃验证-回跳医院验证失败页面三个流程。</w:t>
            </w:r>
          </w:p>
        </w:tc>
      </w:tr>
      <w:tr w14:paraId="4B08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49F9F0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vMerge w:val="continue"/>
            <w:shd w:val="clear" w:color="auto" w:fill="auto"/>
            <w:vAlign w:val="center"/>
          </w:tcPr>
          <w:p w14:paraId="00372D8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711" w:type="pct"/>
            <w:shd w:val="clear" w:color="auto" w:fill="auto"/>
            <w:vAlign w:val="center"/>
          </w:tcPr>
          <w:p w14:paraId="7F2426A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录制功能录屏：</w:t>
            </w:r>
          </w:p>
          <w:p w14:paraId="6C8B77F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查询场景：包含发起验证-验证成功-回跳医院报告查询页面、放弃验证-回跳医院验证失败页面两个流程。</w:t>
            </w:r>
          </w:p>
        </w:tc>
      </w:tr>
      <w:tr w14:paraId="4D34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306C06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vMerge w:val="continue"/>
            <w:shd w:val="clear" w:color="auto" w:fill="auto"/>
            <w:vAlign w:val="center"/>
          </w:tcPr>
          <w:p w14:paraId="7AA14E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711" w:type="pct"/>
            <w:shd w:val="clear" w:color="auto" w:fill="auto"/>
            <w:vAlign w:val="center"/>
          </w:tcPr>
          <w:p w14:paraId="58379FD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录制功能录屏：</w:t>
            </w:r>
          </w:p>
          <w:p w14:paraId="2DDC1BA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展码场景：包含点击电子健康卡卡面或其他展码按钮-跳转标准展码页组件两个流程。</w:t>
            </w:r>
          </w:p>
        </w:tc>
      </w:tr>
      <w:tr w14:paraId="5D11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459516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vMerge w:val="continue"/>
            <w:shd w:val="clear" w:color="auto" w:fill="auto"/>
            <w:vAlign w:val="center"/>
          </w:tcPr>
          <w:p w14:paraId="4DA0B7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711" w:type="pct"/>
            <w:shd w:val="clear" w:color="auto" w:fill="auto"/>
            <w:vAlign w:val="center"/>
          </w:tcPr>
          <w:p w14:paraId="0E71D1B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录制功能录屏：</w:t>
            </w:r>
          </w:p>
          <w:p w14:paraId="208D4E6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建档场景必调接口：绑卡验证授权接口、验证注册/绑卡接口、健康卡授权码获取健康卡信息接口、获取建档信息接口；小程序内嵌H5场景额外调用实人用户信息获取接口、实人验证结果通知接口、微信小程序人脸核身接口。</w:t>
            </w:r>
          </w:p>
        </w:tc>
      </w:tr>
      <w:tr w14:paraId="66D9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3E547C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vMerge w:val="continue"/>
            <w:shd w:val="clear" w:color="auto" w:fill="auto"/>
            <w:vAlign w:val="center"/>
          </w:tcPr>
          <w:p w14:paraId="5DF92F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2711" w:type="pct"/>
            <w:shd w:val="clear" w:color="auto" w:fill="auto"/>
            <w:vAlign w:val="center"/>
          </w:tcPr>
          <w:p w14:paraId="2EA66BE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录制功能录屏：</w:t>
            </w:r>
          </w:p>
          <w:p w14:paraId="78D42D9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查询场景必调接口：实人验证生成orderId接口、实人验证结果查询接口；</w:t>
            </w:r>
          </w:p>
        </w:tc>
      </w:tr>
      <w:tr w14:paraId="5B91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0676D2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vMerge w:val="restart"/>
            <w:shd w:val="clear" w:color="auto" w:fill="auto"/>
            <w:vAlign w:val="center"/>
          </w:tcPr>
          <w:p w14:paraId="730C8D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bookmarkStart w:id="4" w:name="heading_10"/>
            <w:r>
              <w:rPr>
                <w:rFonts w:hint="eastAsia" w:ascii="微软雅黑" w:hAnsi="微软雅黑" w:eastAsia="微软雅黑" w:cs="微软雅黑"/>
                <w:i w:val="0"/>
                <w:iCs w:val="0"/>
                <w:color w:val="000000"/>
                <w:kern w:val="0"/>
                <w:sz w:val="20"/>
                <w:szCs w:val="20"/>
                <w:u w:val="none"/>
                <w:lang w:val="en-US" w:eastAsia="zh-CN" w:bidi="ar"/>
              </w:rPr>
              <w:t>（二）验收流程执行</w:t>
            </w:r>
            <w:bookmarkEnd w:id="4"/>
          </w:p>
        </w:tc>
        <w:tc>
          <w:tcPr>
            <w:tcW w:w="2711" w:type="pct"/>
            <w:shd w:val="clear" w:color="auto" w:fill="auto"/>
            <w:vAlign w:val="center"/>
          </w:tcPr>
          <w:p w14:paraId="165D2D2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在健康卡开放平台提交上线审核并上传验收所需资料（体验链接/二维码、功能录屏）。</w:t>
            </w:r>
          </w:p>
        </w:tc>
      </w:tr>
      <w:tr w14:paraId="742B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58661D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19" w:type="pct"/>
            <w:vMerge w:val="continue"/>
            <w:shd w:val="clear" w:color="auto" w:fill="auto"/>
            <w:vAlign w:val="center"/>
          </w:tcPr>
          <w:p w14:paraId="5B648A3F">
            <w:pPr>
              <w:spacing w:before="300" w:after="120" w:line="288" w:lineRule="auto"/>
              <w:ind w:left="0"/>
              <w:jc w:val="left"/>
              <w:outlineLvl w:val="2"/>
              <w:rPr>
                <w:rFonts w:hint="eastAsia" w:ascii="微软雅黑" w:hAnsi="微软雅黑" w:eastAsia="微软雅黑" w:cs="微软雅黑"/>
                <w:b/>
                <w:sz w:val="20"/>
                <w:szCs w:val="20"/>
              </w:rPr>
            </w:pPr>
          </w:p>
        </w:tc>
        <w:tc>
          <w:tcPr>
            <w:tcW w:w="2711" w:type="pct"/>
            <w:shd w:val="clear" w:color="auto" w:fill="auto"/>
            <w:vAlign w:val="center"/>
          </w:tcPr>
          <w:p w14:paraId="71CBC2D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若审核未通过，根据审核原因修改或重新上传验收材料，再次提交审核；审核通过后获得接口正式永久调用权限，可正式对用户发布功能。</w:t>
            </w:r>
          </w:p>
        </w:tc>
      </w:tr>
      <w:tr w14:paraId="5686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restart"/>
            <w:shd w:val="clear" w:color="auto" w:fill="auto"/>
            <w:vAlign w:val="center"/>
          </w:tcPr>
          <w:p w14:paraId="3BE332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（七）后续配合工作</w:t>
            </w:r>
          </w:p>
        </w:tc>
        <w:tc>
          <w:tcPr>
            <w:tcW w:w="1119" w:type="pct"/>
            <w:shd w:val="clear" w:color="auto" w:fill="auto"/>
            <w:vAlign w:val="center"/>
          </w:tcPr>
          <w:p w14:paraId="068217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业务巡检</w:t>
            </w:r>
          </w:p>
        </w:tc>
        <w:tc>
          <w:tcPr>
            <w:tcW w:w="2711" w:type="pct"/>
            <w:shd w:val="clear" w:color="auto" w:fill="auto"/>
            <w:vAlign w:val="center"/>
          </w:tcPr>
          <w:p w14:paraId="5B5C81D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正式上线后接受平台常态化巡检，确保关键场景符合验收标准。</w:t>
            </w:r>
          </w:p>
        </w:tc>
      </w:tr>
      <w:tr w14:paraId="17A2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169" w:type="pct"/>
            <w:vMerge w:val="continue"/>
            <w:shd w:val="clear" w:color="auto" w:fill="auto"/>
            <w:vAlign w:val="center"/>
          </w:tcPr>
          <w:p w14:paraId="2F89E8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sz w:val="20"/>
                <w:szCs w:val="20"/>
                <w:lang w:val="en-US" w:eastAsia="zh-CN"/>
              </w:rPr>
            </w:pPr>
          </w:p>
        </w:tc>
        <w:tc>
          <w:tcPr>
            <w:tcW w:w="1119" w:type="pct"/>
            <w:shd w:val="clear" w:color="auto" w:fill="auto"/>
            <w:vAlign w:val="center"/>
          </w:tcPr>
          <w:p w14:paraId="4C85D3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开发平台数据上报</w:t>
            </w:r>
          </w:p>
        </w:tc>
        <w:tc>
          <w:tcPr>
            <w:tcW w:w="2711" w:type="pct"/>
            <w:shd w:val="clear" w:color="auto" w:fill="auto"/>
            <w:vAlign w:val="center"/>
          </w:tcPr>
          <w:p w14:paraId="123E319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通过开放平台后台接口调用日志确认基础挂缴查就医服务环节数据已按要求上报，接口入参必传字段正常上传。</w:t>
            </w:r>
          </w:p>
        </w:tc>
      </w:tr>
    </w:tbl>
    <w:p w14:paraId="751680E0">
      <w:pPr>
        <w:sectPr>
          <w:pgSz w:w="11906" w:h="16838"/>
          <w:pgMar w:top="1440" w:right="1800" w:bottom="1440" w:left="1800" w:header="851" w:footer="992" w:gutter="0"/>
          <w:cols w:space="425" w:num="1"/>
          <w:docGrid w:type="lines" w:linePitch="312" w:charSpace="0"/>
        </w:sectPr>
      </w:pPr>
    </w:p>
    <w:p w14:paraId="3B14188D">
      <w:pPr>
        <w:rPr>
          <w:rFonts w:hint="default" w:eastAsia="微软雅黑"/>
          <w:lang w:val="en-US" w:eastAsia="zh-CN"/>
        </w:rPr>
      </w:pPr>
      <w:r>
        <w:rPr>
          <w:rFonts w:hint="eastAsia"/>
          <w:lang w:val="en-US" w:eastAsia="zh-CN"/>
        </w:rPr>
        <w:t>业务流程：</w:t>
      </w:r>
    </w:p>
    <w:p w14:paraId="7772748F">
      <w:r>
        <w:drawing>
          <wp:inline distT="0" distB="0" distL="114300" distR="114300">
            <wp:extent cx="5255895" cy="3392805"/>
            <wp:effectExtent l="0" t="0" r="1905" b="171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55895" cy="3392805"/>
                    </a:xfrm>
                    <a:prstGeom prst="rect">
                      <a:avLst/>
                    </a:prstGeom>
                    <a:noFill/>
                    <a:ln>
                      <a:noFill/>
                    </a:ln>
                  </pic:spPr>
                </pic:pic>
              </a:graphicData>
            </a:graphic>
          </wp:inline>
        </w:drawing>
      </w:r>
    </w:p>
    <w:p w14:paraId="7D329B4A">
      <w:pPr>
        <w:sectPr>
          <w:pgSz w:w="11906" w:h="16838"/>
          <w:pgMar w:top="1440" w:right="1800" w:bottom="1440" w:left="1800" w:header="851" w:footer="992" w:gutter="0"/>
          <w:cols w:space="425" w:num="1"/>
          <w:docGrid w:type="lines" w:linePitch="312" w:charSpace="0"/>
        </w:sectPr>
      </w:pPr>
    </w:p>
    <w:tbl>
      <w:tblPr>
        <w:tblStyle w:val="16"/>
        <w:tblW w:w="4875"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25"/>
        <w:gridCol w:w="1650"/>
        <w:gridCol w:w="5234"/>
      </w:tblGrid>
      <w:tr w14:paraId="47B0F585">
        <w:tblPrEx>
          <w:tblCellMar>
            <w:top w:w="0" w:type="dxa"/>
            <w:left w:w="108" w:type="dxa"/>
            <w:bottom w:w="0" w:type="dxa"/>
            <w:right w:w="108" w:type="dxa"/>
          </w:tblCellMar>
        </w:tblPrEx>
        <w:trPr>
          <w:trHeight w:val="582" w:hRule="atLeast"/>
        </w:trPr>
        <w:tc>
          <w:tcPr>
            <w:tcW w:w="5000" w:type="pct"/>
            <w:gridSpan w:val="3"/>
            <w:shd w:val="clear" w:color="auto" w:fill="ACD78D" w:themeFill="accent4" w:themeFillTint="99"/>
            <w:vAlign w:val="center"/>
          </w:tcPr>
          <w:p w14:paraId="5A7EA74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bCs/>
                <w:i w:val="0"/>
                <w:iCs w:val="0"/>
                <w:snapToGrid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微信商户转账预交金退款功能清单</w:t>
            </w:r>
          </w:p>
        </w:tc>
      </w:tr>
      <w:tr w14:paraId="4289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57" w:type="pct"/>
            <w:shd w:val="clear" w:color="auto" w:fill="auto"/>
            <w:vAlign w:val="center"/>
          </w:tcPr>
          <w:p w14:paraId="17ADAEB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微软雅黑" w:hAnsi="微软雅黑" w:eastAsia="微软雅黑" w:cs="微软雅黑"/>
                <w:b/>
                <w:bCs/>
                <w:i w:val="0"/>
                <w:iCs w:val="0"/>
                <w:color w:val="000000"/>
                <w:sz w:val="24"/>
                <w:szCs w:val="24"/>
                <w:u w:val="none"/>
                <w:lang w:val="en-US" w:eastAsia="zh-CN"/>
              </w:rPr>
            </w:pPr>
            <w:r>
              <w:rPr>
                <w:rFonts w:hint="eastAsia" w:ascii="微软雅黑" w:hAnsi="微软雅黑" w:eastAsia="微软雅黑" w:cs="微软雅黑"/>
                <w:b/>
                <w:bCs/>
                <w:i w:val="0"/>
                <w:iCs w:val="0"/>
                <w:color w:val="000000"/>
                <w:sz w:val="24"/>
                <w:szCs w:val="24"/>
                <w:u w:val="none"/>
                <w:lang w:val="en-US" w:eastAsia="zh-CN"/>
              </w:rPr>
              <w:t>项目</w:t>
            </w:r>
            <w:r>
              <w:rPr>
                <w:rFonts w:hint="eastAsia" w:ascii="微软雅黑" w:hAnsi="微软雅黑" w:cs="微软雅黑"/>
                <w:b/>
                <w:bCs/>
                <w:i w:val="0"/>
                <w:iCs w:val="0"/>
                <w:color w:val="000000"/>
                <w:sz w:val="24"/>
                <w:szCs w:val="24"/>
                <w:u w:val="none"/>
                <w:lang w:val="en-US" w:eastAsia="zh-CN"/>
              </w:rPr>
              <w:t>功能</w:t>
            </w:r>
          </w:p>
        </w:tc>
        <w:tc>
          <w:tcPr>
            <w:tcW w:w="992" w:type="pct"/>
            <w:shd w:val="clear" w:color="auto" w:fill="auto"/>
            <w:vAlign w:val="center"/>
          </w:tcPr>
          <w:p w14:paraId="436A614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bCs/>
                <w:i w:val="0"/>
                <w:iCs w:val="0"/>
                <w:color w:val="000000"/>
                <w:sz w:val="24"/>
                <w:szCs w:val="24"/>
                <w:u w:val="none"/>
                <w:lang w:val="en-US" w:eastAsia="zh-CN"/>
              </w:rPr>
            </w:pPr>
            <w:r>
              <w:rPr>
                <w:rFonts w:hint="eastAsia" w:ascii="微软雅黑" w:hAnsi="微软雅黑" w:eastAsia="微软雅黑" w:cs="微软雅黑"/>
                <w:b/>
                <w:bCs/>
                <w:i w:val="0"/>
                <w:iCs w:val="0"/>
                <w:color w:val="000000"/>
                <w:sz w:val="24"/>
                <w:szCs w:val="24"/>
                <w:u w:val="none"/>
                <w:lang w:val="en-US" w:eastAsia="zh-CN"/>
              </w:rPr>
              <w:t>功能模块</w:t>
            </w:r>
          </w:p>
        </w:tc>
        <w:tc>
          <w:tcPr>
            <w:tcW w:w="3149" w:type="pct"/>
            <w:shd w:val="clear" w:color="auto" w:fill="auto"/>
            <w:vAlign w:val="center"/>
          </w:tcPr>
          <w:p w14:paraId="5C9449E8">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snapToGrid w:val="0"/>
                <w:color w:val="000000"/>
                <w:kern w:val="0"/>
                <w:sz w:val="24"/>
                <w:szCs w:val="24"/>
                <w:u w:val="none"/>
                <w:lang w:val="en-US" w:eastAsia="zh-CN" w:bidi="ar"/>
              </w:rPr>
              <w:t>功能描述</w:t>
            </w:r>
          </w:p>
        </w:tc>
      </w:tr>
      <w:tr w14:paraId="133B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57" w:type="pct"/>
            <w:vMerge w:val="restart"/>
            <w:shd w:val="clear" w:color="auto" w:fill="auto"/>
            <w:vAlign w:val="center"/>
          </w:tcPr>
          <w:p w14:paraId="6532C6AA">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人脸核验退款功能</w:t>
            </w:r>
          </w:p>
        </w:tc>
        <w:tc>
          <w:tcPr>
            <w:tcW w:w="992" w:type="pct"/>
            <w:vMerge w:val="restart"/>
            <w:shd w:val="clear" w:color="auto" w:fill="auto"/>
            <w:vAlign w:val="center"/>
          </w:tcPr>
          <w:p w14:paraId="7D55562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门诊退款方式</w:t>
            </w:r>
          </w:p>
        </w:tc>
        <w:tc>
          <w:tcPr>
            <w:tcW w:w="3149" w:type="pct"/>
            <w:shd w:val="clear" w:color="auto" w:fill="auto"/>
            <w:vAlign w:val="center"/>
          </w:tcPr>
          <w:p w14:paraId="4552BB8A">
            <w:pPr>
              <w:keepNext w:val="0"/>
              <w:keepLines w:val="0"/>
              <w:widowControl/>
              <w:suppressLineNumbers w:val="0"/>
              <w:ind w:left="0" w:leftChars="0" w:firstLine="0" w:firstLineChars="0"/>
              <w:jc w:val="left"/>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1.预交金退费：展示功能名称，功能介绍。保留原退款方式，1年内通过微信掌医充值的订单，患者可直接在系统内点击操作，自主完成退款，</w:t>
            </w:r>
            <w:bookmarkStart w:id="5" w:name="_GoBack"/>
            <w:bookmarkEnd w:id="5"/>
            <w:r>
              <w:rPr>
                <w:rFonts w:hint="eastAsia" w:ascii="微软雅黑" w:hAnsi="微软雅黑" w:eastAsia="微软雅黑" w:cs="微软雅黑"/>
                <w:b w:val="0"/>
                <w:bCs w:val="0"/>
                <w:i w:val="0"/>
                <w:iCs w:val="0"/>
                <w:snapToGrid w:val="0"/>
                <w:color w:val="000000"/>
                <w:kern w:val="0"/>
                <w:sz w:val="20"/>
                <w:szCs w:val="20"/>
                <w:u w:val="none"/>
                <w:lang w:val="en-US" w:eastAsia="zh-CN" w:bidi="ar"/>
              </w:rPr>
              <w:t>无需额外核验。</w:t>
            </w:r>
          </w:p>
        </w:tc>
      </w:tr>
      <w:tr w14:paraId="37A1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57" w:type="pct"/>
            <w:vMerge w:val="continue"/>
            <w:shd w:val="clear" w:color="auto" w:fill="auto"/>
            <w:vAlign w:val="center"/>
          </w:tcPr>
          <w:p w14:paraId="4DFB2CF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992" w:type="pct"/>
            <w:vMerge w:val="continue"/>
            <w:shd w:val="clear" w:color="auto" w:fill="auto"/>
            <w:vAlign w:val="center"/>
          </w:tcPr>
          <w:p w14:paraId="6B950B3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3149" w:type="pct"/>
            <w:shd w:val="clear" w:color="auto" w:fill="auto"/>
            <w:vAlign w:val="center"/>
          </w:tcPr>
          <w:p w14:paraId="1AABEDBA">
            <w:pPr>
              <w:keepNext w:val="0"/>
              <w:keepLines w:val="0"/>
              <w:widowControl/>
              <w:suppressLineNumbers w:val="0"/>
              <w:ind w:left="0" w:leftChars="0" w:firstLine="0" w:firstLineChars="0"/>
              <w:jc w:val="left"/>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2.人脸核验退款：展示功能名称，功能介绍，功能提示。新增功能，通过任一渠道充值的沉淀资金，通过人脸识别核验身份后办理退款，退款至微信账户余额。</w:t>
            </w:r>
          </w:p>
        </w:tc>
      </w:tr>
      <w:tr w14:paraId="46A3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57" w:type="pct"/>
            <w:vMerge w:val="continue"/>
            <w:shd w:val="clear" w:color="auto" w:fill="auto"/>
            <w:vAlign w:val="center"/>
          </w:tcPr>
          <w:p w14:paraId="4F18297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992" w:type="pct"/>
            <w:shd w:val="clear" w:color="auto" w:fill="auto"/>
            <w:vAlign w:val="center"/>
          </w:tcPr>
          <w:p w14:paraId="3B45A3A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身份信息录入</w:t>
            </w:r>
          </w:p>
        </w:tc>
        <w:tc>
          <w:tcPr>
            <w:tcW w:w="3149" w:type="pct"/>
            <w:shd w:val="clear" w:color="auto" w:fill="auto"/>
            <w:vAlign w:val="center"/>
          </w:tcPr>
          <w:p w14:paraId="6C8688F1">
            <w:pPr>
              <w:keepNext w:val="0"/>
              <w:keepLines w:val="0"/>
              <w:widowControl/>
              <w:suppressLineNumbers w:val="0"/>
              <w:ind w:left="0" w:leftChars="0" w:firstLine="0" w:firstLineChars="0"/>
              <w:jc w:val="left"/>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1.手动填写姓名及身份证号</w:t>
            </w:r>
          </w:p>
        </w:tc>
      </w:tr>
      <w:tr w14:paraId="3CE0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57" w:type="pct"/>
            <w:vMerge w:val="continue"/>
            <w:shd w:val="clear" w:color="auto" w:fill="auto"/>
            <w:vAlign w:val="center"/>
          </w:tcPr>
          <w:p w14:paraId="19FEEFD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992" w:type="pct"/>
            <w:vMerge w:val="restart"/>
            <w:shd w:val="clear" w:color="auto" w:fill="auto"/>
            <w:vAlign w:val="center"/>
          </w:tcPr>
          <w:p w14:paraId="414F704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人脸核验与就诊卡档案查询</w:t>
            </w:r>
          </w:p>
        </w:tc>
        <w:tc>
          <w:tcPr>
            <w:tcW w:w="3149" w:type="pct"/>
            <w:shd w:val="clear" w:color="auto" w:fill="auto"/>
            <w:vAlign w:val="center"/>
          </w:tcPr>
          <w:p w14:paraId="44BBBBB0">
            <w:pPr>
              <w:keepNext w:val="0"/>
              <w:keepLines w:val="0"/>
              <w:widowControl/>
              <w:suppressLineNumbers w:val="0"/>
              <w:ind w:left="0" w:leftChars="0" w:firstLine="0" w:firstLineChars="0"/>
              <w:jc w:val="left"/>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身份信息录入完成后，进行人脸识别，调用公安库核验当前人脸与身份证信息是否匹配。匹配不通过：提示患者检查基本信息是否与人脸识别为同一人。匹配通过：自动查询该身份证在医院的所有就诊卡档案，并展示各就诊卡对应的门诊余额</w:t>
            </w:r>
          </w:p>
        </w:tc>
      </w:tr>
      <w:tr w14:paraId="077D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57" w:type="pct"/>
            <w:vMerge w:val="continue"/>
            <w:shd w:val="clear" w:color="auto" w:fill="auto"/>
            <w:vAlign w:val="center"/>
          </w:tcPr>
          <w:p w14:paraId="70AB1B1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992" w:type="pct"/>
            <w:vMerge w:val="continue"/>
            <w:shd w:val="clear" w:color="auto" w:fill="auto"/>
            <w:vAlign w:val="center"/>
          </w:tcPr>
          <w:p w14:paraId="4BFFAA4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3149" w:type="pct"/>
            <w:shd w:val="clear" w:color="auto" w:fill="auto"/>
            <w:vAlign w:val="center"/>
          </w:tcPr>
          <w:p w14:paraId="2684BCA8">
            <w:pPr>
              <w:keepNext w:val="0"/>
              <w:keepLines w:val="0"/>
              <w:widowControl/>
              <w:suppressLineNumbers w:val="0"/>
              <w:ind w:left="0" w:leftChars="0" w:firstLine="0" w:firstLineChars="0"/>
              <w:jc w:val="left"/>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多档案判断：通过身份证号查询出多张就诊卡，提醒患者先去窗口或电话联系办理档案合并业务后，使用该功能退款。</w:t>
            </w:r>
          </w:p>
        </w:tc>
      </w:tr>
      <w:tr w14:paraId="65BC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57" w:type="pct"/>
            <w:vMerge w:val="continue"/>
            <w:shd w:val="clear" w:color="auto" w:fill="auto"/>
            <w:vAlign w:val="center"/>
          </w:tcPr>
          <w:p w14:paraId="71F65EF5">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992" w:type="pct"/>
            <w:vMerge w:val="restart"/>
            <w:shd w:val="clear" w:color="auto" w:fill="auto"/>
            <w:vAlign w:val="center"/>
          </w:tcPr>
          <w:p w14:paraId="68B40E8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退款申请</w:t>
            </w:r>
          </w:p>
        </w:tc>
        <w:tc>
          <w:tcPr>
            <w:tcW w:w="3149" w:type="pct"/>
            <w:shd w:val="clear" w:color="auto" w:fill="auto"/>
            <w:vAlign w:val="center"/>
          </w:tcPr>
          <w:p w14:paraId="5A0014AC">
            <w:pPr>
              <w:keepNext w:val="0"/>
              <w:keepLines w:val="0"/>
              <w:widowControl/>
              <w:suppressLineNumbers w:val="0"/>
              <w:ind w:left="0" w:leftChars="0" w:firstLine="0" w:firstLineChars="0"/>
              <w:jc w:val="left"/>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患者选择目标就诊档案，点击“申请退款”</w:t>
            </w:r>
          </w:p>
        </w:tc>
      </w:tr>
      <w:tr w14:paraId="1412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57" w:type="pct"/>
            <w:vMerge w:val="continue"/>
            <w:shd w:val="clear" w:color="auto" w:fill="auto"/>
            <w:vAlign w:val="center"/>
          </w:tcPr>
          <w:p w14:paraId="65342AD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992" w:type="pct"/>
            <w:vMerge w:val="continue"/>
            <w:shd w:val="clear" w:color="auto" w:fill="auto"/>
            <w:vAlign w:val="center"/>
          </w:tcPr>
          <w:p w14:paraId="4325EFF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3149" w:type="pct"/>
            <w:shd w:val="clear" w:color="auto" w:fill="auto"/>
            <w:vAlign w:val="center"/>
          </w:tcPr>
          <w:p w14:paraId="143F0F0A">
            <w:pPr>
              <w:keepNext w:val="0"/>
              <w:keepLines w:val="0"/>
              <w:widowControl/>
              <w:suppressLineNumbers w:val="0"/>
              <w:ind w:left="0" w:leftChars="0" w:firstLine="0" w:firstLineChars="0"/>
              <w:jc w:val="left"/>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系统自动判断微信商户号余额是否足够：商户号余额＞患者退款金额：患者可点击“接收退款”按钮，系统提示“您的预交金退款申请已成功办理，金额将在5-30分钟内退还至当前微信钱包余额”</w:t>
            </w:r>
          </w:p>
        </w:tc>
      </w:tr>
      <w:tr w14:paraId="7657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57" w:type="pct"/>
            <w:vMerge w:val="continue"/>
            <w:shd w:val="clear" w:color="auto" w:fill="auto"/>
            <w:vAlign w:val="center"/>
          </w:tcPr>
          <w:p w14:paraId="492976C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992" w:type="pct"/>
            <w:vMerge w:val="continue"/>
            <w:shd w:val="clear" w:color="auto" w:fill="auto"/>
            <w:vAlign w:val="center"/>
          </w:tcPr>
          <w:p w14:paraId="45DD6C2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3149" w:type="pct"/>
            <w:shd w:val="clear" w:color="auto" w:fill="auto"/>
            <w:vAlign w:val="center"/>
          </w:tcPr>
          <w:p w14:paraId="6C9441B1">
            <w:pPr>
              <w:keepNext w:val="0"/>
              <w:keepLines w:val="0"/>
              <w:widowControl/>
              <w:suppressLineNumbers w:val="0"/>
              <w:ind w:left="0" w:leftChars="0" w:firstLine="0" w:firstLineChars="0"/>
              <w:jc w:val="left"/>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商户号余额不足：系统提醒患者“商户号余额不足，请稍后再试”</w:t>
            </w:r>
          </w:p>
        </w:tc>
      </w:tr>
      <w:tr w14:paraId="56C0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57" w:type="pct"/>
            <w:vMerge w:val="continue"/>
            <w:shd w:val="clear" w:color="auto" w:fill="auto"/>
            <w:vAlign w:val="center"/>
          </w:tcPr>
          <w:p w14:paraId="46431CE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992" w:type="pct"/>
            <w:shd w:val="clear" w:color="auto" w:fill="auto"/>
            <w:vAlign w:val="center"/>
          </w:tcPr>
          <w:p w14:paraId="78CB198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退款订单失效处理</w:t>
            </w:r>
          </w:p>
        </w:tc>
        <w:tc>
          <w:tcPr>
            <w:tcW w:w="3149" w:type="pct"/>
            <w:shd w:val="clear" w:color="auto" w:fill="auto"/>
            <w:vAlign w:val="center"/>
          </w:tcPr>
          <w:p w14:paraId="1E9B3EA8">
            <w:pPr>
              <w:keepNext w:val="0"/>
              <w:keepLines w:val="0"/>
              <w:widowControl/>
              <w:suppressLineNumbers w:val="0"/>
              <w:ind w:left="0" w:leftChars="0" w:firstLine="0" w:firstLineChars="0"/>
              <w:jc w:val="left"/>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若微信弹出退款确认后，患者未点击“确认收款”按钮，该退款订单将于24小时后失效，成为单边订单。此类订单可在掌医后台通过“生成新订单号退款”功能进行处理。</w:t>
            </w:r>
          </w:p>
        </w:tc>
      </w:tr>
      <w:tr w14:paraId="2A93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57" w:type="pct"/>
            <w:vMerge w:val="continue"/>
            <w:shd w:val="clear" w:color="auto" w:fill="auto"/>
            <w:vAlign w:val="center"/>
          </w:tcPr>
          <w:p w14:paraId="13DA7C31">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992" w:type="pct"/>
            <w:shd w:val="clear" w:color="auto" w:fill="auto"/>
            <w:vAlign w:val="center"/>
          </w:tcPr>
          <w:p w14:paraId="4BA25FE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后台对账功能</w:t>
            </w:r>
          </w:p>
        </w:tc>
        <w:tc>
          <w:tcPr>
            <w:tcW w:w="3149" w:type="pct"/>
            <w:shd w:val="clear" w:color="auto" w:fill="auto"/>
            <w:vAlign w:val="center"/>
          </w:tcPr>
          <w:p w14:paraId="16C406CE">
            <w:pPr>
              <w:keepNext w:val="0"/>
              <w:keepLines w:val="0"/>
              <w:widowControl/>
              <w:suppressLineNumbers w:val="0"/>
              <w:ind w:left="0" w:leftChars="0" w:firstLine="0" w:firstLineChars="0"/>
              <w:jc w:val="left"/>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人脸核验退款工作全部完成后，根据HIS提供的账单与商户账单匹配进行对账</w:t>
            </w:r>
          </w:p>
        </w:tc>
      </w:tr>
      <w:tr w14:paraId="75F3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57" w:type="pct"/>
            <w:vMerge w:val="continue"/>
            <w:shd w:val="clear" w:color="auto" w:fill="auto"/>
            <w:vAlign w:val="center"/>
          </w:tcPr>
          <w:p w14:paraId="2CA4070F">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992" w:type="pct"/>
            <w:shd w:val="clear" w:color="auto" w:fill="auto"/>
            <w:vAlign w:val="center"/>
          </w:tcPr>
          <w:p w14:paraId="75CD782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退费消息推送</w:t>
            </w:r>
          </w:p>
        </w:tc>
        <w:tc>
          <w:tcPr>
            <w:tcW w:w="3149" w:type="pct"/>
            <w:shd w:val="clear" w:color="auto" w:fill="auto"/>
            <w:vAlign w:val="center"/>
          </w:tcPr>
          <w:p w14:paraId="21D4E6A8">
            <w:pPr>
              <w:keepNext w:val="0"/>
              <w:keepLines w:val="0"/>
              <w:widowControl/>
              <w:suppressLineNumbers w:val="0"/>
              <w:ind w:left="0" w:leftChars="0" w:firstLine="0" w:firstLineChars="0"/>
              <w:jc w:val="left"/>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对接医院微信公众号，向申请退款的患者推送门诊余额退费提醒。提醒内容需包含：就诊人姓名、就诊卡号、门诊余额、退款操作路径备注信息。</w:t>
            </w:r>
          </w:p>
        </w:tc>
      </w:tr>
      <w:tr w14:paraId="5EA6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57" w:type="pct"/>
            <w:vMerge w:val="continue"/>
            <w:shd w:val="clear" w:color="auto" w:fill="auto"/>
            <w:vAlign w:val="center"/>
          </w:tcPr>
          <w:p w14:paraId="4DDFF167">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992" w:type="pct"/>
            <w:vMerge w:val="restart"/>
            <w:shd w:val="clear" w:color="auto" w:fill="auto"/>
            <w:vAlign w:val="center"/>
          </w:tcPr>
          <w:p w14:paraId="153941C4">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接口对接</w:t>
            </w:r>
          </w:p>
        </w:tc>
        <w:tc>
          <w:tcPr>
            <w:tcW w:w="3149" w:type="pct"/>
            <w:shd w:val="clear" w:color="auto" w:fill="auto"/>
            <w:vAlign w:val="center"/>
          </w:tcPr>
          <w:p w14:paraId="3CFC35FA">
            <w:pPr>
              <w:keepNext w:val="0"/>
              <w:keepLines w:val="0"/>
              <w:widowControl/>
              <w:suppressLineNumbers w:val="0"/>
              <w:ind w:left="0" w:leftChars="0" w:firstLine="0" w:firstLineChars="0"/>
              <w:jc w:val="left"/>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对接HIS退款接口，进行预交金扣减及退款订单生成工作。</w:t>
            </w:r>
          </w:p>
        </w:tc>
      </w:tr>
      <w:tr w14:paraId="0CD6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57" w:type="pct"/>
            <w:vMerge w:val="continue"/>
            <w:shd w:val="clear" w:color="auto" w:fill="auto"/>
            <w:vAlign w:val="center"/>
          </w:tcPr>
          <w:p w14:paraId="5B8FE319">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992" w:type="pct"/>
            <w:vMerge w:val="continue"/>
            <w:shd w:val="clear" w:color="auto" w:fill="auto"/>
            <w:vAlign w:val="center"/>
          </w:tcPr>
          <w:p w14:paraId="597FCBCB">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3149" w:type="pct"/>
            <w:shd w:val="clear" w:color="auto" w:fill="auto"/>
            <w:vAlign w:val="center"/>
          </w:tcPr>
          <w:p w14:paraId="0945E725">
            <w:pPr>
              <w:keepNext w:val="0"/>
              <w:keepLines w:val="0"/>
              <w:widowControl/>
              <w:suppressLineNumbers w:val="0"/>
              <w:ind w:left="0" w:leftChars="0" w:firstLine="0" w:firstLineChars="0"/>
              <w:jc w:val="left"/>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提供微信账单给院统一支付平台，由平台进行对账工作。</w:t>
            </w:r>
          </w:p>
        </w:tc>
      </w:tr>
      <w:tr w14:paraId="20A0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57" w:type="pct"/>
            <w:vMerge w:val="continue"/>
            <w:shd w:val="clear" w:color="auto" w:fill="auto"/>
            <w:vAlign w:val="center"/>
          </w:tcPr>
          <w:p w14:paraId="0B202FBC">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992" w:type="pct"/>
            <w:vMerge w:val="restart"/>
            <w:shd w:val="clear" w:color="auto" w:fill="auto"/>
            <w:vAlign w:val="center"/>
          </w:tcPr>
          <w:p w14:paraId="4985B772">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微信配置</w:t>
            </w:r>
          </w:p>
        </w:tc>
        <w:tc>
          <w:tcPr>
            <w:tcW w:w="3149" w:type="pct"/>
            <w:shd w:val="clear" w:color="auto" w:fill="auto"/>
            <w:vAlign w:val="center"/>
          </w:tcPr>
          <w:p w14:paraId="16B9AE63">
            <w:pPr>
              <w:keepNext w:val="0"/>
              <w:keepLines w:val="0"/>
              <w:widowControl/>
              <w:suppressLineNumbers w:val="0"/>
              <w:ind w:left="0" w:leftChars="0" w:firstLine="0" w:firstLineChars="0"/>
              <w:jc w:val="left"/>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微信商户号：开通运营账户及转账功能，配置接入对应密钥。</w:t>
            </w:r>
          </w:p>
        </w:tc>
      </w:tr>
      <w:tr w14:paraId="4DF5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57" w:type="pct"/>
            <w:vMerge w:val="continue"/>
            <w:shd w:val="clear" w:color="auto" w:fill="auto"/>
            <w:vAlign w:val="center"/>
          </w:tcPr>
          <w:p w14:paraId="50F1422D">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992" w:type="pct"/>
            <w:vMerge w:val="continue"/>
            <w:shd w:val="clear" w:color="auto" w:fill="auto"/>
            <w:vAlign w:val="center"/>
          </w:tcPr>
          <w:p w14:paraId="10FC3196">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3149" w:type="pct"/>
            <w:shd w:val="clear" w:color="auto" w:fill="auto"/>
            <w:vAlign w:val="center"/>
          </w:tcPr>
          <w:p w14:paraId="70FF5713">
            <w:pPr>
              <w:keepNext w:val="0"/>
              <w:keepLines w:val="0"/>
              <w:widowControl/>
              <w:suppressLineNumbers w:val="0"/>
              <w:ind w:left="0" w:leftChars="0" w:firstLine="0" w:firstLineChars="0"/>
              <w:jc w:val="left"/>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微信公众号：开通公众号消息助手功能，用于向患者推送退款提示消息通知</w:t>
            </w:r>
          </w:p>
        </w:tc>
      </w:tr>
    </w:tbl>
    <w:p w14:paraId="622790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EC6BC"/>
    <w:multiLevelType w:val="multilevel"/>
    <w:tmpl w:val="9CDEC6BC"/>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A133FAEE"/>
    <w:multiLevelType w:val="singleLevel"/>
    <w:tmpl w:val="A133FAEE"/>
    <w:lvl w:ilvl="0" w:tentative="0">
      <w:start w:val="1"/>
      <w:numFmt w:val="chineseCounting"/>
      <w:pStyle w:val="2"/>
      <w:suff w:val="nothing"/>
      <w:lvlText w:val="%1、"/>
      <w:lvlJc w:val="left"/>
      <w:pPr>
        <w:ind w:left="0" w:firstLine="420"/>
      </w:pPr>
      <w:rPr>
        <w:rFonts w:hint="eastAsia"/>
      </w:rPr>
    </w:lvl>
  </w:abstractNum>
  <w:abstractNum w:abstractNumId="2">
    <w:nsid w:val="09AB4C5B"/>
    <w:multiLevelType w:val="singleLevel"/>
    <w:tmpl w:val="09AB4C5B"/>
    <w:lvl w:ilvl="0" w:tentative="0">
      <w:start w:val="1"/>
      <w:numFmt w:val="decimal"/>
      <w:pStyle w:val="3"/>
      <w:lvlText w:val="(%1)"/>
      <w:lvlJc w:val="left"/>
      <w:pPr>
        <w:ind w:left="425" w:hanging="425"/>
      </w:pPr>
      <w:rPr>
        <w:rFonts w:hint="default"/>
      </w:rPr>
    </w:lvl>
  </w:abstractNum>
  <w:abstractNum w:abstractNumId="3">
    <w:nsid w:val="756039BE"/>
    <w:multiLevelType w:val="multilevel"/>
    <w:tmpl w:val="756039BE"/>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pStyle w:val="5"/>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D4396"/>
    <w:rsid w:val="020E3B65"/>
    <w:rsid w:val="02EF67D4"/>
    <w:rsid w:val="04F1328F"/>
    <w:rsid w:val="064D2126"/>
    <w:rsid w:val="085334D4"/>
    <w:rsid w:val="08592BFA"/>
    <w:rsid w:val="0961512B"/>
    <w:rsid w:val="09F51003"/>
    <w:rsid w:val="0CFB016A"/>
    <w:rsid w:val="0D4542A8"/>
    <w:rsid w:val="0DF54607"/>
    <w:rsid w:val="0E0E6AF5"/>
    <w:rsid w:val="0E5218B5"/>
    <w:rsid w:val="0EBC7770"/>
    <w:rsid w:val="0EE46374"/>
    <w:rsid w:val="0F9E7BC2"/>
    <w:rsid w:val="0FC24325"/>
    <w:rsid w:val="110B261D"/>
    <w:rsid w:val="13333DAC"/>
    <w:rsid w:val="13851A6C"/>
    <w:rsid w:val="14517563"/>
    <w:rsid w:val="145B0482"/>
    <w:rsid w:val="14C8253B"/>
    <w:rsid w:val="151A16B3"/>
    <w:rsid w:val="155B18FD"/>
    <w:rsid w:val="15D207BD"/>
    <w:rsid w:val="163825D0"/>
    <w:rsid w:val="1844115B"/>
    <w:rsid w:val="18E60B7D"/>
    <w:rsid w:val="19FB4145"/>
    <w:rsid w:val="1A0114DC"/>
    <w:rsid w:val="1B056627"/>
    <w:rsid w:val="1C4422B2"/>
    <w:rsid w:val="1C8C160F"/>
    <w:rsid w:val="1C912C87"/>
    <w:rsid w:val="1CA02076"/>
    <w:rsid w:val="1CEF3555"/>
    <w:rsid w:val="1D0E0D07"/>
    <w:rsid w:val="1D24677C"/>
    <w:rsid w:val="1D270867"/>
    <w:rsid w:val="1DE10DED"/>
    <w:rsid w:val="1EEB597E"/>
    <w:rsid w:val="1FC775D3"/>
    <w:rsid w:val="206D7F29"/>
    <w:rsid w:val="2298179E"/>
    <w:rsid w:val="239916F7"/>
    <w:rsid w:val="256241A8"/>
    <w:rsid w:val="25BC6ED4"/>
    <w:rsid w:val="25DD4396"/>
    <w:rsid w:val="27BD43EA"/>
    <w:rsid w:val="285133EA"/>
    <w:rsid w:val="288434E9"/>
    <w:rsid w:val="28C24F56"/>
    <w:rsid w:val="29252190"/>
    <w:rsid w:val="2A80468C"/>
    <w:rsid w:val="2AC74DA0"/>
    <w:rsid w:val="2B886128"/>
    <w:rsid w:val="2BD57E8E"/>
    <w:rsid w:val="2D0D274B"/>
    <w:rsid w:val="2DAE5F12"/>
    <w:rsid w:val="2DCA6A69"/>
    <w:rsid w:val="2E116711"/>
    <w:rsid w:val="2E523145"/>
    <w:rsid w:val="2F9D601C"/>
    <w:rsid w:val="34BF6E0C"/>
    <w:rsid w:val="34F32324"/>
    <w:rsid w:val="351305CD"/>
    <w:rsid w:val="35495A93"/>
    <w:rsid w:val="365437D6"/>
    <w:rsid w:val="3681331C"/>
    <w:rsid w:val="36AB2870"/>
    <w:rsid w:val="3780487F"/>
    <w:rsid w:val="37F24882"/>
    <w:rsid w:val="39766ABA"/>
    <w:rsid w:val="3A267609"/>
    <w:rsid w:val="3AD670ED"/>
    <w:rsid w:val="3CBA010B"/>
    <w:rsid w:val="3D0432D8"/>
    <w:rsid w:val="3FC17819"/>
    <w:rsid w:val="415928E0"/>
    <w:rsid w:val="41ED615B"/>
    <w:rsid w:val="427B2DF2"/>
    <w:rsid w:val="43D575DD"/>
    <w:rsid w:val="44D70A19"/>
    <w:rsid w:val="47461460"/>
    <w:rsid w:val="47CE77DB"/>
    <w:rsid w:val="48930205"/>
    <w:rsid w:val="4980711D"/>
    <w:rsid w:val="4A3414FD"/>
    <w:rsid w:val="4A5D42BF"/>
    <w:rsid w:val="4A8430DA"/>
    <w:rsid w:val="4AAF2C02"/>
    <w:rsid w:val="4AC26C11"/>
    <w:rsid w:val="4B3C7DF8"/>
    <w:rsid w:val="4BD056A5"/>
    <w:rsid w:val="4DB23902"/>
    <w:rsid w:val="4DB76A0C"/>
    <w:rsid w:val="4EEA69FB"/>
    <w:rsid w:val="4FAD1B5F"/>
    <w:rsid w:val="4FAD1DBA"/>
    <w:rsid w:val="4FCE2A18"/>
    <w:rsid w:val="50735311"/>
    <w:rsid w:val="509B4F1E"/>
    <w:rsid w:val="50D71373"/>
    <w:rsid w:val="510D7593"/>
    <w:rsid w:val="51A709B2"/>
    <w:rsid w:val="524158A5"/>
    <w:rsid w:val="52880B51"/>
    <w:rsid w:val="52C05631"/>
    <w:rsid w:val="535805D3"/>
    <w:rsid w:val="55C5334B"/>
    <w:rsid w:val="567A3016"/>
    <w:rsid w:val="57607F5B"/>
    <w:rsid w:val="58066629"/>
    <w:rsid w:val="5816748D"/>
    <w:rsid w:val="5ACA5531"/>
    <w:rsid w:val="5ACB1621"/>
    <w:rsid w:val="5B8F10D5"/>
    <w:rsid w:val="5E806F6F"/>
    <w:rsid w:val="5EE70BB8"/>
    <w:rsid w:val="5EF746FA"/>
    <w:rsid w:val="5F136503"/>
    <w:rsid w:val="5FB56C89"/>
    <w:rsid w:val="5FE57ABA"/>
    <w:rsid w:val="63510510"/>
    <w:rsid w:val="63D56C47"/>
    <w:rsid w:val="655D1756"/>
    <w:rsid w:val="665A54E5"/>
    <w:rsid w:val="68284D16"/>
    <w:rsid w:val="68543D83"/>
    <w:rsid w:val="68D51012"/>
    <w:rsid w:val="68EA538A"/>
    <w:rsid w:val="69287F05"/>
    <w:rsid w:val="699562F4"/>
    <w:rsid w:val="6A6F3326"/>
    <w:rsid w:val="6ABF7A29"/>
    <w:rsid w:val="6AC647BD"/>
    <w:rsid w:val="6B195318"/>
    <w:rsid w:val="6B8F764C"/>
    <w:rsid w:val="6BDA756E"/>
    <w:rsid w:val="6C6A77E5"/>
    <w:rsid w:val="6CE40709"/>
    <w:rsid w:val="6D7B2E1B"/>
    <w:rsid w:val="6E403F5E"/>
    <w:rsid w:val="6E6265D7"/>
    <w:rsid w:val="6EA16471"/>
    <w:rsid w:val="701A7340"/>
    <w:rsid w:val="705E0563"/>
    <w:rsid w:val="731D2A38"/>
    <w:rsid w:val="732F4E6A"/>
    <w:rsid w:val="73397D1A"/>
    <w:rsid w:val="735164EA"/>
    <w:rsid w:val="73E679D6"/>
    <w:rsid w:val="77CC51C1"/>
    <w:rsid w:val="78AE3ABD"/>
    <w:rsid w:val="78E4360C"/>
    <w:rsid w:val="79035D2A"/>
    <w:rsid w:val="79036A46"/>
    <w:rsid w:val="7A055CCC"/>
    <w:rsid w:val="7B317F7F"/>
    <w:rsid w:val="7C1820F4"/>
    <w:rsid w:val="7C7626E1"/>
    <w:rsid w:val="7DCC43CC"/>
    <w:rsid w:val="7DE80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8"/>
      <w:szCs w:val="22"/>
      <w:lang w:val="en-US" w:eastAsia="zh-CN" w:bidi="ar-SA"/>
    </w:rPr>
  </w:style>
  <w:style w:type="paragraph" w:styleId="2">
    <w:name w:val="heading 1"/>
    <w:basedOn w:val="1"/>
    <w:next w:val="1"/>
    <w:link w:val="18"/>
    <w:qFormat/>
    <w:uiPriority w:val="0"/>
    <w:pPr>
      <w:numPr>
        <w:ilvl w:val="0"/>
        <w:numId w:val="1"/>
      </w:numPr>
      <w:adjustRightInd w:val="0"/>
      <w:snapToGrid w:val="0"/>
      <w:spacing w:line="360" w:lineRule="auto"/>
      <w:ind w:left="0" w:right="0"/>
      <w:jc w:val="center"/>
      <w:outlineLvl w:val="0"/>
    </w:pPr>
    <w:rPr>
      <w:rFonts w:ascii="Times New Roman" w:hAnsi="Times New Roman" w:eastAsia="仿宋" w:cs="Times New Roman"/>
      <w:b/>
      <w:sz w:val="36"/>
      <w:szCs w:val="36"/>
    </w:rPr>
  </w:style>
  <w:style w:type="paragraph" w:styleId="3">
    <w:name w:val="heading 2"/>
    <w:basedOn w:val="1"/>
    <w:link w:val="20"/>
    <w:autoRedefine/>
    <w:semiHidden/>
    <w:unhideWhenUsed/>
    <w:qFormat/>
    <w:uiPriority w:val="0"/>
    <w:pPr>
      <w:numPr>
        <w:ilvl w:val="0"/>
        <w:numId w:val="2"/>
      </w:numPr>
      <w:adjustRightInd w:val="0"/>
      <w:snapToGrid w:val="0"/>
      <w:spacing w:line="360" w:lineRule="auto"/>
      <w:ind w:left="0" w:right="0" w:firstLine="0" w:firstLineChars="0"/>
      <w:jc w:val="center"/>
      <w:outlineLvl w:val="1"/>
    </w:pPr>
    <w:rPr>
      <w:rFonts w:ascii="宋体" w:hAnsi="宋体" w:cs="宋体"/>
      <w:b/>
      <w:sz w:val="30"/>
      <w:szCs w:val="32"/>
    </w:rPr>
  </w:style>
  <w:style w:type="paragraph" w:styleId="4">
    <w:name w:val="heading 3"/>
    <w:basedOn w:val="1"/>
    <w:next w:val="1"/>
    <w:link w:val="19"/>
    <w:semiHidden/>
    <w:unhideWhenUsed/>
    <w:qFormat/>
    <w:uiPriority w:val="0"/>
    <w:pPr>
      <w:keepNext/>
      <w:keepLines/>
      <w:numPr>
        <w:ilvl w:val="2"/>
        <w:numId w:val="3"/>
      </w:numPr>
      <w:tabs>
        <w:tab w:val="left" w:pos="1260"/>
      </w:tabs>
      <w:adjustRightInd w:val="0"/>
      <w:snapToGrid w:val="0"/>
      <w:spacing w:beforeLines="0" w:afterLines="0"/>
      <w:ind w:left="0" w:firstLine="400" w:firstLineChars="0"/>
      <w:jc w:val="center"/>
      <w:outlineLvl w:val="2"/>
    </w:pPr>
    <w:rPr>
      <w:rFonts w:ascii="宋体" w:hAnsi="宋体" w:eastAsia="宋体" w:cs="宋体"/>
      <w:b/>
      <w:color w:val="auto"/>
      <w:sz w:val="28"/>
      <w:szCs w:val="22"/>
      <w:highlight w:val="none"/>
    </w:rPr>
  </w:style>
  <w:style w:type="paragraph" w:styleId="5">
    <w:name w:val="heading 4"/>
    <w:basedOn w:val="1"/>
    <w:next w:val="1"/>
    <w:link w:val="21"/>
    <w:semiHidden/>
    <w:unhideWhenUsed/>
    <w:qFormat/>
    <w:uiPriority w:val="0"/>
    <w:pPr>
      <w:keepNext/>
      <w:keepLines/>
      <w:numPr>
        <w:ilvl w:val="3"/>
        <w:numId w:val="4"/>
      </w:numPr>
      <w:spacing w:beforeAutospacing="0" w:afterLines="0" w:afterAutospacing="0" w:line="360" w:lineRule="auto"/>
      <w:ind w:left="0" w:firstLine="0" w:firstLineChars="0"/>
      <w:jc w:val="left"/>
      <w:outlineLvl w:val="3"/>
    </w:pPr>
    <w:rPr>
      <w:rFonts w:ascii="Arial" w:hAnsi="Arial" w:eastAsia="仿宋" w:cs="宋体"/>
      <w:b/>
      <w:sz w:val="28"/>
      <w:szCs w:val="22"/>
    </w:rPr>
  </w:style>
  <w:style w:type="paragraph" w:styleId="6">
    <w:name w:val="heading 5"/>
    <w:basedOn w:val="1"/>
    <w:next w:val="1"/>
    <w:semiHidden/>
    <w:unhideWhenUsed/>
    <w:qFormat/>
    <w:uiPriority w:val="0"/>
    <w:pPr>
      <w:keepNext/>
      <w:keepLines/>
      <w:numPr>
        <w:ilvl w:val="4"/>
        <w:numId w:val="3"/>
      </w:numPr>
      <w:spacing w:beforeLines="0" w:beforeAutospacing="0" w:afterLines="0" w:afterAutospacing="0" w:line="360" w:lineRule="auto"/>
      <w:ind w:firstLine="402" w:firstLineChars="0"/>
      <w:outlineLvl w:val="4"/>
    </w:pPr>
    <w:rPr>
      <w:rFonts w:ascii="宋体" w:hAnsi="宋体" w:eastAsia="微软雅黑" w:cs="宋体"/>
      <w:sz w:val="28"/>
      <w:szCs w:val="22"/>
    </w:rPr>
  </w:style>
  <w:style w:type="paragraph" w:styleId="7">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3"/>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7">
    <w:name w:val="Default Paragraph Font"/>
    <w:autoRedefine/>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w:basedOn w:val="1"/>
    <w:qFormat/>
    <w:uiPriority w:val="0"/>
    <w:pPr>
      <w:spacing w:after="120" w:afterLines="0" w:afterAutospacing="0"/>
    </w:pPr>
  </w:style>
  <w:style w:type="paragraph" w:styleId="13">
    <w:name w:val="Body Text Indent 2"/>
    <w:basedOn w:val="1"/>
    <w:qFormat/>
    <w:uiPriority w:val="0"/>
    <w:pPr>
      <w:spacing w:after="120" w:afterLines="0" w:afterAutospacing="0" w:line="480" w:lineRule="auto"/>
      <w:ind w:left="420" w:leftChars="200"/>
    </w:pPr>
  </w:style>
  <w:style w:type="paragraph" w:styleId="14">
    <w:name w:val="toc 1"/>
    <w:basedOn w:val="1"/>
    <w:qFormat/>
    <w:uiPriority w:val="0"/>
    <w:pPr>
      <w:ind w:left="0" w:firstLine="0" w:firstLineChars="0"/>
    </w:pPr>
    <w:rPr>
      <w:rFonts w:ascii="宋体" w:hAnsi="宋体" w:eastAsia="宋体" w:cs="宋体"/>
      <w:szCs w:val="28"/>
    </w:rPr>
  </w:style>
  <w:style w:type="paragraph" w:styleId="15">
    <w:name w:val="toc 2"/>
    <w:basedOn w:val="1"/>
    <w:next w:val="1"/>
    <w:qFormat/>
    <w:uiPriority w:val="0"/>
    <w:pPr>
      <w:ind w:left="0" w:leftChars="0" w:firstLine="0" w:firstLineChars="0"/>
    </w:pPr>
    <w:rPr>
      <w:rFonts w:ascii="宋体" w:hAnsi="宋体" w:eastAsia="宋体" w:cs="宋体"/>
    </w:rPr>
  </w:style>
  <w:style w:type="character" w:customStyle="1" w:styleId="18">
    <w:name w:val="标题 1 Char"/>
    <w:basedOn w:val="17"/>
    <w:link w:val="2"/>
    <w:autoRedefine/>
    <w:qFormat/>
    <w:uiPriority w:val="0"/>
    <w:rPr>
      <w:rFonts w:ascii="Times New Roman" w:hAnsi="Times New Roman" w:eastAsia="仿宋" w:cs="Times New Roman"/>
      <w:b/>
      <w:bCs/>
      <w:kern w:val="44"/>
      <w:sz w:val="36"/>
      <w:szCs w:val="44"/>
      <w:lang w:val="en-US" w:eastAsia="en-US" w:bidi="en-US"/>
    </w:rPr>
  </w:style>
  <w:style w:type="character" w:customStyle="1" w:styleId="19">
    <w:name w:val="标题 3 Char"/>
    <w:link w:val="4"/>
    <w:qFormat/>
    <w:uiPriority w:val="0"/>
    <w:rPr>
      <w:rFonts w:ascii="宋体" w:hAnsi="宋体" w:eastAsia="宋体" w:cs="宋体"/>
      <w:b/>
      <w:color w:val="auto"/>
      <w:kern w:val="2"/>
      <w:sz w:val="28"/>
      <w:szCs w:val="22"/>
      <w:highlight w:val="none"/>
      <w:lang w:val="en-US" w:eastAsia="zh-CN" w:bidi="ar-SA"/>
    </w:rPr>
  </w:style>
  <w:style w:type="character" w:customStyle="1" w:styleId="20">
    <w:name w:val="标题 2 Char"/>
    <w:link w:val="3"/>
    <w:qFormat/>
    <w:uiPriority w:val="0"/>
    <w:rPr>
      <w:rFonts w:ascii="宋体" w:hAnsi="宋体" w:eastAsia="仿宋" w:cs="宋体"/>
      <w:b/>
      <w:kern w:val="44"/>
      <w:sz w:val="30"/>
      <w:szCs w:val="22"/>
      <w:lang w:val="en-US" w:eastAsia="zh-CN" w:bidi="ar-SA"/>
    </w:rPr>
  </w:style>
  <w:style w:type="character" w:customStyle="1" w:styleId="21">
    <w:name w:val="标题 4 Char"/>
    <w:link w:val="5"/>
    <w:qFormat/>
    <w:uiPriority w:val="0"/>
    <w:rPr>
      <w:rFonts w:ascii="Arial" w:hAnsi="Arial" w:eastAsia="仿宋" w:cs="宋体"/>
      <w:b/>
      <w:kern w:val="2"/>
      <w:sz w:val="28"/>
      <w:szCs w:val="22"/>
    </w:rPr>
  </w:style>
  <w:style w:type="character" w:customStyle="1" w:styleId="22">
    <w:name w:val="font31"/>
    <w:basedOn w:val="17"/>
    <w:qFormat/>
    <w:uiPriority w:val="0"/>
    <w:rPr>
      <w:rFonts w:hint="eastAsia" w:ascii="微软雅黑" w:hAnsi="微软雅黑" w:eastAsia="微软雅黑" w:cs="微软雅黑"/>
      <w:color w:val="000000"/>
      <w:sz w:val="44"/>
      <w:szCs w:val="44"/>
      <w:u w:val="none"/>
    </w:rPr>
  </w:style>
  <w:style w:type="character" w:customStyle="1" w:styleId="23">
    <w:name w:val="font11"/>
    <w:basedOn w:val="17"/>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2303</Words>
  <Characters>2570</Characters>
  <Lines>0</Lines>
  <Paragraphs>0</Paragraphs>
  <TotalTime>7</TotalTime>
  <ScaleCrop>false</ScaleCrop>
  <LinksUpToDate>false</LinksUpToDate>
  <CharactersWithSpaces>2570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2025-04-21T10:00:00Z</dcterms:created>
  <dc:creator>佩琪仙女</dc:creator>
  <cp:lastModifiedBy>赵啧啧 ☀</cp:lastModifiedBy>
  <dcterms:modified xsi:type="dcterms:W3CDTF">2026-03-10T08:26:33Z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EB58ADF44819414FB0C47719126878F3_13</vt:lpwstr>
  </property>
  <property fmtid="{D5CDD505-2E9C-101B-9397-08002B2CF9AE}" pid="4" name="KSOTemplateDocerSaveRecord">
    <vt:lpwstr>eyJoZGlkIjoiY2NhYjc0ODk3OWZmODY3YjNkZGIzNTMyODZlYjZmMjUiLCJ1c2VySWQiOiIzNTI3MTMwNDQifQ==</vt:lpwstr>
  </property>
</Properties>
</file>